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八马茶业股份有限公司首次公开发行股票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10"/>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中信证券股份有限公司：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现对你公司推荐的八马茶业股份有限公司（以下简称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6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w:t>
      </w:r>
      <w:r>
        <w:rPr>
          <w:rFonts w:hint="default" w:cs="宋体"/>
          <w:kern w:val="2"/>
          <w:sz w:val="28"/>
          <w:szCs w:val="20"/>
          <w:lang w:val="en-US" w:eastAsia="zh-CN"/>
        </w:rPr>
        <w:t>浙商证券股份有限公司持有发行人73,000股股份，持有类型为国有法人</w:t>
      </w:r>
      <w:r>
        <w:rPr>
          <w:rFonts w:hint="default" w:cs="宋体"/>
          <w:kern w:val="2"/>
          <w:sz w:val="28"/>
          <w:szCs w:val="20"/>
          <w:lang w:eastAsia="zh-CN"/>
        </w:rPr>
        <w:t>。2019年7月5日，由注册地产权交易所为公司提供股份变更、登记管理</w:t>
      </w:r>
      <w:r>
        <w:rPr>
          <w:rFonts w:hint="default" w:cs="宋体"/>
          <w:kern w:val="2"/>
          <w:sz w:val="28"/>
          <w:szCs w:val="20"/>
          <w:lang w:val="en-US" w:eastAsia="zh-CN"/>
        </w:rPr>
        <w:t>。请发行人</w:t>
      </w:r>
      <w:r>
        <w:rPr>
          <w:rFonts w:hint="default" w:cs="宋体"/>
          <w:kern w:val="2"/>
          <w:sz w:val="28"/>
          <w:szCs w:val="20"/>
          <w:lang w:eastAsia="zh-CN"/>
        </w:rPr>
        <w:t>说明</w:t>
      </w:r>
      <w:r>
        <w:rPr>
          <w:rFonts w:hint="default" w:cs="宋体"/>
          <w:kern w:val="2"/>
          <w:sz w:val="28"/>
          <w:szCs w:val="20"/>
          <w:lang w:val="en-US" w:eastAsia="zh-CN"/>
        </w:rPr>
        <w:t>：（</w:t>
      </w:r>
      <w:r>
        <w:rPr>
          <w:rFonts w:hint="default" w:cs="宋体"/>
          <w:kern w:val="2"/>
          <w:sz w:val="28"/>
          <w:szCs w:val="20"/>
          <w:lang w:eastAsia="zh-CN"/>
        </w:rPr>
        <w:t>1</w:t>
      </w:r>
      <w:r>
        <w:rPr>
          <w:rFonts w:hint="default" w:cs="宋体"/>
          <w:kern w:val="2"/>
          <w:sz w:val="28"/>
          <w:szCs w:val="20"/>
          <w:lang w:val="en-US" w:eastAsia="zh-CN"/>
        </w:rPr>
        <w:t>）国有股东入股</w:t>
      </w:r>
      <w:r>
        <w:rPr>
          <w:rFonts w:hint="default" w:cs="宋体"/>
          <w:kern w:val="2"/>
          <w:sz w:val="28"/>
          <w:szCs w:val="20"/>
          <w:lang w:eastAsia="zh-CN"/>
        </w:rPr>
        <w:t>、股份变动</w:t>
      </w:r>
      <w:r>
        <w:rPr>
          <w:rFonts w:hint="default" w:cs="宋体"/>
          <w:kern w:val="2"/>
          <w:sz w:val="28"/>
          <w:szCs w:val="20"/>
          <w:lang w:val="en-US" w:eastAsia="zh-CN"/>
        </w:rPr>
        <w:t>是否履行国资评估、备案、审批</w:t>
      </w:r>
      <w:r>
        <w:rPr>
          <w:rFonts w:hint="default" w:cs="宋体"/>
          <w:kern w:val="2"/>
          <w:sz w:val="28"/>
          <w:szCs w:val="20"/>
          <w:lang w:eastAsia="zh-CN"/>
        </w:rPr>
        <w:t>、进场交易</w:t>
      </w:r>
      <w:r>
        <w:rPr>
          <w:rFonts w:hint="default" w:cs="宋体"/>
          <w:kern w:val="2"/>
          <w:sz w:val="28"/>
          <w:szCs w:val="20"/>
          <w:lang w:val="en-US" w:eastAsia="zh-CN"/>
        </w:rPr>
        <w:t>等法律程序，是否存在国有资产流失情况，是否存在程序瑕疵，是否存在纠纷或潜在纠纷。</w:t>
      </w:r>
      <w:r>
        <w:rPr>
          <w:rFonts w:hint="default" w:cs="宋体"/>
          <w:kern w:val="2"/>
          <w:sz w:val="28"/>
          <w:szCs w:val="20"/>
          <w:lang w:eastAsia="zh-CN"/>
        </w:rPr>
        <w:t>（2）产权交易所为发行人提供股权管理服务的范围及合法合规性，托管期间股份变动履行的程序、是否具有法律效力，目前发行人股份是否仍在该交易所托管。（3）历史上发行人设立及存续期间是否存在不规范事项，如有则请补充披露具体内容、后续处理方式，以及是否受到过行政处罚或存在被处罚风险，是否构成重大违法行为及本次发行的法律障碍，是否存在纠纷或潜在纠纷。（4）历次增资及股权转让的原因，增资或股权转让价格，定价依据、公允性和合理性；股权转让是否真实，有关股权变动是否为双方真实意思表示，是否存在争议或潜在纠纷，是否存在委托持股、利益输送或其他利益安排。（5）发行人历次出资、增资、股权转让的资金来源、合法性，是否存在出资不实、抽逃资本等情况。（6）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7）历次股权转让、分红、整体变更中涉及的控股股东、实际控制人缴纳所得税、发行人代扣代缴情况，是否存在违反税务法律法规情形，是否构成重大违法行为。</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zh-TW" w:eastAsia="zh-CN" w:bidi="zh-TW"/>
        </w:rPr>
      </w:pPr>
      <w:r>
        <w:rPr>
          <w:rFonts w:hint="default" w:cs="宋体"/>
          <w:kern w:val="2"/>
          <w:sz w:val="28"/>
          <w:szCs w:val="20"/>
          <w:lang w:eastAsia="zh-CN"/>
        </w:rPr>
        <w:t>请保荐机构及发行人律师对上述问题核查并发表明确意见，并说明历史上新增股东（追溯至最终自然人）的基本情况（包括但不限于身份背景、近5年工作经历，股东为公司员工的，请说明该股东进入发行人工作的时间、任职情况），对发行人目前股权结构中是否存在委托持股、信托持股、股东的适格性、是否存在股权纠纷发表核查意见</w:t>
      </w:r>
      <w:r>
        <w:rPr>
          <w:rFonts w:hint="default" w:ascii="宋体" w:hAnsi="宋体" w:eastAsia="宋体" w:cs="宋体"/>
          <w:smallCaps w:val="0"/>
          <w:kern w:val="2"/>
          <w:sz w:val="28"/>
          <w:szCs w:val="20"/>
          <w:lang w:val="zh-TW" w:eastAsia="zh-CN" w:bidi="zh-TW"/>
        </w:rPr>
        <w:t>。</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zh-TW" w:eastAsia="zh-CN" w:bidi="zh-TW"/>
        </w:rPr>
      </w:pPr>
      <w:r>
        <w:rPr>
          <w:rFonts w:hint="default" w:ascii="宋体" w:hAnsi="宋体" w:eastAsia="宋体" w:cs="宋体"/>
          <w:smallCaps w:val="0"/>
          <w:kern w:val="2"/>
          <w:sz w:val="28"/>
          <w:szCs w:val="20"/>
          <w:lang w:eastAsia="zh-CN" w:bidi="zh-TW"/>
        </w:rPr>
        <w:t>2、2012年10月，发行人为引进机构投资者，与和谐成长、南海成长、天图兴华、天玑星投资达成增资、股权转让协议、股东协议等协议，前述协议中包含了对赌条款。请发行人：（1）列示相关对赌协议的情况并详细介绍其对应交易的背景、对赌方情况、对赌条款的约定，各条款对应《首发业务若干问题解答》的何种对赌协议分类。（2）说明清理各对赌协议的具体过程及相关清理条款的约定情况，说明相关条款是否完全、有效终止对赌条款，清理后是否符合《首发业务若干问题解答》的要求。（3）说明对赌协议是否存在附条件恢复条款，发行人与相关方是否在附条件生效的对赌条款相关协议上签字，相关协议是否约定了发行人违约的情形，发行人是否为权利义务承担方。请保荐机构、发行人律师核查并发表意见</w:t>
      </w:r>
      <w:r>
        <w:rPr>
          <w:rFonts w:hint="default" w:ascii="宋体" w:hAnsi="宋体" w:eastAsia="宋体" w:cs="宋体"/>
          <w:smallCaps w:val="0"/>
          <w:kern w:val="2"/>
          <w:sz w:val="28"/>
          <w:szCs w:val="20"/>
          <w:lang w:val="zh-TW" w:eastAsia="zh-CN" w:bidi="zh-TW"/>
        </w:rPr>
        <w:t>。</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zh-TW" w:eastAsia="zh-CN" w:bidi="zh-TW"/>
        </w:rPr>
      </w:pPr>
      <w:r>
        <w:rPr>
          <w:rFonts w:hint="default" w:ascii="宋体" w:hAnsi="宋体" w:eastAsia="宋体" w:cs="宋体"/>
          <w:smallCaps w:val="0"/>
          <w:kern w:val="2"/>
          <w:sz w:val="28"/>
          <w:szCs w:val="20"/>
          <w:lang w:eastAsia="zh-CN" w:bidi="zh-TW"/>
        </w:rPr>
        <w:t>3、公司的控股股东、实际控制人为王文彬、王文礼、王文超、陈雅静及吴小宁。王小萍为发行人控股股东、实际控制人王文彬、王文礼之妹、王文超之姐，2019年8月，控股股东、实际控制人及王小萍协商签署了《一致行动协议》。请发行人：（1）结合发行人的历史沿革，王文彬、王文礼、王文超、陈雅静及吴小宁最近3 年在发行人的任职情况、在经营决策中发挥的具体作用、直接、间接持有发行人股份数量及占比的变动情况，以及报告期内发行人的公司治理、三会运作及决策情况、经营管理的实际运作情况等，说明王文彬、王文礼、王文超、陈雅静及吴小宁能否对发行人实施有效控制，最近3年发行人实际控制人是否发生变更及其依据。（2）说明未将股东中王文彬、王文礼、王文超、陈雅静及吴小宁其他亲属认定为共同实际控制人的原因，其他亲属及其控制的企业是否存在与发行人利益冲突的情形、是否存在与发行人及其子公司从事相同或相似业务的情形，最近3年是否存在重大违法违规，是否存在未认定为共同实际控制人以规避同业竞争、关联交易、股份锁定期监管要求的情形。（3）说明未将王小萍认定为共同实际控制人但其签订《一致行动协议》的原因，披露《一致行动协议》的主要内容，一致行动关系是否附条件和可撤销，一致行动有效期及期满后安排，发行人上市后相关一致行动安排是否稳定可持续；《一致行动协议》发生意见分歧或纠纷时的解决机制。请保荐机构及发行人律师对上述问题核查并发表明确意见</w:t>
      </w:r>
      <w:r>
        <w:rPr>
          <w:rFonts w:hint="default" w:ascii="宋体" w:hAnsi="宋体" w:eastAsia="宋体" w:cs="宋体"/>
          <w:smallCaps w:val="0"/>
          <w:kern w:val="2"/>
          <w:sz w:val="28"/>
          <w:szCs w:val="20"/>
          <w:lang w:val="zh-TW" w:eastAsia="zh-CN" w:bidi="zh-TW"/>
        </w:rPr>
        <w:t>。</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eastAsia="zh-CN" w:bidi="zh-TW"/>
        </w:rPr>
      </w:pPr>
      <w:r>
        <w:rPr>
          <w:rFonts w:hint="default" w:ascii="宋体" w:hAnsi="宋体" w:eastAsia="宋体" w:cs="宋体"/>
          <w:smallCaps w:val="0"/>
          <w:kern w:val="2"/>
          <w:sz w:val="28"/>
          <w:szCs w:val="20"/>
          <w:lang w:eastAsia="zh-CN" w:bidi="zh-TW"/>
        </w:rPr>
        <w:t>4、请发行人：（1）逐一补充说明实际控制人、控股股东及其近亲属全资或控股的企业，进一步说明是否存在与公司利益冲突的情形、是否存在与公司及其子公司从事相同或相似业务的情形，如存在，请说明对公司独立性的影响。（2）说明认定不存在同业竞争关系时，是否已经审慎核查并完整地披露发行人控股股东、实际控制人及其近亲属直接或间接控制的全部关联企业。（3）说明上述企业的实际经营业务，说明是否简单依据经营范围对同业竞争做出判断，是否仅以经营区域、细分产品、细分市场的不同来认定不构成同业竞争。（4）说明上述企业的历史沿革、资产、人员、业务和技术等方面与发行人的关系，经营的合法合规性，采购销售渠道、客户、供应商等方面是否影响发行人的独立性。请保荐机构、发行人律师核查并发表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eastAsia="zh-CN" w:bidi="zh-TW"/>
        </w:rPr>
      </w:pPr>
      <w:r>
        <w:rPr>
          <w:rFonts w:hint="default" w:ascii="宋体" w:hAnsi="宋体" w:eastAsia="宋体" w:cs="宋体"/>
          <w:smallCaps w:val="0"/>
          <w:kern w:val="2"/>
          <w:sz w:val="28"/>
          <w:szCs w:val="20"/>
          <w:lang w:eastAsia="zh-CN" w:bidi="zh-TW"/>
        </w:rPr>
        <w:t>5、</w:t>
      </w:r>
      <w:r>
        <w:rPr>
          <w:rFonts w:hint="default" w:ascii="宋体" w:hAnsi="宋体" w:eastAsia="宋体" w:cs="宋体"/>
          <w:smallCaps w:val="0"/>
          <w:kern w:val="2"/>
          <w:sz w:val="28"/>
          <w:szCs w:val="20"/>
          <w:lang w:val="en-US" w:eastAsia="zh-CN" w:bidi="zh-TW"/>
        </w:rPr>
        <w:t>报告期内，公司向关联加盟商的销售交易额占公司营业收入的比重分别为1.99%、2.14%、2.12%和1.77%</w:t>
      </w:r>
      <w:r>
        <w:rPr>
          <w:rFonts w:hint="default" w:ascii="宋体" w:hAnsi="宋体" w:eastAsia="宋体" w:cs="宋体"/>
          <w:smallCaps w:val="0"/>
          <w:kern w:val="2"/>
          <w:sz w:val="28"/>
          <w:szCs w:val="20"/>
          <w:lang w:eastAsia="zh-CN" w:bidi="zh-TW"/>
        </w:rPr>
        <w:t>。</w:t>
      </w:r>
      <w:r>
        <w:rPr>
          <w:rFonts w:hint="default" w:ascii="宋体" w:hAnsi="宋体" w:eastAsia="宋体" w:cs="宋体"/>
          <w:smallCaps w:val="0"/>
          <w:kern w:val="2"/>
          <w:sz w:val="28"/>
          <w:szCs w:val="20"/>
          <w:lang w:val="en-US" w:eastAsia="zh-CN" w:bidi="zh-TW"/>
        </w:rPr>
        <w:t>请发行人说明：（1）发行人是否按照《公司法》《企业会计准则》《上市公司信息披露管理办法》及其他相关规定完整、准确地披露关联方关系及交易。（2）逐一说明关联交易关联方的基本情况</w:t>
      </w:r>
      <w:r>
        <w:rPr>
          <w:rFonts w:hint="default" w:ascii="宋体" w:hAnsi="宋体" w:eastAsia="宋体" w:cs="宋体"/>
          <w:smallCaps w:val="0"/>
          <w:kern w:val="2"/>
          <w:sz w:val="28"/>
          <w:szCs w:val="20"/>
          <w:lang w:eastAsia="zh-CN" w:bidi="zh-TW"/>
        </w:rPr>
        <w:t>、合作历史、</w:t>
      </w:r>
      <w:r>
        <w:rPr>
          <w:rFonts w:hint="default" w:ascii="宋体" w:hAnsi="宋体" w:eastAsia="宋体" w:cs="宋体"/>
          <w:smallCaps w:val="0"/>
          <w:kern w:val="2"/>
          <w:sz w:val="28"/>
          <w:szCs w:val="20"/>
          <w:lang w:val="en-US" w:eastAsia="zh-CN" w:bidi="zh-TW"/>
        </w:rPr>
        <w:t>关联交易内容、交易金额</w:t>
      </w:r>
      <w:r>
        <w:rPr>
          <w:rFonts w:hint="default" w:ascii="宋体" w:hAnsi="宋体" w:eastAsia="宋体" w:cs="宋体"/>
          <w:smallCaps w:val="0"/>
          <w:kern w:val="2"/>
          <w:sz w:val="28"/>
          <w:szCs w:val="20"/>
          <w:lang w:eastAsia="zh-CN" w:bidi="zh-TW"/>
        </w:rPr>
        <w:t>及</w:t>
      </w:r>
      <w:r>
        <w:rPr>
          <w:rFonts w:hint="default" w:ascii="宋体" w:hAnsi="宋体" w:eastAsia="宋体" w:cs="宋体"/>
          <w:smallCaps w:val="0"/>
          <w:kern w:val="2"/>
          <w:sz w:val="28"/>
          <w:szCs w:val="20"/>
          <w:lang w:val="en-US" w:eastAsia="zh-CN" w:bidi="zh-TW"/>
        </w:rPr>
        <w:t>占比</w:t>
      </w:r>
      <w:r>
        <w:rPr>
          <w:rFonts w:hint="default" w:ascii="宋体" w:hAnsi="宋体" w:eastAsia="宋体" w:cs="宋体"/>
          <w:smallCaps w:val="0"/>
          <w:kern w:val="2"/>
          <w:sz w:val="28"/>
          <w:szCs w:val="20"/>
          <w:lang w:eastAsia="zh-CN" w:bidi="zh-TW"/>
        </w:rPr>
        <w:t>，交易金</w:t>
      </w:r>
      <w:r>
        <w:rPr>
          <w:rFonts w:hint="default" w:ascii="宋体" w:hAnsi="宋体" w:eastAsia="宋体" w:cs="宋体"/>
          <w:smallCaps w:val="0"/>
          <w:kern w:val="2"/>
          <w:sz w:val="28"/>
          <w:szCs w:val="20"/>
          <w:lang w:val="en-US" w:eastAsia="zh-CN" w:bidi="zh-TW"/>
        </w:rPr>
        <w:t>额占关联方业务量比重，关联方是否专为发行人设立，相关交易背景、原因、合理性和必要性。（3）结合可比市场公允价格、第三方市场价格、关联方与其他交易方的价格等，说明并摘要披露关联交易的公允性，是否存在对发行人或关联方的利益输送，是否存在替发行人承担成本的情形。（4）银泰茶业替代静新茗茶店成为发行人加盟商</w:t>
      </w:r>
      <w:r>
        <w:rPr>
          <w:rFonts w:hint="default" w:ascii="宋体" w:hAnsi="宋体" w:eastAsia="宋体" w:cs="宋体"/>
          <w:smallCaps w:val="0"/>
          <w:kern w:val="2"/>
          <w:sz w:val="28"/>
          <w:szCs w:val="20"/>
          <w:lang w:eastAsia="zh-CN" w:bidi="zh-TW"/>
        </w:rPr>
        <w:t>的原因，深圳市爱尔康特科技有限公司注销原因，</w:t>
      </w:r>
      <w:r>
        <w:rPr>
          <w:rFonts w:hint="default" w:ascii="宋体" w:hAnsi="宋体" w:eastAsia="宋体" w:cs="宋体"/>
          <w:smallCaps w:val="0"/>
          <w:kern w:val="2"/>
          <w:sz w:val="28"/>
          <w:szCs w:val="20"/>
          <w:lang w:val="en-US" w:eastAsia="zh-CN" w:bidi="zh-TW"/>
        </w:rPr>
        <w:t>厦门谦和逸茶业有限公司</w:t>
      </w:r>
      <w:r>
        <w:rPr>
          <w:rFonts w:hint="default" w:ascii="宋体" w:hAnsi="宋体" w:eastAsia="宋体" w:cs="宋体"/>
          <w:smallCaps w:val="0"/>
          <w:kern w:val="2"/>
          <w:sz w:val="28"/>
          <w:szCs w:val="20"/>
          <w:lang w:eastAsia="zh-CN" w:bidi="zh-TW"/>
        </w:rPr>
        <w:t>报告期内与发行人的交易情况，并说明关联加盟商主要交易条款、加盟政策等与非关联加盟商是否存在差异及原因，关联加盟商实现终端销售情况，是否存在为发行人调节收入、压货或囤货等情形。</w:t>
      </w:r>
      <w:r>
        <w:rPr>
          <w:rFonts w:hint="default" w:ascii="宋体" w:hAnsi="宋体" w:eastAsia="宋体" w:cs="宋体"/>
          <w:smallCaps w:val="0"/>
          <w:kern w:val="2"/>
          <w:sz w:val="28"/>
          <w:szCs w:val="20"/>
          <w:lang w:val="en-US" w:eastAsia="zh-CN" w:bidi="zh-TW"/>
        </w:rPr>
        <w:t>（5）</w:t>
      </w:r>
      <w:r>
        <w:rPr>
          <w:rFonts w:hint="default" w:ascii="宋体" w:hAnsi="宋体" w:eastAsia="宋体" w:cs="宋体"/>
          <w:smallCaps w:val="0"/>
          <w:kern w:val="2"/>
          <w:sz w:val="28"/>
          <w:szCs w:val="20"/>
          <w:lang w:eastAsia="zh-CN" w:bidi="zh-TW"/>
        </w:rPr>
        <w:t>结合报告期内关联销售金额增长的情形说明发行人规范及减少关联交易的措施是否有效。</w:t>
      </w:r>
      <w:r>
        <w:rPr>
          <w:rFonts w:hint="default"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eastAsia="zh-CN" w:bidi="zh-TW"/>
        </w:rPr>
        <w:t>6</w:t>
      </w:r>
      <w:r>
        <w:rPr>
          <w:rFonts w:hint="default" w:ascii="宋体" w:hAnsi="宋体" w:eastAsia="宋体" w:cs="宋体"/>
          <w:smallCaps w:val="0"/>
          <w:kern w:val="2"/>
          <w:sz w:val="28"/>
          <w:szCs w:val="20"/>
          <w:lang w:val="en-US" w:eastAsia="zh-CN" w:bidi="zh-TW"/>
        </w:rPr>
        <w:t>）发行人关联交易履行的审批程序，公司治理是否健全有效，是否存在未及时按规定履行必要的决策程序、后续补充确认的情况，相关会议制度、内部控制措施是否切实有效执行。</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eastAsia" w:ascii="宋体" w:hAnsi="宋体" w:eastAsia="宋体" w:cs="宋体"/>
          <w:smallCaps w:val="0"/>
          <w:kern w:val="2"/>
          <w:sz w:val="28"/>
          <w:szCs w:val="20"/>
          <w:lang w:val="en-US" w:eastAsia="zh-CN" w:bidi="zh-TW"/>
        </w:rPr>
      </w:pPr>
      <w:r>
        <w:rPr>
          <w:rFonts w:hint="default" w:ascii="宋体" w:hAnsi="宋体" w:eastAsia="宋体" w:cs="宋体"/>
          <w:smallCaps w:val="0"/>
          <w:kern w:val="2"/>
          <w:sz w:val="28"/>
          <w:szCs w:val="20"/>
          <w:lang w:val="en-US" w:eastAsia="zh-CN" w:bidi="zh-TW"/>
        </w:rPr>
        <w:t>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r>
        <w:rPr>
          <w:rFonts w:hint="eastAsia" w:ascii="宋体" w:hAnsi="宋体" w:eastAsia="宋体" w:cs="宋体"/>
          <w:smallCaps w:val="0"/>
          <w:kern w:val="2"/>
          <w:sz w:val="28"/>
          <w:szCs w:val="20"/>
          <w:lang w:val="en-US" w:eastAsia="zh-CN" w:bidi="zh-TW"/>
        </w:rPr>
        <w:t>。</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6</w:t>
      </w:r>
      <w:r>
        <w:rPr>
          <w:rFonts w:hint="default" w:ascii="宋体" w:hAnsi="宋体" w:eastAsia="宋体" w:cs="宋体"/>
          <w:smallCaps w:val="0"/>
          <w:kern w:val="2"/>
          <w:sz w:val="28"/>
          <w:szCs w:val="20"/>
          <w:lang w:val="en-US" w:eastAsia="zh-CN" w:bidi="zh-TW"/>
        </w:rPr>
        <w:t>、报告期内，发行人通过线下直营模式销售额分别为36,706.41万元、41,822.46万元、47,116.74万元和11,013.67万元，主要包括独立门店及联营门店两种。请发行人：（1）说明独立门店及联营门店具体运作及管理模式，在库存管理、结算方式、装修及场地租赁、人员安排等方面的具体差异，并结合与百货商场、大型超市的具体协议，说明联营门店在合作模式、结算方式、结算周期、手续费、收益分成方式及比例、租赁期、租金支付等方面的具体约定；（2）说明报告期各期独立门店及联营门店的数量、区域分布、营业面积、具体收入构成，店均面积、店均收入、坪效、店均租金及区域差异情况，与同行业可比公司是否存在差异；（3）说明报告期各期新增及关闭门店的数量，新增、关闭门店的销售收入及毛利占比，关闭的原因、关闭门店的盈利情况、主要资产负债情况、人员安置及租约违约相关情况、对发行人的具体影响；（4）说明报告期各期销售收入前十大独立门店及联营门店的具体情况，包括但不限于名称、地址、合作方（如适用）、开业时间、营业面积、收入及净利润、毛利率、坪效等，主要财务数据与同地区其他门店是否存在显著差异；（5）说明报告期内收入变动较大门店的基本情况及变动原因，说明报告期内亏损门店的数量、地区分布、销售收入、毛利率、库存商品、亏损原因等；（6）说明直营模式现金收款的金额及比例，直营门店与现金收款相关的内控制度是否健全、是否得到有效执行；（7）说明不同模式收入确认的具体方法及合规性，收入确认所依据的原始凭证及相关内部控制措施，相关会计处理是否符合《企业会计准则》的规定。请保荐机构、会计师核查并发表明确意见，重点说明收入真实性的核查方法、过程、核查金额及占比、结论。</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7</w:t>
      </w:r>
      <w:r>
        <w:rPr>
          <w:rFonts w:hint="default" w:ascii="宋体" w:hAnsi="宋体" w:eastAsia="宋体" w:cs="宋体"/>
          <w:smallCaps w:val="0"/>
          <w:kern w:val="2"/>
          <w:sz w:val="28"/>
          <w:szCs w:val="20"/>
          <w:lang w:val="en-US" w:eastAsia="zh-CN" w:bidi="zh-TW"/>
        </w:rPr>
        <w:t>、报告期内，发行人网络销售模式下的主营业务收入分别为16,282.78万元、24,060.69万元、36,301.34万元和13,627.89万元，占主营业务收入的比重分别为16.08%、19.15%、20.98%和30.49%；报告期内微商城存在员工“代客下单”、“员工内购”的情形，发行人与主播存在合作。请发行人：（1）说明报告期内线上自营零售、电商平台入仓两种模式收入金额、变动情况，两种模式销售的具体产品、销售金额及占比、销售单价及对比情况、差异的原因及合理性；（2）说明各网络平台的销售收入、销售的主要产品、订单数量、定价依据、单价、推广方式、结算方式、折扣折让情况等，是否对单一平台存在重大依赖，报告期内电商收入逐年上升的原因、是否具有可持续性、与同行业可比公司是否存在差异；（3）结合合同条款补充说明与各电商平台销售的具体合作模式及业务流程，内部控制、计算机系统相关控制对关键控制环节的设置、执行情况；（4）说明报告期各期电商客户的人均消费、地区分布、发货分布情况，按照消费金额层级说明客户数量及占比、购买次数、购买间隔时间、次均消费额，说明其合理性以及是否存在大额、异常的消费情形；（5）说明报告期内“代客下单”的订单金额及比例，“员工内购”制度规定及执行情况、报告期内员工内购时间、金额、订单笔数、员工人数，销售价格与市场价格差异情况、是否属于员工福利、是否应代扣代缴个税，与“代客下单”的区分标准；（6）说明报告期内与主播的具体合作时间、方式、平台、佣金费用、新增销售额情况；（7）结合具体合同约定、合作模式、同行业可比公司情况等说明不同模式收入确认时点，收入确认的合规性，收入确认所依据的原始凭证及相关内部控制措施。请保荐机构、会计师核查并发表意见，重点结合客户名称、送货地址、购买数量、消费次数、客单量、消费金额及付款情况等，说明对电商渠道销售收入真实性以及电子交易环境的核查方法、程序、内容、结论。</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8</w:t>
      </w:r>
      <w:r>
        <w:rPr>
          <w:rFonts w:hint="default" w:ascii="宋体" w:hAnsi="宋体" w:eastAsia="宋体" w:cs="宋体"/>
          <w:smallCaps w:val="0"/>
          <w:kern w:val="2"/>
          <w:sz w:val="28"/>
          <w:szCs w:val="20"/>
          <w:lang w:val="en-US" w:eastAsia="zh-CN" w:bidi="zh-TW"/>
        </w:rPr>
        <w:t>、报告期内，发行人主营业务收入分别为101,272.85万元、123,716.73万元、171,518.33和44,354.42万元（营业收入按净额法确认联营门店收入的口径计算），其中茶叶销售收入占主营业务收入比重均在85%以上，各类产品收入均持续增长。请发行人：（1）结合铁观音的具体销售渠道、各渠道产品线的具体差异，说明铁观音2021年销售单价增加、2022年第一季度销售单价下降的原因及合理性，与市场价格或同行业可比公司可比产品变动是否一致；（2）结合销售区域、品牌建设、具体子品牌销售情况等说明报告期内岩茶销售单价持续增加的原因及合理性，与市场价格或同行业可比公司可比产品变动是否一致；（3）结合具体产品构成、销售单价及变动、相关独家协议情况、销售模式、推广方式、销售渠道等，说明2020年度、2021年度普洱茶单价增幅较大及2022年单价降幅较大的原因，与市场价格或同行业可比公司可比产品价格变动是否一致；（4）结合市场开拓、具体产品线及销售情况、销售渠道、具体收入构成等进一步说明红茶、绿茶、白茶价格波动的原因及合理性，与市场价格或同行业可比公司可比产品价格变动是否一致；（5）说明报告期内收入持续增长的原因，受疫情影响情况、公司的应对方式及相关资源投入，主要产品销量变动及收入增长趋势与同行业可比公司是否存在显著差异，收入增长是否可持续、是否存在业绩大幅下滑的风险；（6）补充披露报告期内自主生产、自主分装以及定制成品的销售金额及占比、具体产品构成及变动情况、变动原因及合理性，与发行人产能、采购规模的匹配性；（7）说明收入的季节性特征是否符合行业惯例、期后退换货情况、是否存在跨期确认收入的情形。请保荐机构、会计师核查并发表明确意见，重点说明对发行人收入真实性的核查情况、核查程序、取得的外部证据、核查结论，说明收入截止性测试情况，列示测试方法、测试金额及占比，发行人四季度收入确认是否符合《企业会计准则》的相关规定，收入确认的外部证据及其准确性、合理性。</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9</w:t>
      </w:r>
      <w:r>
        <w:rPr>
          <w:rFonts w:hint="default" w:ascii="宋体" w:hAnsi="宋体" w:eastAsia="宋体" w:cs="宋体"/>
          <w:smallCaps w:val="0"/>
          <w:kern w:val="2"/>
          <w:sz w:val="28"/>
          <w:szCs w:val="20"/>
          <w:lang w:val="en-US" w:eastAsia="zh-CN" w:bidi="zh-TW"/>
        </w:rPr>
        <w:t>、报告期各期，发行人主营业务成本分别为47,289.34万元、 58,779.10万元、80,076.36万元和19,865.56万元，铁观音及部分岩茶等乌龙茶为公司自主生产，小部分茶叶产品为公司自主分装，其他茶叶产品、茶具及茶食品主要由合格供应商生产并向公司提供定制成品。请发行人：（1）补充披露按成本项目的成本构成情况、变动情况及变动原因分析；（2）说明不同产品的成本构成、变动情况，并结合生产模式、原材料具体构成、采购数量及价格变动、不同产品用料差异、人员构成及变动、薪酬变动等因素，说明直接材料、直接人工占比波动的原因及合理性，与同行业公司的对比及差异情况；（3）说明报告期各期主要原材料的采购耗用比、原材料单位成本耗用、损耗率情况、投入与产出的配比情况及变动原因，并说明单位成本变化与原材料采购价格波动及耗用情况的匹配性；（4）结合不同模式下运费承担方式，说明报告期内运输费金额、运输单价、运输区域与发行人营业收入及销售数量的匹配关系及与同行业可比公司的比较情况，主要提供运输服务公司的基本情况，包括公司名称、注册资本、经营规模、与发行人合作历史等，与发行人及其控股股东、实际控制人、持股5%以上股东、董事、监事、高管、关键岗位人员是否存在关联关系或其他未披露的利益安排；（5）说明不同品种茶产品的成本核算及结转方式、成本核算的过程和控制的关键环节，举例说明成本核算的准确性、完整性。请保荐机构、会计师核查并发表明确意见。</w:t>
      </w:r>
    </w:p>
    <w:p>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60" w:lineRule="exact"/>
        <w:ind w:left="0" w:leftChars="0" w:right="0" w:rightChars="0" w:firstLine="560" w:firstLineChars="200"/>
        <w:jc w:val="both"/>
        <w:textAlignment w:val="auto"/>
        <w:outlineLvl w:val="0"/>
        <w:rPr>
          <w:rFonts w:hint="default" w:ascii="Times New Roman" w:hAnsi="Times New Roman" w:eastAsia="黑体" w:cs="Times New Roman"/>
          <w:sz w:val="28"/>
          <w:lang w:val="zh-TW" w:eastAsia="zh-CN"/>
        </w:rPr>
      </w:pPr>
      <w:r>
        <w:rPr>
          <w:rFonts w:hint="default" w:ascii="Times New Roman" w:hAnsi="Times New Roman" w:eastAsia="黑体" w:cs="Times New Roman"/>
          <w:sz w:val="28"/>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10、</w:t>
      </w:r>
      <w:r>
        <w:rPr>
          <w:rFonts w:hint="default" w:ascii="宋体" w:hAnsi="宋体" w:eastAsia="宋体" w:cs="宋体"/>
          <w:smallCaps w:val="0"/>
          <w:kern w:val="2"/>
          <w:sz w:val="28"/>
          <w:szCs w:val="20"/>
          <w:lang w:val="zh-TW" w:eastAsia="zh-CN" w:bidi="zh-TW"/>
        </w:rPr>
        <w:t>报告期内，发行人控股股东、实际控制人及其近亲属持股的多家关联公司注销。请</w:t>
      </w:r>
      <w:r>
        <w:rPr>
          <w:rFonts w:hint="default" w:cs="宋体"/>
          <w:smallCaps w:val="0"/>
          <w:kern w:val="2"/>
          <w:sz w:val="28"/>
          <w:szCs w:val="20"/>
          <w:lang w:eastAsia="zh-CN" w:bidi="zh-TW"/>
        </w:rPr>
        <w:t>发行人</w:t>
      </w:r>
      <w:r>
        <w:rPr>
          <w:rFonts w:hint="default" w:ascii="宋体" w:hAnsi="宋体" w:eastAsia="宋体" w:cs="宋体"/>
          <w:smallCaps w:val="0"/>
          <w:kern w:val="2"/>
          <w:sz w:val="28"/>
          <w:szCs w:val="20"/>
          <w:lang w:val="zh-TW" w:eastAsia="zh-CN" w:bidi="zh-TW"/>
        </w:rPr>
        <w:t>说明：相关企业注销的原因，注销前基本情况、注销前一年主要财务数据，是否存在违法违规行为，是否存在为发行人代为承担成本费用等情况，注销后资产、人员去向，上述企业实际经营的业务内容，是否曾与公司存在同业竞争或者关联交易。请保荐机构及发行人律师发表核查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11、</w:t>
      </w:r>
      <w:r>
        <w:rPr>
          <w:rFonts w:hint="default" w:ascii="宋体" w:hAnsi="宋体" w:eastAsia="宋体" w:cs="宋体"/>
          <w:smallCaps w:val="0"/>
          <w:kern w:val="2"/>
          <w:sz w:val="28"/>
          <w:szCs w:val="20"/>
          <w:lang w:val="zh-TW" w:eastAsia="zh-CN" w:bidi="zh-TW"/>
        </w:rPr>
        <w:t>报告期内，发行人供应商中存在多个关联方供应商。2020-2021年，发行人逐步停止了向关联方供应商的采购。请</w:t>
      </w:r>
      <w:r>
        <w:rPr>
          <w:rFonts w:hint="default" w:cs="宋体"/>
          <w:smallCaps w:val="0"/>
          <w:kern w:val="2"/>
          <w:sz w:val="28"/>
          <w:szCs w:val="20"/>
          <w:lang w:eastAsia="zh-CN" w:bidi="zh-TW"/>
        </w:rPr>
        <w:t>发行人</w:t>
      </w:r>
      <w:r>
        <w:rPr>
          <w:rFonts w:hint="default" w:ascii="宋体" w:hAnsi="宋体" w:eastAsia="宋体" w:cs="宋体"/>
          <w:smallCaps w:val="0"/>
          <w:kern w:val="2"/>
          <w:sz w:val="28"/>
          <w:szCs w:val="20"/>
          <w:lang w:val="zh-TW" w:eastAsia="zh-CN" w:bidi="zh-TW"/>
        </w:rPr>
        <w:t>说明：（1）相关关联供应商股权转让的原因，转让前关联方的主要财务数据，发行人向其采购金额占其对外销售收入比例，是否专为发行人设立。（2）股权转让具体情况，包括交易对手基本情况、是否为公司实际控制人及董监高及上述人员亲属的关联方、是否为公司的前员工，定价依据及公允性分析，是否彻底转让、是否存在他方替公司关联方持有相关企业股份的情况。（3）停止向关联方采购后替代供应商的情况，转让后相关供应商是否与发行人仍存在资金、业务往来及原因。请保荐机构、发行人律师和申报会计师发表核查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12、报告期内发行人受到多起行政处罚。请发行人：（1）结合相关法律法规对违法行为的情节、性质、责任规定以及主管机关认定意见说明是否存在受到行政处罚的风险，是否属于重大违法违规，是否构成本次发行上市障碍，并完善相关风险揭示。（2）按照《首发业务若干问题解答》相关规定说明报告期内发行人、控股股东、实际控制人是否存在重大违法违规行为，是否对发行上市构成障碍。（3）说明报告期内发行人是否发生产品质量事故或纠纷，是否因产品质量问题受到主管部门处罚或调查，本次申报报告期内发行人的产品质量安全相关检查、处罚、纠纷等情况是否已真实、准确、完整披露，相关风险揭示是否充分。（4）说明发行人是否已建立完善的安全生产管理制度，以及安全生产管理制度的有效性和执行情况，报告期内发行人是否发生安全生产事故，如有，说明具体情况，是否存在纠纷或处罚。（5）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6）说明发行人最近36个月是否存在受到环保领域行政处罚的情况，是否构成重大违法违规，是否发生环保事故和重大群体性环保事件，是否存在关于发行人环保情况的负面媒体报道。请保荐机构和发行人律师核查并发表明确意见</w:t>
      </w:r>
      <w:r>
        <w:rPr>
          <w:rFonts w:hint="default" w:ascii="宋体" w:hAnsi="宋体" w:eastAsia="宋体" w:cs="宋体"/>
          <w:smallCaps w:val="0"/>
          <w:kern w:val="2"/>
          <w:sz w:val="28"/>
          <w:szCs w:val="20"/>
          <w:lang w:eastAsia="zh-CN" w:bidi="zh-TW"/>
        </w:rPr>
        <w:t>。</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13、请发行人说明：（1）关于发行人采购的原材料如何落实品控，如果防范和避免使用不合格原材料的食品安全卫生风险，质量安全控制体系能否保证各项原材料的食品安全要求，相关内控制度是否健全并有效执行。（2）报告期内发行人是否发生产品质量事故或食品安全问题或纠纷，是否因此受到主管部门处罚或调查，本次申报报告期内发行人的产品质量安全相关检查、处罚、纠纷等情况是否已真实、准确、完整披露，相关风险揭示是否充分。（3）公司生产经营资质是否齐备，报告期内发行人是否持续符合拥有该等资质、许可、认证所需的条件，相关资质、认证、许可的有效期及是否覆盖报告期；经销商是否均合法持有食品销售等资质、许可，发行人及加盟商是否存在超越许可范围从事生产经营的情形，是否可能导致行政处罚；公司对加盟商等渠道在食品安全方面的管控措施，能否有效防范加盟商销售不合格食品。（4）报告期内公司的物流提供商、供应商是否均合法拥有开展业务所需的全部资质及证照，是否完整覆盖其主营业务及经营时间；发行人对物流提供商、供应商的筛选和控制措施，是否可有效保证食品安全；报告期内，发行人主要物流提供商、供应商、加盟商是否存在食品安全事故，是否因食品安全问题导致行政处罚或诉讼纠纷。（5）公司的临期、过期产品的处置措施，报告期内每年低价销售或处理过期产品的数量和金额，是否存在将临期、过期产品重新包装和销售的情形。请保荐机构、发行人律师核查并发表明确意见</w:t>
      </w:r>
      <w:r>
        <w:rPr>
          <w:rFonts w:hint="default" w:ascii="宋体" w:hAnsi="宋体" w:eastAsia="宋体" w:cs="宋体"/>
          <w:smallCaps w:val="0"/>
          <w:kern w:val="2"/>
          <w:sz w:val="28"/>
          <w:szCs w:val="20"/>
          <w:lang w:val="zh-TW" w:eastAsia="zh-CN" w:bidi="zh-TW"/>
        </w:rPr>
        <w:t>。</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14</w:t>
      </w:r>
      <w:r>
        <w:rPr>
          <w:rFonts w:hint="default" w:ascii="宋体" w:hAnsi="宋体" w:eastAsia="宋体" w:cs="宋体"/>
          <w:smallCaps w:val="0"/>
          <w:kern w:val="2"/>
          <w:sz w:val="28"/>
          <w:szCs w:val="20"/>
          <w:lang w:eastAsia="zh-CN" w:bidi="zh-TW"/>
        </w:rPr>
        <w:t>、请发行人说明：（1）发行人自有土地使用权、林地承包经营权取得过程是否合规，是否存在权属瑕疵，是否符合规划用途，是否存在纠纷或潜在纠纷；自建房屋是否均已取得产权证书、是否属于合法建筑、是否可能被行政处罚、是否构成重大违法行为。（2）租赁房产是否符合土地房产用途，是否存在瑕疵，如是，结合瑕疵房产面积及占比、产生的收入、利润情况，说明相关瑕疵是否对发行人持续经营构成重大影响。（3）如因瑕疵不动产相关问题被处罚的责任承担主体、搬迁的费用及承担主体、有无下一步解决措施等，发行人是否存在受到行政处罚或生产经营受阻的可能，并补充披露相关风险提示。请保荐机构及发行人律师核查并发表明确意见</w:t>
      </w:r>
      <w:r>
        <w:rPr>
          <w:rFonts w:hint="default" w:ascii="宋体" w:hAnsi="宋体" w:eastAsia="宋体" w:cs="宋体"/>
          <w:smallCaps w:val="0"/>
          <w:kern w:val="2"/>
          <w:sz w:val="28"/>
          <w:szCs w:val="20"/>
          <w:lang w:val="en-US" w:eastAsia="zh-CN" w:bidi="zh-TW"/>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15、</w:t>
      </w:r>
      <w:r>
        <w:rPr>
          <w:rFonts w:hint="default" w:cs="宋体"/>
          <w:kern w:val="2"/>
          <w:sz w:val="28"/>
          <w:szCs w:val="20"/>
          <w:lang w:val="en-US" w:eastAsia="zh-CN"/>
        </w:rPr>
        <w:t>请发行人说明：（1）发行人社会保险和住房公积金</w:t>
      </w:r>
      <w:r>
        <w:rPr>
          <w:rFonts w:hint="default" w:cs="宋体"/>
          <w:kern w:val="2"/>
          <w:sz w:val="28"/>
          <w:szCs w:val="20"/>
          <w:lang w:eastAsia="zh-CN"/>
        </w:rPr>
        <w:t>是否足额缴纳，如否，说明</w:t>
      </w:r>
      <w:r>
        <w:rPr>
          <w:rFonts w:hint="default" w:cs="宋体"/>
          <w:kern w:val="2"/>
          <w:sz w:val="28"/>
          <w:szCs w:val="20"/>
          <w:lang w:val="en-US" w:eastAsia="zh-CN"/>
        </w:rPr>
        <w:t>原因，如足额缴纳对经营业绩的影响</w:t>
      </w:r>
      <w:r>
        <w:rPr>
          <w:rFonts w:hint="default" w:cs="宋体"/>
          <w:kern w:val="2"/>
          <w:sz w:val="28"/>
          <w:szCs w:val="20"/>
          <w:lang w:eastAsia="zh-CN"/>
        </w:rPr>
        <w:t>及</w:t>
      </w:r>
      <w:r>
        <w:rPr>
          <w:rFonts w:hint="default" w:cs="宋体"/>
          <w:kern w:val="2"/>
          <w:sz w:val="28"/>
          <w:szCs w:val="20"/>
          <w:lang w:val="en-US" w:eastAsia="zh-CN"/>
        </w:rPr>
        <w:t>应对方案。（2）是否存在因违反社会保险、住房公积金相关法律法规而受到处罚的情形，是否构成重大违法行为。（3）发行人是否存在劳务派遣或劳务外包情况，如存在请披露具体情况及是否符合劳动法律规定</w:t>
      </w:r>
      <w:r>
        <w:rPr>
          <w:rFonts w:hint="default" w:cs="宋体"/>
          <w:kern w:val="2"/>
          <w:sz w:val="28"/>
          <w:szCs w:val="20"/>
          <w:lang w:eastAsia="zh-CN"/>
        </w:rPr>
        <w:t>，是否存在重大违法违规</w:t>
      </w:r>
      <w:r>
        <w:rPr>
          <w:rFonts w:hint="default" w:cs="宋体"/>
          <w:kern w:val="2"/>
          <w:sz w:val="28"/>
          <w:szCs w:val="20"/>
          <w:lang w:val="en-US" w:eastAsia="zh-CN"/>
        </w:rPr>
        <w:t>。请保荐机构、发行人律师核查并发表明确意见</w:t>
      </w:r>
      <w:r>
        <w:rPr>
          <w:rFonts w:hint="default" w:cs="宋体"/>
          <w:kern w:val="2"/>
          <w:sz w:val="28"/>
          <w:szCs w:val="20"/>
          <w:lang w:eastAsia="zh-CN"/>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16、请发行人说明：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请保荐机构、发行人律师核查并发表意见</w:t>
      </w:r>
      <w:r>
        <w:rPr>
          <w:rFonts w:hint="default" w:cs="宋体"/>
          <w:kern w:val="2"/>
          <w:sz w:val="28"/>
          <w:szCs w:val="20"/>
          <w:lang w:val="en-US" w:eastAsia="zh-CN"/>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17、</w:t>
      </w:r>
      <w:r>
        <w:rPr>
          <w:rFonts w:hint="default" w:cs="宋体"/>
          <w:kern w:val="2"/>
          <w:sz w:val="28"/>
          <w:szCs w:val="20"/>
          <w:lang w:val="en-US" w:eastAsia="zh-CN"/>
        </w:rPr>
        <w:t>请发行人：（1）</w:t>
      </w:r>
      <w:r>
        <w:rPr>
          <w:rFonts w:hint="default" w:cs="宋体"/>
          <w:kern w:val="2"/>
          <w:sz w:val="28"/>
          <w:szCs w:val="20"/>
          <w:lang w:eastAsia="zh-CN"/>
        </w:rPr>
        <w:t>说明</w:t>
      </w:r>
      <w:r>
        <w:rPr>
          <w:rFonts w:hint="default" w:cs="宋体"/>
          <w:kern w:val="2"/>
          <w:sz w:val="28"/>
          <w:szCs w:val="20"/>
          <w:lang w:val="en-US" w:eastAsia="zh-CN"/>
        </w:rPr>
        <w:t>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w:t>
      </w:r>
      <w:r>
        <w:rPr>
          <w:rFonts w:hint="default" w:cs="宋体"/>
          <w:kern w:val="2"/>
          <w:sz w:val="28"/>
          <w:szCs w:val="20"/>
          <w:lang w:eastAsia="zh-CN"/>
        </w:rPr>
        <w:t>说明</w:t>
      </w:r>
      <w:r>
        <w:rPr>
          <w:rFonts w:hint="default" w:cs="宋体"/>
          <w:kern w:val="2"/>
          <w:sz w:val="28"/>
          <w:szCs w:val="20"/>
          <w:lang w:val="en-US" w:eastAsia="zh-CN"/>
        </w:rPr>
        <w:t>发行人最近3年董事、监事、高管发生变化情况、原因，最近3年内董事、监事、高级管理人员的变动是否构成重大变化，是否构成发行上市障碍。请保荐机构和发行人律师进行核查并发表明确意见。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18、报告期内，发行人存在许可和被许可使用知识产权的行为。请发行人说明：（1）发行人使用他人知识产权的合规性，是否支付相关费用及定价依据、公允性，是否构成侵权行为及对发行人的影响，是否存在纠纷或潜在纠纷。（2）发行人许可他人使用知识产权的情况、原因及商业合理性，是否存在相关利益安排，是否存在争议或纠纷。（3）发行人是否存在知识产权的侵权纠纷，如存在，具体情况，对发行人的影响。（4）相关知识产权管理的内部控制制度是否建立健全并有效运行，保护范围是否覆盖公司全部产品。请保荐机构和发行人律师核查并发表明确意见，并说明对发行人相关知识产权许可使用方和被许可方与发行人及其控股股东、实际控制人、董监高、客户及供应商是否存在关联关系或其他利益安排，是否代发行人承担成本费用，是否存在非经营性资金、业务往来的核查程序、核查范围、核查证据及核查结论。</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19、公司采用自主生产、自主分装与定制采购相结合的方式获取产品，且以定制采购为主。根据中国证监会颁布的《上市公司行业分类指引》（2012年修订），公司所处行业为“F52 零售业”；根据国家统计局颁布的《国民经济行业分类》（GB/T4754-2017），公司所处行业为“F522 食品、饮料及烟草制品专门零售”。请发行人说明：（1）自主生产、自主分装与定制采购的具体内容、工序、人员、设备、技术等业务流程差异情况，自主生产和自主分装业务是否明确可区分，定制采购是否需要发行人进一步分装、包装等加工环节，自主生产、自主分装与定制采购所产生的收入、毛利及贡献比重情况。（2）《国民经济行业分类》中关于“酒、饮料和精制茶”及“食品、饮料及烟草制品专门零售”的具体规定和区别，结合发行人业务模式说明发行人是否涉及精制茶加工业务及相关的收入占比，报告期内发行人同行业可比企业“自主生产”“自主分装” “零售销售”相关收入结构，以及其对应的行业定位情况、同行业可比公司的所属行业情况，进一步说明行业分类的合理性、准确性。请保荐机构、发行人律师核查并发表明确意见。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20、2015年11月，公司在全国中小企业股份转让系统挂牌，2018年4月公司在股转系统终止挂牌。请发行人说明：（1）股份在新三板挂牌期间的交易情况，发行人股东中是否存在三类股东、是否存在股东超200人情形，挂牌期间的所有公开披露信息与本次申请文件和财务报告披露的内容是否存在实质性差异，如有，请列示对照表予以解释说明。（2）挂牌后在董事会或股东大会决策、股份交易、信息披露、增发股份等方面的合法合规性，是否履行必要的程序，是否存在违法违规情形，是否构成本次发行上市的法律障碍。（3）发行人终止挂牌的原因，是否履行必要的程序。请保荐机构及发行人律师对上述问题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21、发行人于2021年4月6日向深圳证券交易所报送了首次公开发行股票并在创业板上市的申请报告及相关申请文件，2022年5月撤回申请。请发行人说明：（1）前次申报的基本情况，撤回申请文件的原因，相关问题是否已整改及整改结果，是否存在重大违法违规行为，是否存在不符合发行条件的事项，相关事项对本次申报的影响是否已经消除，是否对本次发行上市构成实质性障碍。（2）前次申请撤回以来，发行人股权结构、主要产品、主要客户、毛利率、业务与技术、收入规模及盈利能力等方面发生的主要变化。（3）列表对比说明本次发行上市申请文件与前次申报公开信息存在差异的部分及原因，中介机构及执业人员是否发生变化及原因。（4）前次申报过程中审核部门提出的问题是否已落实，结合前次申报审核问询情况，说明是否存在前次申报时关注的问题本次申报未进行披露和说明的情况。请保荐机构及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22、请发行人说明：（1）募投项目是否均已取得相关备案及环保批准文件，是否已取得募投用地，如未取得，披露募投用地的计划、进展，是否存在重大不确定性，并完善相关风险提示。（2）说明本次募投“营销网络建设项目”新开门店的数量及地域分布，结合目前经营模式、销售渠道、现有门店数量及地域分布情况、门店经营情况等，进一步说明募投项目拟新开门店经济效益分析依据及合理性、可行性。（3）结合宏观市场环境、下游市场需求、行业竞争态势、市场开拓、建设期成本投入等情况，说明本次募投项目实施的必要性及合理性，募投项目新增产能对应客户及与客户销售规模的匹配性，是否存在新增产品无法消化的风险。（4）结合账面可用货币资金、现金流变动、报告期内现金分红等情况说明补充流动资金的具体用途、合理性、必要性。请保荐机构、发行人律师核查并发表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23、报告期内，发行人前五大供应商采购金额累计占当期采购金额的比例分别为29.00%、24.06%、23.70%和27.52%，主要内容涉及毛净、茶叶半成品、定制成品茶以及包装辅料等。请发行人：（1）列示主要采购品种及主要茶种前五名供应商的基本情况、产品形态（毛净、半成品、成品等）、采购数量、采购单价、采购金额、结算方式、付款周期以及与发行人及其控股股东、实际控制人、董事、监事、高级管理人员、持股5%以上股东是否存在关联关系等，是否存在价格调整相关的安排；（2）结合公开市场、第三方资料、可比公司同类型原材料采购单价等说明报告期各期主要茶种采购单价的公允性，不同供应商采购价格是否存在显著差异；（3）说明供应商的选择标准及程序、前五大供应商变动的原因及合理性，是否存在供应商成立时间较短即成为前五大供应商的情形及原因分析；（4）说明报告期内是否存在客户与供应商重叠的情况，如存在，请进一步说明客户与供应商重叠的合理性、是否具有商业实质、是否符合行业惯例，交易金额及占比、销售及采购的具体内容、对应的产品名称、采购和销售是否为相互独立的交易、价格的公允性等，与发行人及其控股股东、实际控制人、董事、监事、高级管理人员、持股5%以上股东是否存在关联关系。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24、报告期内，发行人主营业务毛利率分别为53.31%、53.22%、53.72%和55.56%。请发行人：（1）结合产品价格变化、原材料价格变动、单位成本构成及变动、单价波动原因、生产模式、市场拓展等，进一步说明各类细分产品毛利率波动的原因及合理性；（2）说明各类产品毛利率与同行业可比公司可比产品的对比情况，如存在较大差异，请进一步说明原因及合理性；（3）结合销售收入构成、产品线差异、定价模式、成本费用等说明不同渠道产品毛利率的差异较大的原因及合理性，以及与同行业可比公司的差异情况及差异原因。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25、报告期内，发行人期间费用分别为42,191.72万元、51,139.60万元、70,677.97万元和18,446.65万元，占营业收入的比重分别为41.26%、40.39%、40.52%和40.94%；其中销售费用率远高于同行业可比公司。请发行人：（1）说明销售人员、管理人员、研发人员数量变动情况，岗位平均薪酬情况，变动原因及合理性，与同行业可比公司或同地区企业薪酬比较情况；（2）说明销售费用中市场推广及广告宣传费的明细内容及金额、支付对象、计费依据、主要合同签订情况及结算凭证，发行人对推广及宣传活动开展、报销、发票管理等的内部控制政策及执行情况、支出审批流程、风险防范措施，主要支付对象与发行人是否有关联关系、是否存在除业务推广费以外的资金往来、其他利益安排或关系，相关交易价格的制定依据、是否公允，是否存在商业贿赂，各期广告投放的具体情况、广告宣传费归集是否符合《企业会计准则》的规定、电商推广费的具体情况，市场推广及广告宣传费大幅增加的原因、与同行业可比公司差异情况及原因分析；（3）说明租金、水电、折旧摊销、使用权资产折旧金额波动较大的原因，与门店数量、面积等的匹配性；（4）说明销售费用率远高于同行业可比公司的原因及合理性；（5）说明管理费用中折旧摊销资产的具体明细、折旧期限、折旧金额和目前的使用情况，金额波动的原因及合理性，固定资产和无形资产的折旧摊销情况与主营业务成本、期间费用中的折旧摊销金额勾稽关系；（6）说明研发人员与生产人员及相关成本的区分标准，相关料工费在生产项目与研发项目之间归集和分摊情况，是否存在应计入成本但计入研发费用的情形，是否存在研发费用资本化的情况，研发费用的分摊与核算是否准确、完整，与研发相关的内控机制是否健全、有效，研发费用变动的原因及合理性。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26、报告期内，发行人存在关联采购、关联销售、关联租赁等。请发行人：（1）说明主要关联采购及关联销售的必要性、交易的具体内容、交易金额波动的原因及合理性，结合交易价格与无关联第三方对比情况说明交易作价的公允性，说明关联交易金额占发行人及关联方同类采购/销售的占比情况、是否存在专门为发行人服务或者重大依赖的情形、是否存在承担成本费用、利益输送的相关情形，说明结算安排、信用政策等主要合同约定，是否与无关联第三方的相关约定存在差异；（2）说明报告期内关键管理人员薪酬增幅较大的原因、与经营业绩及业务规模的匹配性；（3）说明关联方资产转让的背景及原因，交易作价的公允性、主要合同约定及实际履约情况；（4）结合租赁房产情况、同地区可比交易价格等说明主要租赁价格的公允性，报告期内金额波动较大的原因及合理性；（5）说明主要关联方应收应付、预收预付、其他应收应付款项发生的背景、尚未结算的原因、是否符合合同约定、坏账准备计提情况及其充分性。请保荐机构、会计师核查并发表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27、报告期各期末，发行人货币资金余额分别为20,617.68万元、17,268.02万元、25,456.97万元和18,287.17万元。请发行人：（1）说明报告期各期末货币资金的具体内容及存放情况、是否存在资金受限情形，资金管理政策、内控体系、制度建设及运行有效性情况；（2）量化分析货币资金变动与营业收入、存货及应收款项变动、投资活动支出及筹资活动流入等项目之间的匹配情况，并结合普洱茶单品等存货库存水平、现金分红等具体情况，说明报告期内货币资金金额波动较大的原因；（3）列示报期间内主要银行理财产品的具体情况，包括产品名称、合同主要条款、购买金额、持有期限、预期收益率、列报、对发行人的具体影响、相关会计处理是否符合《企业会计准则》的规定；（4）结合日均货币资金结余情况，说明报告期内存在大额货币资金、资金管理活动较少的合理性。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28、报告期各期末，发行人应收账款账面余额分别为2,124.33万元、3,514.55万元、3,301.96万元和2,742.04万元，占同期营业收入的比例分别为2.08%、2.78%、1.89%和6.09%。请发行人：（1）结合销售模式的收入构成、不同模式下结算安排及信用政策差异、业务规模等相关因素，量化分析说明应收账款余额及占营业收入比例波动的原因及合理性；（2）列示前十大应收款客户的名称、金额、占比、账龄、是否超过合同约定付款时间、超期未回款的原因（如适用）、报告期内是否调整信用政策、期后回款金额及回款来源是否与签订合同客户一致；（3）结合公司在销售模式、信用政策、结算方式等方面与同行业公司的差异情况，说明应收账款周转率与同行业可比公司存在差异原因及合理性；（4）说明发行人各期末应收账款的期后回款情况，期末余额在信用期内、信用期外的分布情况，主要逾期客户名单、金额及原因，说明发行人对应收账款催收内部控制的设计和执行情况；（5）结合同行业可比公司坏账准备计提政策、主要客户资信情况说明坏账准备计提的充分性。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29、报告期各期末，发行人预付款项占流动资产比例分别为4.14%、3.28%、2.17%和5.91%，最近一期末增幅较大主要是预付淮安富勤贸易有限公司货款。请发行人：（1）结合“贵酒”系列组合装产品的销售及采购情况，说明预付供应商淮安富勤贸易有限公司货款的必要性、是否符合行业惯例，说明淮安富勤贸易有限公司和发行人的合作历史、履约能力、合同签订时间、采购合同中关于采购内容、价格及公允性、结算方式、交货周期、交货质量、违约赔偿等方面的约定以及期后采购实现情况、是否符合约定，与发行人及其关联方是否存在关联关系或潜在利益往来；（2）说明各报告期末预付款的主要供应商名称、和发行人的合作历史、采购内容、相关合同约定、期后采购实现情况；（3）说明1年以上预付款对应的经济事项、尚未结算的原因、是否符合合同约定。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30、报告期各期末，发行人其他应收款账面价值分别为2,305.81万元、3,175.42万元、3,857.17万元和4,375.89万元，主要为保证金及押金、在途资金等；其他应付主要为保证金及意向金、应付长期资产款项、预提费用等。请发行人：（1）按类别列示其他应收保证金及押金的构成，说明主要保证金及押金的具体情况、报告期各期末尚未收回的原因、是否符合合同约定，报告期内金额持续提高的原因及合理性，坏账准备计提是否充分；（2）按直营门店POS机刷卡、尚在银联、拉卡拉等第三方支付公司暂存资金列示报告期各期末在途资金，超过T+1尚未划入公司账户的资金余额及原因；（3）说明其他应付保证金及意向金的具体构成，结合与加盟商等的合同约定条款说明金额较大的原因、与加盟商规模等的匹配性；（4）列示各期末押金及保证金前五大欠款方，报告期内的业务规模、采购内容、结算安排及信用政策，各期末应付款余额变动原因，是否存在利益输送，是否与发行人、控股股东及实际控制人、董监高及核心人员存在关联关系；（5）说明预提费用及应付长期资产款项的具体内容、对应的经济事项，计提的标准及充分性；（6）说明其他应付款的账龄结构，报告期各期末1年以上其他应收应付款存在的具体情况、尚未结算的原因、是否符合合同约定。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31、报告期各期末，存货账面价值分别为20,899.69万元、32,046.13万元、35,143.71万元、38,117.82万元，主要为库存商品、半成品、包装材料及周转材料等；存货跌价准备金额分别为78.12万元、144.42万元、159.70万元和172.08万元，为库存商品的跌价准备。请发行人：（1）说明报告期各期末库存商品的明细情况及金额占比、生产周期及销售周期、库存水平的合理性及变动的原因，订单覆盖情况、期后销售情况，结合“普洱年份茶”存货体系的具体情况及铁观音、岩茶、白茶及普洱的库存情况，等说明报告期内库存商品金额持续增加的原因及合理性；（2）结合工艺特点、生产模式、各模式下具体参与情况等，补充说明半成品金额较大的原因及合理性，是否与同行业公司情况一致，2021年末半成品余额大幅增加的原因及合理性；（3）说明原材料的具体构成金额及占比，主要原材料的采购周期、备货政策及原材料水平的合理性，2020年度原材料余额大幅增加的原因及合理性；（4）说明发出商品对应的客户情况，期后确认收入时点，是否均有订单支持，报告期内金额波动较大的原因及合理性；（5）说明存货跌价准备的测试过程和结果、同行业可比公司对比情况及差异原因分析、各期末减值准备的期后转回情况，结合茶种的库龄、保质期、专家意见、减值测试的具体过程等说明存货跌价准备计提的充分性；（6）说明库龄较长存货的具体构成情况，形成原因、是否符合该类产品的使用特点；（7）说明使用自有仓库为加盟商、客户存茶以及自有存货存放于供应商仓库的具体情形，发行人的存货盘点制度、报告期内的盘点情况，包括但不限于存货的盘点时间、范围、对非在库存货的盘点方式、盘点结果及中介机构的监盘情况等，存货管理内部控制是否健全并有效执行；（8）结合行业特征、经营模式、同行业可比公司的存货及资产状况等，说明存货周转率与同行业可比公司存在差异的原因及合理性。请保荐机构、会计师发表明确意见，重点说明对于报告期内发行人存货项目的核查情况、金额、比例及结论。</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32、报告期各期末，发行人固定资产账面价值分别为12,979.23万元、16,010.66万元、18,342.77万元和18,369.28万元，主要为房屋建筑物；在建工程账面价值分别为330.84万元、5.44万元、1,102.06万元和2,067.60万元。请发行人：（1）说明房屋建筑物、电子设备及其它、机器设备的基本情况，包括但不限于主要明细构成、入账时间、取得方式、数量、价值和折旧年限、残值率，结合房屋建筑物位置、用途、面积等详细信息，以及主要电子设备及机器设备数量、产能、技术性能等情况；（2）结合产品技术迭代和更新、固定资产的实际使用情况、同行业可比公司情况等，补充说明固定资产预计使用年限、残值率是否谨慎，固定资产折旧计提方法的合理性；固定资产是否存在减值迹象，可回收金额的确认情况，是否需计提减值准备；各期末固定资产盘点情况，是否存在盘亏、毁损、闲置不用等情形；（3）结合发行人生产经营的具体过程、各环节机器设备需求量等说明固定资产规模及变动情况与发行人的经营情况是否匹配，是否存在对现有主要设备进行更换或升级的需要，更换或升级相关设备对发行人生产经营和利润造成的影响；（4）说明各报告期期末主要在建工程的基本情况，包括工程内容、初始投入时点、预计投资金额、建设进度、已转固金额、在建工程的建设进度是否符合预期、在建工程的成本归集范围，是否包含与该项目无关的支出；报告期内是否存在已完工但未及时转入固定资产的情形，是否存在尚未转固但已实际投入使用的情形，是否存在长期闲置的情形和减值迹象。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33、报告各期末，发行人生产性生物资产为子公司现代农业所持有的茶树资产，无形资产主要为土地使用权及软件，长期摊销费用主要为装修设计费。请发行人：（1）说明生产性生物资产各生长阶段的特征、划分标准，是否符合行业惯例，与同行业可比公司是否存在差异，报告期末各类生物资产的数量及分布情况，资产来源、主要供应商及与发行人及其实际控制人、控股股东、持股5%以上股东、董事、监事、高级管理人员、其他核心人员等是否存在关联关系或其他利益约定；（2）说明生产性生物资产的折旧政策及与同行业可比公司差异情况，盘点方法和盘点结果，减值准备的测算过程、减值准备计提的充分性，保证生物性资产计量准确、完整相关的内控制度及运行情况；（3）说明土地使用权的来源、取得时间、入账价值、摊销等情况以及软件的名称、具体用途、取得时间、入账价值、实际使用情况、摊销等情况，摊销年限及方法与同行业公司是否存在差异，减值测试具体方法及主要参数、相关参数估计的合理性，减值计提的具体情况及充分性；（4）说明直营门店、办公区域、仓库和厂房的具体装修支出、所在地区、面积，装修设计支出的公允性、2020年度大幅增加的原因及合理性，主要服务提供方与发行人及其实际控制人、控股股东、持股5%以上股东、董事、监事、高级管理人员是否存在关联关系，摊销政策、年限、具体摊销情况、是否符合《企业会计准则》的规定；（5）说明承包经营权的具体情况，林地承包经营权的取得是否合法、有效，是否存在权属争议、纠纷，年限是否合规，结合采购模式、生产模式、经营规模等说明承包经营权余额较低的合理性。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34、报告期各期末，发行人应付账款余额分别为14,749.30万元、16,051.99万元、13,544.34万元和11,098.15万元，为应付货款。请发行人：（1）结合生产经营情况、采购付款流程、结算方式、付款周期等，说明报告期各期应付账款与采购金额、成本的匹配关系，应付账款波动的原因及合理性；（2）说明与主要供应商期后结算情况，是否严格按照采购合同的条款按时付款，报告期内应付账款的发生额和支付情况是否具有采购合同或者订单支持，最终收款方是否为货物或者服务的提供方；（3）说明前五大应付账款的基本情况，报告期内主要供应商与应付账款对象之间的匹配性，结合公司付款政策、供应商资金规模、市场地位、采购规模，说明与主要供应商存在差异的原因及合理性，采购内容是否与销售订单匹配；（4）说明报告期各期应付账款账龄分布情况及账龄1年以上未支付的原因、期后结算情况，是否严格按照采购合同的条款按时付款。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35、报告期各期末，发行人预收款项和合同负债的账面价值分别为4,793.04万元、6,850.54万元、6,390.15万元和6,320.06万元，主要为公司销售预付卡形成的预收款。请发行人：（1）说明预付卡管理制度，包括但不限于折扣政策、消费限制、过期处理政策、回收政策、结算方式、使用范围、有效期限；（2）说明预付卡的销售、充值、使用、结算、失效等各环节的内部控制及其有效性，说明各环节会计处理及合规性，包括预付卡制作成本、过期未消费的预付卡会计处理等；（3）说明与预付卡销售相关收入的确认时点、依据和方法，并说明开票时点，说明开票时点和收入确认时点是否存在差异，是否存在通过预付卡提前确认收入的情形；（4）说明报告期各期期初预收预付卡款、当期销售或充值、结转收入、失效或终止、期末预收预付卡款金额，并说明各项金额波动的原因及合理性；（5）说明报告期内是否存在会员积分情形，如存在，请进一步说明发放标准、使用政策、过期处理政策、具体会计核算方法及合规性，报告期各期期初积分金额，当期新增、结转收入、失效或终止积分金额，期末积分金额，并说明各项金额波动的原因及合理性；（6）补充说明预收款项/合同负债账龄、期后结转情况，是否存在客户退款的情况。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36、发行人应交税费主要由增值税、企业所得税及个人所得税构成。请发行人：（1）说明各期末应交企业所得税余额波动的合理性，利润总额调整为应纳税所得额涉及的主要纳税调整事项，各期所得税费用的计算过程、主要纳税调整项目，当期所得税费用与纳税申报表中应纳税额之间的差异及原因分析；（2）说明报告期各期增值税销项税额与销售规模、进项税额与采购规模的匹配性，报告期内应交增值税波动的原因；（3）说明个人所得税的相关情况、是否已按时缴纳，是否存在延期缴纳等情况。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37、报告期内，发行人经营活动产生的现金流量净额分别为14,515.67万元、6,946.25万元、29,828.43万元和-1,305.91万元，与净利润存在较大差异；报告期内发行人存在现金分红。请发行人：（1）说明“收到其他与经营活动有关的现金”“支付其他与经营活动有关的现金”“收到其他与投资活动有关的现金”“支付其他与投资活动有关的现金”“支付其他与筹资活动有关的现金”的具体内容以及与相关科目的勾稽关系，报告期内金额变动较大的原因；（2）结合主要客户、销售政策、结算条件、信用政策等，说明报告期各期经营活动现金流与净利润差异的原因及合理性；（3）说明报告期内现金分红的原因及合理性、分红实施情况，对发行人经营稳定性、现金流的影响，是否符合《公司法》《公司章程》等法律法规与内部规范的规定，报告期内控股股东、实际控制人、董事、监事、高级管理人员等相关人员获得分红款项的主要资金流向与用途。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38、请发行人：（1）说明投资性房地产的主要内容、认定依据、入账成本及初始计量、后续计量，相关折旧/摊销政策及其合理性、谨慎性，是否符合《企业会计准则》的规定；（2）说明报告期各项递延所得税资产的来源与计算依据、增减变动原因、内部交易未实现利润的具体情况，相关会计处理及是否符合《企业会计准则》的规定；（3）说明政府补助区分为经常性损益和非经常性损益，计入当期损益、递延收益等的具体情况及区分依据，主要政府补助的具体情况、取得依据、到账时间，相关会计处理是否符合《企业会计准则》的规定；（4）说明报告期末使用权资产、租赁负债的具体情况，包括但不限于账面价值、资产性质及来源、初始计量金额的依据、折旧年限及年限确定方式及合理性；（5）说明会计差错更正的原因、涉及的具体事项、相关的会计处理及是否符合《企业会计准则》的规定，第三方回款的原因、必要性及商业合理性，是否存在会计基础工作薄弱、内控缺失等情形；（6）发行人历次股份变动中有无应适用股份支付的情形。请保荐机构、会计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39、请保荐人、申报会计师结合中国证监会《首发业务若干问题解答（2020年6月修订）》问题54的要求，核查并说明：（1）对发行人及其控股股东、实际控制人、发行人主要关联方、董事、监事、高管、关键岗位人员等开立或控制的银行账户流水的具体核查情况，包括但不限于资金流水核查的范围、核查账户数量、取得资金流水的方法、核查完整性、核查金额重要性水平、核查程序、异常标准及确定程序、受限情况及替代措施等；（2）核查中发现的异常情形，包括但不限于是否存在大额取现、大额收付等情形，是否存在相关个人账户与发行人客户及实际控制人、供应商及实际控制人、发行人股东、发行人其他员工或其他关联自然人的大额频繁资金往来；若存在，请说明对手方情况，相关个人账户的实际归属、资金实际来源、资金往来的性质及合理性，是否存在客观证据予以核实；（3）结合上述情况，进一步说明针对发行人是否存在资金闭环回流、是否存在体外资金循环形成销售回款或承担成本费用、是否存在股份代持等情形所采取的具体核查程序、各项核查措施的覆盖比例和确认比例、获取的核查证据和核查结论，并就发行人内部控制是否健全有效、发行人财务报表是否存在重大错报风险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40、关于IT审计。请发行人：（1）说明发行人主要IT系统的基本情况及主要功能，与主要客户及供应商的对接情况、数据来源；（2）说明IT系统控制情况，包括但不限于系统开发、访问逻辑、权限管理、系统运维、数据安全、数据备份等流程控制情况，是否存在过度授权，是否存在实施数据造假舞弊的风险，是否发生过导致数据异常的重大事件；（3）说明信息系统存储数据的真实性、准确性及完整性、内部控制的有效性，运营数据与财务数据的匹配性。请保荐机构、会计师就发行人的信息系统是否真实、准确、完整地记录发行人的经营活动，业务数据与财务数据是否一致发表明确意见，并说明：（1）针对发行人业务财务数据一致性的核查情况，包括但不限于经营数据与核算数据、资金流水等财务数据的一致性或匹配性，是否存在财务核算数据与经营数据不一致、资金流水与订单金额不匹配等事项；（2）针对用户行为及订单表现的核查分析情况，包括但不限于如何识别异常用户及异常订单、异常数据临界值的设立标准，针对异常用户或异常订单收入真实性所做的进一步核查工作；（3）IT审计的具体情况，包括但不限于审计机构、业务背景及审计的范围、程序、结论，IT审计中发现的主要问题、是否存在异常及审计结论、是否存在“刷单”或者通过购买积分等方式变相“刷单”的情形，是否对产品、收入、成本进行合理性分析，请提交IT审计报告。</w:t>
      </w:r>
    </w:p>
    <w:p>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6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与财务会计资料相关的问题</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41、请发行人对报告期申报财务报表与原始财务报表涉及差异调整的具体事项、内容和理由予以逐项说明，说明相关项目截止性或重分类调整的具体原因、依据及其合规性，重点说明对损益的影响、涉及纳税义务的处理与履行情况。请保荐机构、申报会计师逐项核查差异调整的事项及依据是否符合《企业会计准则》的规定，补充分析发行人的会计核算及会计基础工作是否符合规范性的要求。</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42、请发行人说明财务报表项目比较数据变动幅度达30%以上的情况及原因是否已恰当披露。请保荐机构和会计师发表核查意见。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43、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44、请发行人详细说明并披露：新金融工具准则施行后对发行人在风险管理、金融资产分类、金融资产减值等方面产生的变化情况，是否存在重大不利影响；新金融工具准则施行后对发行人财务状况的影响，如相关科目列示的变化情况，对金融资产和负债的重新认定、对发行人期初留存收益的影响，相关会计政策和估计的影响。请发行人比照《发行监管问答——关于申请首发企业执行新收入准则相关事项的问答》的要求，披露新收入准则实施前后收入确认会计政策的主要差异以及实施新收入准则在业务模式、合同条款、收入确认等方面产生的影响，同时披露实施新收入准则对首次执行日前各年合并财务报表主要指标的影响，并披露合并报表范围内是否存在境外上市子公司。</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45、请发行人及相关中介机构对照证监会公告[2012]14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信息披露事项的解决过程和落实情况，发表明确的结论性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46、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6"/>
        <w:rPr>
          <w:rFonts w:hint="default"/>
          <w:lang w:val="en-US" w:eastAsia="zh-CN"/>
        </w:rPr>
      </w:pPr>
    </w:p>
    <w:p>
      <w:pPr>
        <w:pStyle w:val="6"/>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textAlignment w:val="auto"/>
        <w:outlineLvl w:val="0"/>
        <w:rPr>
          <w:rFonts w:hint="default" w:ascii="Times New Roman" w:hAnsi="Times New Roman" w:cs="Times New Roman"/>
          <w:lang w:eastAsia="zh-CN"/>
        </w:rPr>
      </w:pPr>
      <w:bookmarkStart w:id="0" w:name="_GoBack"/>
      <w:bookmarkEnd w:id="0"/>
    </w:p>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EF8945"/>
    <w:multiLevelType w:val="singleLevel"/>
    <w:tmpl w:val="5CEF894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1E55034A"/>
    <w:rsid w:val="26A13CE2"/>
    <w:rsid w:val="27C800C3"/>
    <w:rsid w:val="2BBB6B17"/>
    <w:rsid w:val="2D9F69A7"/>
    <w:rsid w:val="37AE5F9C"/>
    <w:rsid w:val="37EDAD30"/>
    <w:rsid w:val="3AD7EBA5"/>
    <w:rsid w:val="3B652498"/>
    <w:rsid w:val="3BFBC622"/>
    <w:rsid w:val="3CDFE19F"/>
    <w:rsid w:val="3FC7D60B"/>
    <w:rsid w:val="5EFFAB86"/>
    <w:rsid w:val="5F6B20CA"/>
    <w:rsid w:val="5FF34D79"/>
    <w:rsid w:val="6AEFDBE7"/>
    <w:rsid w:val="6D7FBAC5"/>
    <w:rsid w:val="6E06D07B"/>
    <w:rsid w:val="6FEF9D0D"/>
    <w:rsid w:val="75FFA0B9"/>
    <w:rsid w:val="79FF7D71"/>
    <w:rsid w:val="7BBDD0B6"/>
    <w:rsid w:val="8BD2456D"/>
    <w:rsid w:val="9FFF97CB"/>
    <w:rsid w:val="DABDED2D"/>
    <w:rsid w:val="DF982D2A"/>
    <w:rsid w:val="EB740799"/>
    <w:rsid w:val="EFE79B86"/>
    <w:rsid w:val="F1FF7208"/>
    <w:rsid w:val="F3FF2F9A"/>
    <w:rsid w:val="F7F7200B"/>
    <w:rsid w:val="FBBFF6B1"/>
    <w:rsid w:val="FDD7F21E"/>
    <w:rsid w:val="FF75385C"/>
    <w:rsid w:val="FFFB3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3">
    <w:name w:val="Body Text Indent"/>
    <w:basedOn w:val="1"/>
    <w:qFormat/>
    <w:uiPriority w:val="99"/>
    <w:pPr>
      <w:adjustRightInd w:val="0"/>
      <w:snapToGrid w:val="0"/>
      <w:spacing w:beforeLines="50" w:line="360" w:lineRule="auto"/>
      <w:ind w:firstLine="480"/>
    </w:pPr>
    <w:rPr>
      <w:rFonts w:hint="eastAsia" w:ascii="宋体" w:hAnsi="宋体"/>
      <w:sz w:val="2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Body Text First Indent 2"/>
    <w:basedOn w:val="3"/>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character" w:styleId="9">
    <w:name w:val="page number"/>
    <w:basedOn w:val="8"/>
    <w:qFormat/>
    <w:uiPriority w:val="0"/>
  </w:style>
  <w:style w:type="paragraph" w:customStyle="1" w:styleId="10">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1">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2">
    <w:name w:val=" Char Char Char Char"/>
    <w:basedOn w:val="1"/>
    <w:qFormat/>
    <w:uiPriority w:val="0"/>
    <w:pPr>
      <w:widowControl/>
      <w:spacing w:after="160" w:afterLines="0" w:line="240" w:lineRule="exact"/>
      <w:jc w:val="left"/>
    </w:pPr>
  </w:style>
  <w:style w:type="paragraph" w:customStyle="1" w:styleId="13">
    <w:name w:val=" Char1 Char Char Char"/>
    <w:basedOn w:val="1"/>
    <w:qFormat/>
    <w:uiPriority w:val="0"/>
    <w:pPr>
      <w:widowControl/>
      <w:spacing w:after="160" w:afterLines="0" w:afterAutospacing="0" w:line="240" w:lineRule="exact"/>
      <w:jc w:val="left"/>
    </w:pPr>
  </w:style>
  <w:style w:type="paragraph" w:customStyle="1" w:styleId="14">
    <w:name w:val="005正文"/>
    <w:basedOn w:val="1"/>
    <w:qFormat/>
    <w:uiPriority w:val="0"/>
    <w:pPr>
      <w:adjustRightInd w:val="0"/>
      <w:snapToGrid w:val="0"/>
      <w:spacing w:before="50" w:beforeLines="50" w:line="360" w:lineRule="auto"/>
      <w:ind w:firstLine="200" w:firstLineChars="200"/>
    </w:pPr>
  </w:style>
  <w:style w:type="paragraph" w:customStyle="1" w:styleId="15">
    <w:name w:val="招股书正文"/>
    <w:qFormat/>
    <w:uiPriority w:val="0"/>
    <w:pPr>
      <w:widowControl w:val="0"/>
      <w:overflowPunct w:val="0"/>
      <w:autoSpaceDE w:val="0"/>
      <w:autoSpaceDN w:val="0"/>
      <w:adjustRightInd w:val="0"/>
      <w:snapToGrid w:val="0"/>
      <w:spacing w:before="120" w:line="360" w:lineRule="auto"/>
      <w:ind w:firstLine="480" w:firstLineChars="200"/>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5</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2022-08-30T17:30:00Z</dcterms:created>
  <dc:creator>jqqin</dc:creator>
  <cp:lastModifiedBy>殷明明</cp:lastModifiedBy>
  <dcterms:modified xsi:type="dcterms:W3CDTF">2023-01-09T18:57:14Z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