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eastAsia" w:ascii="Times New Roman" w:hAnsi="Times New Roman" w:eastAsia="华文中宋" w:cs="Times New Roman"/>
          <w:b/>
          <w:sz w:val="36"/>
          <w:szCs w:val="36"/>
        </w:rPr>
        <w:t>湖南省兵器工业集团股份有限公司</w:t>
      </w:r>
      <w:r>
        <w:rPr>
          <w:rFonts w:hint="default" w:ascii="Times New Roman" w:hAnsi="Times New Roman" w:eastAsia="华文中宋" w:cs="Times New Roman"/>
          <w:b/>
          <w:sz w:val="36"/>
          <w:szCs w:val="36"/>
          <w:lang w:eastAsia="zh-CN"/>
        </w:rPr>
        <w:t>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东兴证券股份有限公司：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现对你公司推荐的湖南省兵器工业集团股份有限公司（以下简称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2019年12月，湖南省国资委持有的湖南兵器有限100.00%的股权无偿划转至湘科集团。报告期内，发行人开展混合所有制改革及员工持股试点工作。请发行人说明：（1）无偿划转的背景、原因、履行的程序及合规性、完备性，是否符合国资管理相关规定。（2）历史沿革中涉及国资股权变动，说明是否履行了相关的国资评估、备案、审批等法律程序，是否在规定交易场所进行交易，相关定价是否公允，是否存在国有资产流失情况，是否存在程序瑕疵，是否存在纠纷或潜在纠纷，是否构成本次发行上市的法律障碍。（3）发行人混合所有制改革是否履行必要程序，是否完全符合经批准的混合所有制改革方案，有无超出方案的情形，是否符合中央关于混改的相关文件精神。（4）历史上发行人设立及存续期间是否存在不规范事项，如有则请补充披露具体内容、后续处理方式，以及是否受到过行政处罚或存在被处罚风险，是否构成重大违法行为及本次发行的法律障碍，是否存在纠纷或潜在纠纷。（5）历次增资及股权转让的原因，增资或股权转让价格，定价依据、公允性和合理性；股权转让是否真实，有关股权变动是否为双方真实意思表示，是否存在争议或潜在纠纷，是否存在委托持股、利益输送或其他利益安排。（6）发行人历次出资、增资、股权转让的资金来源、合法性，是否存在出资不实、抽逃资本等情况。（7）发行人直接和间接股东与发行人其他股东、董事、监事、高级管理人员、本次发行中介机构及其负责人、高级管理人员、经办人员是否存在亲属关系、关联关系、委托持股、信托持股、对赌协议或其他利益输送安排，是否具备法律、法规规定的股东资格。</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保荐机构及发行人律师对上述问题核查并发表明确意见，并说明历史上新增股东（追溯至最终自然人）的基本情况（包括但不限于身份背景、近5年工作经历，股东为公司员工的，请说明该股东进入发行人工作的时间、任职情况），对发行人目前股权结构中是否存在委托持股、信托持股、股东的适格性、是否存在股权纠纷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招股说明书披露：（1）湘科集团、湖南高创新虽均属于湖南省国资委控制的企业，但双方不构成一致行动人；（2）2021年8月25日，湘科集团与湖南兵器员工持股平台签署《一致行动协议》，湖南兵器员工持股平台为湘科集团的一致行动人。请发行人：（1）披露《一致行动协议》的主要内容，一致行动关系是否附条件和可撤销，一致行动有效期，发行人上市后相关一致行动安排是否稳定可持续；《一致行动协议》发生意见分歧或纠纷时的解决机制，对于共同控制的认定是否构成影响。（2）说明湖南高创新及其控制的企业是否存在与发行人利益冲突的情形、是否存在与发行人及其子公司从事相同或相似业务的情形、最近3年是否存在重大违法违规，是否存在未将其认定为湘科集团一致行动人以规避同业竞争、关联交易、股份锁定期监管要求的情形。（3）根据《证券期货法律适用意见》第1号相关规定，说明无偿划转是否导致公司控制权变更。请保荐机构及发行人律师对上述问题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控股股东控制的其他企业中，从事涉军事项的企业包括：“军工企业N系湖南新天地投资的控股子公司。军工企业N持有武器装备科研生产许可证、装备承制单位注册证书，并从事军用火工品、军用气囊装置的生产与销售。”；“电子研究所系湖南新天地投资的全资子公司，从事干扰机等产品的生产与销售。”；“湖南湘科科技研究院有限公司系湘科集团的全资子公司。湘科研究院现持有8项与枪械相关的专利权和专利申请权”等。请发行人：（1）说明上述企业是否与发行人存在同业竞争或潜在同业竞争，报告期与发行人是否存在资金、业务往来，是否存在销售渠道、主要客户和供应商重叠的情形；湘科研究院进行军品研究的主要内容和范围，与发行人军品业务是否存在重叠，湘科研究院与枪械有关专利与发行人现有枪械专利的异同，是否存在相近或替代性，是否已经或可以运用到发行人产品中，并结合上述情况说明湘科研究院与发行人是否构成同业竞争。（2）逐一补充说明控股股东及实际控制人全资或控股的企业，进一步说明是否存在与公司利益冲突的情形、是否存在与公司及其子公司从事相同或相似业务的情形，如存在，请说明对公司独立性的影响。（3）说明认定不存在同业竞争关系时，是否已经审慎核查并完整地披露发行人控股股东、实际控制人直接或间接控制的全部关联企业。（4）说明上述企业的实际经营业务，说明是否简单依据经营范围对同业竞争做出判断，是否仅以经营区域、细分产品、细分市场的不同来认定不构成同业竞争。（5）说明上述企业的历史沿革、资产、人员、业务和技术等方面与发行人的关系，经营的合法合规性，采购销售渠道、客户、供应商等方面是否影响发行人的独立性。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说明：（1）发行人是否按照《公司法》《企业会计准则》《上市公司信息披露管理办法》及其他相关规定完整、准确地披露关联方关系及交易。（2）报告期关联交易背景、原因、合理性和必要性，关联方定价依据及公允性，是否存在替发行人分担成本、费用的情况，是否存在利益输送等其他利益安排。（3）发行人减少关联交易的控制措施是否有效。（4）发行人关联交易履行的审批程序，公司治理是否健全有效，是否存在未及时按规定履行必要的决策程序、后续补充确认的情况，相关会议制度、内部控制措施是否切实有效执行。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曾向关联方拆出资金，控股股东湘科集团曾将发行人资金错误归集至湘科集团。请发行人：（1）说明发行人关联方资金拆借是否履行了必要和规范的决策程序，关联方资金占用是否计提占用费及公允性，相关事项是否已彻底整改，发行人未来将采取哪些措施防范关联方资金占用行为发生。（2）说明发行人控股股东是否实质对发行人资金进行集中管理，是否存在将发行人闲置资金自动划入控股股东控制的关联方的要求和行为，与控股股东在资金管理、资金调拨权限方面的约定。（3）结合上述情形进一步说明控股股东及其控制的其他企业与发行人之间在资产、人员、技术、获客、业务开展、资质等方面是否相互独立及依据，以及发行人是否具有直接面向市场独立持续经营的能力，发行人业务的独立性是否符合发行上市条件。请保荐机构及发行人律师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内，发行人来自前五大客户的收入占营业收入的比例分别为88.60%、94.31%、91.85%和91.85%，集中度高，且对第一大客户的销售占比超过50%。请发行人：（1）结合下游行业经营特点等情况，说明向主要客户销售集中度较高的趋势是否符合行业特征，是否与同行业可比上市公司存在较大差异；（2）说明分产品客户的基本情况，包括但不限于成立时间、注册资本、经营范围、主要股东、与发行人合作年限、主要销售商品等，信用政策、结算方式及期末应收款项情况，并说明新增或退出大客户的原因与合理性（如有）；（3）说明主要客户的获取方式，发行人与主要客户的交易背景、定价政策及销售占比发生变化的原因，主要客户及其关联方与发行人是否存在关联关系、同业竞争关系或其他利益安排等；（4）结合合同订单获取方式等补充说明发行人是否为主要客户的唯一供应商，说明与主要供应商的合作关系是否稳定、可持续；（5）说明报告期内发行人主要客户增减变动原因。请保荐机构、申报会计师说明对主要客户销售核查的方法、内容与比例，并发表明确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关于第一大客户。请发行人：（1）结合与第一大客户的合作基础、合作模式、合同订单获取方式，定价方式，定价公允性等，说明发行人是否具备独立定价权；（2）结合报告期内发行人与第一大客户交易产品的类别、销售频率、销售金额占同类产品的比重，分析发行人是否存在对其存在的重大依赖；（3）按产品类别补充说明发行人对第一大客户各期销售单价、数量、毛利率等因素，并分析变动原因与合理性。请保荐机构、申报会计师结合《首发业务若干问题解答》核查上述问题，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内，发行人对前5大供应商的采购比例为55.59%、50.62%和38.38%，采购集中度呈下降趋势。请发行人：（1）补充说明报告期内分类别主要供应商的采购基本情况，并说明与分类别主要供应商的合作历史、采购方式、采购内容、定价方式、采购金额、采购单价、结算方式等；（2）补充分析说明各类材料采购与产量是否匹配；（3）结合上游行业供需情况，补充说明报告期内主要供应商采购集中度变动的原因与合理性；（4）说明供应商及其关联方与发行人、发行人股东、实际控制人、董监高及其他核心人员是否存在关联关系或其他利益输送情形；（5）补充分析并说明报告期主要供应商变动的原因与合理性；（6）补充分析并说明相同产品同一期间从不同客户采购的价格差异，及不同期间的采购价格差异并说明原因与合理性；（7）结合生产流程说明委托加工具体内容、涉及生产环节；（8）区分不同委外环节，说明主要供应商的基本情况，交易金额及占比，交易金额占该委托加工厂商同期营业收入的比重，是否与发行人存在关联关系或潜在关联关系，是否主要为发行人提供服务。请保荐机构、申报会计师核查上述事项，说明对核查方式、程序、范围、比例等，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发行人营业收入分别为152,575.81万元、176,246.78万元、197,776.66万元和104,176.47万元，逐期增长。请发行人：（1）结合下游行业需求、竞争格局的变化、产品生命周期等，补充说明各类型产品在报告期内销售规模、销售单价、销售数量变动的原因及合理性，并分析未来变动趋势，与同行业可比公司是否一致；（2）按产品类型说明相关产品的产销量（购销量）、产销率（购销率）变动情况，分析相关变动原因；（3）补充说明主营业务收入中检测服务收入的核算内容、业务对象，说明收入确认政策、会计处理方式及合规性；（4）补充说明报告期内营业收入的持续上涨的原因与合理性，是否与同行业可比上市公司存在较大差异；（5）结合各业务收入确认时点及依据，说明是否符合《企业会计准则》规定，是否与同行业公司一致；（6）补充说明各期确认收入包含可变对价的金额及占比，相关会计处理方式及其合规性；（7）说明报告期各期发生的退换货的金额、相关的会计处理，发行人对退货金额估算依据以及计提是否充足、具体会计处理方式及其合规性；（8）量化分析说明主要产品价格波动的原因与合理性，是否与同行业可比公司同类产品变动趋势存在差异；（9）结合行业需求及客户情况，进一步分析发行人业绩季节性波动的原因与合理性，是否与同行业可比公司存在差异，并分析差异原因；（10）结合合同订单情况，说明发行人不同产品的市场份额占比。请保荐机构和申报会计师对前述事项发表意见，并说明对发行人各类客户核查的情况，包括但不限于核查方法、数量、收入占比、核查结果是否存在差异并对说明差异原因。</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报告期各期，公司主营业务成本分别</w:t>
      </w:r>
      <w:bookmarkStart w:id="0" w:name="_Hlk72957347"/>
      <w:r>
        <w:rPr>
          <w:rFonts w:hint="eastAsia" w:cs="宋体"/>
          <w:kern w:val="2"/>
          <w:sz w:val="28"/>
          <w:szCs w:val="20"/>
          <w:lang w:val="en-US" w:eastAsia="zh-CN"/>
        </w:rPr>
        <w:t>为86,984.31万元、97,422.82万元、112,094.83</w:t>
      </w:r>
      <w:r>
        <w:rPr>
          <w:rFonts w:hint="default" w:cs="宋体"/>
          <w:kern w:val="2"/>
          <w:sz w:val="28"/>
          <w:szCs w:val="20"/>
          <w:lang w:val="en-US" w:eastAsia="zh-CN"/>
        </w:rPr>
        <w:t>万</w:t>
      </w:r>
      <w:r>
        <w:rPr>
          <w:rFonts w:hint="eastAsia" w:cs="宋体"/>
          <w:kern w:val="2"/>
          <w:sz w:val="28"/>
          <w:szCs w:val="20"/>
          <w:lang w:val="en-US" w:eastAsia="zh-CN"/>
        </w:rPr>
        <w:t>元</w:t>
      </w:r>
      <w:bookmarkEnd w:id="0"/>
      <w:r>
        <w:rPr>
          <w:rFonts w:hint="eastAsia" w:cs="宋体"/>
          <w:kern w:val="2"/>
          <w:sz w:val="28"/>
          <w:szCs w:val="20"/>
          <w:lang w:val="en-US" w:eastAsia="zh-CN"/>
        </w:rPr>
        <w:t>59,690.82万元，逐期增长。</w:t>
      </w:r>
      <w:r>
        <w:rPr>
          <w:rFonts w:hint="default" w:cs="宋体"/>
          <w:kern w:val="2"/>
          <w:sz w:val="28"/>
          <w:szCs w:val="20"/>
          <w:lang w:val="en-US" w:eastAsia="zh-CN"/>
        </w:rPr>
        <w:t>请发行人：</w:t>
      </w:r>
      <w:r>
        <w:rPr>
          <w:rFonts w:hint="eastAsia" w:cs="宋体"/>
          <w:kern w:val="2"/>
          <w:sz w:val="28"/>
          <w:szCs w:val="20"/>
          <w:lang w:val="en-US" w:eastAsia="zh-CN"/>
        </w:rPr>
        <w:t>（1）量化分析说明报告期内主营业务成本各明细科目波动原因，</w:t>
      </w:r>
      <w:r>
        <w:rPr>
          <w:rFonts w:hint="default" w:cs="宋体"/>
          <w:kern w:val="2"/>
          <w:sz w:val="28"/>
          <w:szCs w:val="20"/>
          <w:lang w:val="en-US" w:eastAsia="zh-CN"/>
        </w:rPr>
        <w:t>分析成本变动趋势与收入变动趋势存在差异的原因与合理性</w:t>
      </w:r>
      <w:r>
        <w:rPr>
          <w:rFonts w:hint="eastAsia" w:cs="宋体"/>
          <w:kern w:val="2"/>
          <w:sz w:val="28"/>
          <w:szCs w:val="20"/>
          <w:lang w:val="en-US" w:eastAsia="zh-CN"/>
        </w:rPr>
        <w:t>；</w:t>
      </w:r>
      <w:r>
        <w:rPr>
          <w:rFonts w:hint="eastAsia" w:cs="宋体"/>
          <w:kern w:val="2"/>
          <w:sz w:val="28"/>
          <w:szCs w:val="20"/>
          <w:lang w:val="zh-CN" w:eastAsia="zh-CN"/>
        </w:rPr>
        <w:t>（</w:t>
      </w:r>
      <w:r>
        <w:rPr>
          <w:rFonts w:hint="eastAsia" w:cs="宋体"/>
          <w:kern w:val="2"/>
          <w:sz w:val="28"/>
          <w:szCs w:val="20"/>
          <w:lang w:val="en-US" w:eastAsia="zh-CN"/>
        </w:rPr>
        <w:t>2</w:t>
      </w:r>
      <w:r>
        <w:rPr>
          <w:rFonts w:hint="eastAsia" w:cs="宋体"/>
          <w:kern w:val="2"/>
          <w:sz w:val="28"/>
          <w:szCs w:val="20"/>
          <w:lang w:val="zh-CN" w:eastAsia="zh-CN"/>
        </w:rPr>
        <w:t>）</w:t>
      </w:r>
      <w:r>
        <w:rPr>
          <w:rFonts w:hint="eastAsia" w:cs="宋体"/>
          <w:kern w:val="2"/>
          <w:sz w:val="28"/>
          <w:szCs w:val="20"/>
          <w:lang w:val="en-US" w:eastAsia="zh-CN"/>
        </w:rPr>
        <w:t>结合具体业务流程补充</w:t>
      </w:r>
      <w:r>
        <w:rPr>
          <w:rFonts w:hint="default" w:cs="宋体"/>
          <w:kern w:val="2"/>
          <w:sz w:val="28"/>
          <w:szCs w:val="20"/>
          <w:lang w:val="en-US" w:eastAsia="zh-CN"/>
        </w:rPr>
        <w:t>说明自产与委外环节，</w:t>
      </w:r>
      <w:r>
        <w:rPr>
          <w:rFonts w:hint="eastAsia" w:cs="宋体"/>
          <w:kern w:val="2"/>
          <w:sz w:val="28"/>
          <w:szCs w:val="20"/>
          <w:lang w:val="en-US" w:eastAsia="zh-CN"/>
        </w:rPr>
        <w:t>公司成本核算流程和方法，</w:t>
      </w:r>
      <w:r>
        <w:rPr>
          <w:rFonts w:hint="default" w:cs="宋体"/>
          <w:kern w:val="2"/>
          <w:sz w:val="28"/>
          <w:szCs w:val="20"/>
          <w:lang w:val="en-US" w:eastAsia="zh-CN"/>
        </w:rPr>
        <w:t>自产环节</w:t>
      </w:r>
      <w:r>
        <w:rPr>
          <w:rFonts w:hint="eastAsia" w:cs="宋体"/>
          <w:kern w:val="2"/>
          <w:sz w:val="28"/>
          <w:szCs w:val="20"/>
          <w:lang w:val="en-US" w:eastAsia="zh-CN"/>
        </w:rPr>
        <w:t>直接材料、人工费用、制造费用的归集和分配方法，产品成本结转方法，是否符合企业会计准则相关要求</w:t>
      </w:r>
      <w:r>
        <w:rPr>
          <w:rFonts w:hint="default" w:cs="宋体"/>
          <w:kern w:val="2"/>
          <w:sz w:val="28"/>
          <w:szCs w:val="20"/>
          <w:lang w:val="en-US" w:eastAsia="zh-CN"/>
        </w:rPr>
        <w:t>；（3）</w:t>
      </w:r>
      <w:r>
        <w:rPr>
          <w:rFonts w:hint="eastAsia" w:cs="宋体"/>
          <w:kern w:val="2"/>
          <w:sz w:val="28"/>
          <w:szCs w:val="20"/>
          <w:lang w:val="zh-CN" w:eastAsia="zh-CN"/>
        </w:rPr>
        <w:t>补充</w:t>
      </w:r>
      <w:r>
        <w:rPr>
          <w:rFonts w:hint="default" w:cs="宋体"/>
          <w:kern w:val="2"/>
          <w:sz w:val="28"/>
          <w:szCs w:val="20"/>
          <w:lang w:val="en-US" w:eastAsia="zh-CN"/>
        </w:rPr>
        <w:t>说明生产成本中各产品</w:t>
      </w:r>
      <w:r>
        <w:rPr>
          <w:rFonts w:hint="eastAsia" w:cs="宋体"/>
          <w:kern w:val="2"/>
          <w:sz w:val="28"/>
          <w:szCs w:val="20"/>
          <w:lang w:val="zh-CN" w:eastAsia="zh-CN"/>
        </w:rPr>
        <w:t>的直接材料的主要构成、变动原因；（</w:t>
      </w:r>
      <w:r>
        <w:rPr>
          <w:rFonts w:hint="default" w:cs="宋体"/>
          <w:kern w:val="2"/>
          <w:sz w:val="28"/>
          <w:szCs w:val="20"/>
          <w:lang w:val="en-US" w:eastAsia="zh-CN"/>
        </w:rPr>
        <w:t>4</w:t>
      </w:r>
      <w:r>
        <w:rPr>
          <w:rFonts w:hint="eastAsia" w:cs="宋体"/>
          <w:kern w:val="2"/>
          <w:sz w:val="28"/>
          <w:szCs w:val="20"/>
          <w:lang w:val="zh-CN" w:eastAsia="zh-CN"/>
        </w:rPr>
        <w:t>）请结合销量、原材料价格变动情况，量化</w:t>
      </w:r>
      <w:r>
        <w:rPr>
          <w:rFonts w:hint="default" w:cs="宋体"/>
          <w:kern w:val="2"/>
          <w:sz w:val="28"/>
          <w:szCs w:val="20"/>
          <w:lang w:val="en-US" w:eastAsia="zh-CN"/>
        </w:rPr>
        <w:t>说明</w:t>
      </w:r>
      <w:r>
        <w:rPr>
          <w:rFonts w:hint="eastAsia" w:cs="宋体"/>
          <w:kern w:val="2"/>
          <w:sz w:val="28"/>
          <w:szCs w:val="20"/>
          <w:lang w:val="zh-CN" w:eastAsia="zh-CN"/>
        </w:rPr>
        <w:t>发行人营业成本、直接材料成本、单位成本变动的原因及合理性；（</w:t>
      </w:r>
      <w:r>
        <w:rPr>
          <w:rFonts w:hint="default" w:cs="宋体"/>
          <w:kern w:val="2"/>
          <w:sz w:val="28"/>
          <w:szCs w:val="20"/>
          <w:lang w:val="en-US" w:eastAsia="zh-CN"/>
        </w:rPr>
        <w:t>5</w:t>
      </w:r>
      <w:r>
        <w:rPr>
          <w:rFonts w:hint="eastAsia" w:cs="宋体"/>
          <w:kern w:val="2"/>
          <w:sz w:val="28"/>
          <w:szCs w:val="20"/>
          <w:lang w:val="zh-CN" w:eastAsia="zh-CN"/>
        </w:rPr>
        <w:t>）请发行人结合报告期内工人人数变动、工人工资政策调整、工人平均工资的变化说明</w:t>
      </w:r>
      <w:r>
        <w:rPr>
          <w:rFonts w:hint="default" w:cs="宋体"/>
          <w:kern w:val="2"/>
          <w:sz w:val="28"/>
          <w:szCs w:val="20"/>
          <w:lang w:val="en-US" w:eastAsia="zh-CN"/>
        </w:rPr>
        <w:t>人工成本</w:t>
      </w:r>
      <w:r>
        <w:rPr>
          <w:rFonts w:hint="eastAsia" w:cs="宋体"/>
          <w:kern w:val="2"/>
          <w:sz w:val="28"/>
          <w:szCs w:val="20"/>
          <w:lang w:val="zh-CN" w:eastAsia="zh-CN"/>
        </w:rPr>
        <w:t>变动</w:t>
      </w:r>
      <w:r>
        <w:rPr>
          <w:rFonts w:hint="default" w:cs="宋体"/>
          <w:kern w:val="2"/>
          <w:sz w:val="28"/>
          <w:szCs w:val="20"/>
          <w:lang w:val="en-US" w:eastAsia="zh-CN"/>
        </w:rPr>
        <w:t>的</w:t>
      </w:r>
      <w:r>
        <w:rPr>
          <w:rFonts w:hint="eastAsia" w:cs="宋体"/>
          <w:kern w:val="2"/>
          <w:sz w:val="28"/>
          <w:szCs w:val="20"/>
          <w:lang w:val="zh-CN" w:eastAsia="zh-CN"/>
        </w:rPr>
        <w:t>合理性；（</w:t>
      </w:r>
      <w:r>
        <w:rPr>
          <w:rFonts w:hint="default" w:cs="宋体"/>
          <w:kern w:val="2"/>
          <w:sz w:val="28"/>
          <w:szCs w:val="20"/>
          <w:lang w:val="en-US" w:eastAsia="zh-CN"/>
        </w:rPr>
        <w:t>6</w:t>
      </w:r>
      <w:r>
        <w:rPr>
          <w:rFonts w:hint="eastAsia" w:cs="宋体"/>
          <w:kern w:val="2"/>
          <w:sz w:val="28"/>
          <w:szCs w:val="20"/>
          <w:lang w:val="zh-CN" w:eastAsia="zh-CN"/>
        </w:rPr>
        <w:t>）请补充</w:t>
      </w:r>
      <w:r>
        <w:rPr>
          <w:rFonts w:hint="default" w:cs="宋体"/>
          <w:kern w:val="2"/>
          <w:sz w:val="28"/>
          <w:szCs w:val="20"/>
          <w:lang w:val="en-US" w:eastAsia="zh-CN"/>
        </w:rPr>
        <w:t>说明</w:t>
      </w:r>
      <w:r>
        <w:rPr>
          <w:rFonts w:hint="eastAsia" w:cs="宋体"/>
          <w:kern w:val="2"/>
          <w:sz w:val="28"/>
          <w:szCs w:val="20"/>
          <w:lang w:val="zh-CN" w:eastAsia="zh-CN"/>
        </w:rPr>
        <w:t>制造费用的明细及各部分变动具体原因，并结合各期的产量情况说明耗</w:t>
      </w:r>
      <w:r>
        <w:rPr>
          <w:rFonts w:hint="default" w:cs="宋体"/>
          <w:kern w:val="2"/>
          <w:sz w:val="28"/>
          <w:szCs w:val="20"/>
          <w:lang w:val="en-US" w:eastAsia="zh-CN"/>
        </w:rPr>
        <w:t>电量</w:t>
      </w:r>
      <w:r>
        <w:rPr>
          <w:rFonts w:hint="eastAsia" w:cs="宋体"/>
          <w:kern w:val="2"/>
          <w:sz w:val="28"/>
          <w:szCs w:val="20"/>
          <w:lang w:val="zh-CN" w:eastAsia="zh-CN"/>
        </w:rPr>
        <w:t>是否合理</w:t>
      </w:r>
      <w:r>
        <w:rPr>
          <w:rFonts w:hint="default" w:cs="宋体"/>
          <w:kern w:val="2"/>
          <w:sz w:val="28"/>
          <w:szCs w:val="20"/>
          <w:lang w:val="en-US" w:eastAsia="zh-CN"/>
        </w:rPr>
        <w:t>；（7）结合发行人产能利用率、产销率等因素分析说明发行人主营业务成本变动的原因与合理性，是否与同行业可比公司存在较大差异，并分析原因</w:t>
      </w:r>
      <w:r>
        <w:rPr>
          <w:rFonts w:hint="eastAsia" w:cs="宋体"/>
          <w:kern w:val="2"/>
          <w:sz w:val="28"/>
          <w:szCs w:val="20"/>
          <w:lang w:val="en-US" w:eastAsia="zh-CN"/>
        </w:rPr>
        <w:t>。请保荐机构、</w:t>
      </w:r>
      <w:r>
        <w:rPr>
          <w:rFonts w:hint="default" w:cs="宋体"/>
          <w:kern w:val="2"/>
          <w:sz w:val="28"/>
          <w:szCs w:val="20"/>
          <w:lang w:val="en-US" w:eastAsia="zh-CN"/>
        </w:rPr>
        <w:t>申报</w:t>
      </w:r>
      <w:r>
        <w:rPr>
          <w:rFonts w:hint="eastAsia" w:cs="宋体"/>
          <w:kern w:val="2"/>
          <w:sz w:val="28"/>
          <w:szCs w:val="20"/>
          <w:lang w:val="en-US" w:eastAsia="zh-CN"/>
        </w:rPr>
        <w:t>会计师核查发行人成本核算的准确性、完整性，并</w:t>
      </w:r>
      <w:r>
        <w:rPr>
          <w:rFonts w:hint="default" w:cs="宋体"/>
          <w:kern w:val="2"/>
          <w:sz w:val="28"/>
          <w:szCs w:val="20"/>
          <w:lang w:val="en-US" w:eastAsia="zh-CN"/>
        </w:rPr>
        <w:t>对前述问题逐条</w:t>
      </w:r>
      <w:r>
        <w:rPr>
          <w:rFonts w:hint="eastAsia" w:cs="宋体"/>
          <w:kern w:val="2"/>
          <w:sz w:val="28"/>
          <w:szCs w:val="20"/>
          <w:lang w:val="en-US" w:eastAsia="zh-CN"/>
        </w:rPr>
        <w:t>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zh-CN" w:eastAsia="zh-CN"/>
        </w:rPr>
      </w:pPr>
      <w:r>
        <w:rPr>
          <w:rFonts w:hint="eastAsia" w:cs="宋体"/>
          <w:kern w:val="2"/>
          <w:sz w:val="28"/>
          <w:szCs w:val="20"/>
          <w:lang w:val="zh-CN" w:eastAsia="zh-CN"/>
        </w:rPr>
        <w:t>报告期内，公司主营业务毛利率分别为38.93%、43.46%</w:t>
      </w:r>
      <w:r>
        <w:rPr>
          <w:rFonts w:hint="eastAsia" w:cs="宋体"/>
          <w:kern w:val="2"/>
          <w:sz w:val="28"/>
          <w:szCs w:val="20"/>
          <w:lang w:val="en-US" w:eastAsia="zh-CN"/>
        </w:rPr>
        <w:t>、</w:t>
      </w:r>
      <w:r>
        <w:rPr>
          <w:rFonts w:hint="eastAsia" w:cs="宋体"/>
          <w:kern w:val="2"/>
          <w:sz w:val="28"/>
          <w:szCs w:val="20"/>
          <w:lang w:val="zh-CN" w:eastAsia="zh-CN"/>
        </w:rPr>
        <w:t>42.04%和41.78%，波动上升。请发行人</w:t>
      </w:r>
      <w:r>
        <w:rPr>
          <w:rFonts w:hint="default" w:cs="宋体"/>
          <w:kern w:val="2"/>
          <w:sz w:val="28"/>
          <w:szCs w:val="20"/>
          <w:lang w:val="zh-CN" w:eastAsia="zh-CN"/>
        </w:rPr>
        <w:t>：</w:t>
      </w:r>
      <w:r>
        <w:rPr>
          <w:rFonts w:hint="eastAsia" w:cs="宋体"/>
          <w:kern w:val="2"/>
          <w:sz w:val="28"/>
          <w:szCs w:val="20"/>
          <w:lang w:val="zh-CN" w:eastAsia="zh-CN"/>
        </w:rPr>
        <w:t>（</w:t>
      </w:r>
      <w:r>
        <w:rPr>
          <w:rFonts w:hint="eastAsia" w:cs="宋体"/>
          <w:kern w:val="2"/>
          <w:sz w:val="28"/>
          <w:szCs w:val="20"/>
          <w:lang w:val="en-US" w:eastAsia="zh-CN"/>
        </w:rPr>
        <w:t>1</w:t>
      </w:r>
      <w:r>
        <w:rPr>
          <w:rFonts w:hint="eastAsia" w:cs="宋体"/>
          <w:kern w:val="2"/>
          <w:sz w:val="28"/>
          <w:szCs w:val="20"/>
          <w:lang w:val="zh-CN" w:eastAsia="zh-CN"/>
        </w:rPr>
        <w:t>）结合可比公司的业务模式、产品结构等说明可比公司的选取依据及可比性；（</w:t>
      </w:r>
      <w:r>
        <w:rPr>
          <w:rFonts w:hint="eastAsia" w:cs="宋体"/>
          <w:kern w:val="2"/>
          <w:sz w:val="28"/>
          <w:szCs w:val="20"/>
          <w:lang w:val="en-US" w:eastAsia="zh-CN"/>
        </w:rPr>
        <w:t>2</w:t>
      </w:r>
      <w:r>
        <w:rPr>
          <w:rFonts w:hint="eastAsia" w:cs="宋体"/>
          <w:kern w:val="2"/>
          <w:sz w:val="28"/>
          <w:szCs w:val="20"/>
          <w:lang w:val="zh-CN" w:eastAsia="zh-CN"/>
        </w:rPr>
        <w:t>）</w:t>
      </w:r>
      <w:r>
        <w:rPr>
          <w:rFonts w:hint="default" w:cs="宋体"/>
          <w:kern w:val="2"/>
          <w:sz w:val="28"/>
          <w:szCs w:val="20"/>
          <w:lang w:val="zh-CN" w:eastAsia="zh-CN"/>
        </w:rPr>
        <w:t>结合发行人产品分布、行业竞争状况、同类产品市场份额等</w:t>
      </w:r>
      <w:r>
        <w:rPr>
          <w:rFonts w:hint="eastAsia" w:cs="宋体"/>
          <w:kern w:val="2"/>
          <w:sz w:val="28"/>
          <w:szCs w:val="20"/>
          <w:lang w:val="zh-CN" w:eastAsia="zh-CN"/>
        </w:rPr>
        <w:t>补充</w:t>
      </w:r>
      <w:r>
        <w:rPr>
          <w:rFonts w:hint="default" w:cs="宋体"/>
          <w:kern w:val="2"/>
          <w:sz w:val="28"/>
          <w:szCs w:val="20"/>
          <w:lang w:val="zh-CN" w:eastAsia="zh-CN"/>
        </w:rPr>
        <w:t>说明发行人</w:t>
      </w:r>
      <w:r>
        <w:rPr>
          <w:rFonts w:hint="eastAsia" w:cs="宋体"/>
          <w:kern w:val="2"/>
          <w:sz w:val="28"/>
          <w:szCs w:val="20"/>
          <w:lang w:val="zh-CN" w:eastAsia="zh-CN"/>
        </w:rPr>
        <w:t>毛利率</w:t>
      </w:r>
      <w:r>
        <w:rPr>
          <w:rFonts w:hint="default" w:cs="宋体"/>
          <w:kern w:val="2"/>
          <w:sz w:val="28"/>
          <w:szCs w:val="20"/>
          <w:lang w:val="zh-CN" w:eastAsia="zh-CN"/>
        </w:rPr>
        <w:t>变动的</w:t>
      </w:r>
      <w:r>
        <w:rPr>
          <w:rFonts w:hint="eastAsia" w:cs="宋体"/>
          <w:kern w:val="2"/>
          <w:sz w:val="28"/>
          <w:szCs w:val="20"/>
          <w:lang w:val="zh-CN" w:eastAsia="zh-CN"/>
        </w:rPr>
        <w:t>原因及合理性；（</w:t>
      </w:r>
      <w:r>
        <w:rPr>
          <w:rFonts w:hint="default" w:cs="宋体"/>
          <w:kern w:val="2"/>
          <w:sz w:val="28"/>
          <w:szCs w:val="20"/>
          <w:lang w:val="zh-CN" w:eastAsia="zh-CN"/>
        </w:rPr>
        <w:t>3</w:t>
      </w:r>
      <w:r>
        <w:rPr>
          <w:rFonts w:hint="eastAsia" w:cs="宋体"/>
          <w:kern w:val="2"/>
          <w:sz w:val="28"/>
          <w:szCs w:val="20"/>
          <w:lang w:val="zh-CN" w:eastAsia="zh-CN"/>
        </w:rPr>
        <w:t>）定量分析各期</w:t>
      </w:r>
      <w:r>
        <w:rPr>
          <w:rFonts w:hint="default" w:cs="宋体"/>
          <w:kern w:val="2"/>
          <w:sz w:val="28"/>
          <w:szCs w:val="20"/>
          <w:lang w:val="zh-CN" w:eastAsia="zh-CN"/>
        </w:rPr>
        <w:t>各产品销售价格、</w:t>
      </w:r>
      <w:r>
        <w:rPr>
          <w:rFonts w:hint="eastAsia" w:cs="宋体"/>
          <w:kern w:val="2"/>
          <w:sz w:val="28"/>
          <w:szCs w:val="20"/>
          <w:lang w:val="zh-CN" w:eastAsia="zh-CN"/>
        </w:rPr>
        <w:t>原材料</w:t>
      </w:r>
      <w:r>
        <w:rPr>
          <w:rFonts w:hint="default" w:cs="宋体"/>
          <w:kern w:val="2"/>
          <w:sz w:val="28"/>
          <w:szCs w:val="20"/>
          <w:lang w:val="zh-CN" w:eastAsia="zh-CN"/>
        </w:rPr>
        <w:t>单价及耗</w:t>
      </w:r>
      <w:r>
        <w:rPr>
          <w:rFonts w:hint="eastAsia" w:cs="宋体"/>
          <w:kern w:val="2"/>
          <w:sz w:val="28"/>
          <w:szCs w:val="20"/>
          <w:lang w:val="zh-CN" w:eastAsia="zh-CN"/>
        </w:rPr>
        <w:t>用量、直接材料成本占单位成本比重对毛利率的影响，并进一步说明报告期内产品毛利率的变动原因；（</w:t>
      </w:r>
      <w:r>
        <w:rPr>
          <w:rFonts w:hint="default" w:cs="宋体"/>
          <w:kern w:val="2"/>
          <w:sz w:val="28"/>
          <w:szCs w:val="20"/>
          <w:lang w:val="en-US" w:eastAsia="zh-CN"/>
        </w:rPr>
        <w:t>4</w:t>
      </w:r>
      <w:r>
        <w:rPr>
          <w:rFonts w:hint="eastAsia" w:cs="宋体"/>
          <w:kern w:val="2"/>
          <w:sz w:val="28"/>
          <w:szCs w:val="20"/>
          <w:lang w:val="zh-CN" w:eastAsia="zh-CN"/>
        </w:rPr>
        <w:t>）补充</w:t>
      </w:r>
      <w:r>
        <w:rPr>
          <w:rFonts w:hint="default" w:cs="宋体"/>
          <w:kern w:val="2"/>
          <w:sz w:val="28"/>
          <w:szCs w:val="20"/>
          <w:lang w:val="en-US" w:eastAsia="zh-CN"/>
        </w:rPr>
        <w:t>说明</w:t>
      </w:r>
      <w:r>
        <w:rPr>
          <w:rFonts w:hint="eastAsia" w:cs="宋体"/>
          <w:kern w:val="2"/>
          <w:sz w:val="28"/>
          <w:szCs w:val="20"/>
          <w:lang w:val="zh-CN" w:eastAsia="zh-CN"/>
        </w:rPr>
        <w:t>报告期内</w:t>
      </w:r>
      <w:r>
        <w:rPr>
          <w:rFonts w:hint="default" w:cs="宋体"/>
          <w:kern w:val="2"/>
          <w:sz w:val="28"/>
          <w:szCs w:val="20"/>
          <w:lang w:val="en-US" w:eastAsia="zh-CN"/>
        </w:rPr>
        <w:t>分客户分产品</w:t>
      </w:r>
      <w:r>
        <w:rPr>
          <w:rFonts w:hint="eastAsia" w:cs="宋体"/>
          <w:kern w:val="2"/>
          <w:sz w:val="28"/>
          <w:szCs w:val="20"/>
          <w:lang w:val="zh-CN" w:eastAsia="zh-CN"/>
        </w:rPr>
        <w:t>的销售毛利率，分析同种产品</w:t>
      </w:r>
      <w:r>
        <w:rPr>
          <w:rFonts w:hint="default" w:cs="宋体"/>
          <w:kern w:val="2"/>
          <w:sz w:val="28"/>
          <w:szCs w:val="20"/>
          <w:lang w:val="en-US" w:eastAsia="zh-CN"/>
        </w:rPr>
        <w:t>对不同客户</w:t>
      </w:r>
      <w:r>
        <w:rPr>
          <w:rFonts w:hint="eastAsia" w:cs="宋体"/>
          <w:kern w:val="2"/>
          <w:sz w:val="28"/>
          <w:szCs w:val="20"/>
          <w:lang w:val="zh-CN" w:eastAsia="zh-CN"/>
        </w:rPr>
        <w:t>的毛利率差异情况，以及报告期内变动原因</w:t>
      </w:r>
      <w:r>
        <w:rPr>
          <w:rFonts w:hint="default" w:cs="宋体"/>
          <w:kern w:val="2"/>
          <w:sz w:val="28"/>
          <w:szCs w:val="20"/>
          <w:lang w:val="en-US" w:eastAsia="zh-CN"/>
        </w:rPr>
        <w:t>；（5）量化分析各产品毛利率变动的原因与合理性；（6）结合生产模式、业务模式、销售渠道和产品分布等因素进一步分析发行人综合毛利率变动趋势与同行业可比上市公司存在差异的原因与合理性</w:t>
      </w:r>
      <w:r>
        <w:rPr>
          <w:rFonts w:hint="eastAsia" w:cs="宋体"/>
          <w:kern w:val="2"/>
          <w:sz w:val="28"/>
          <w:szCs w:val="20"/>
          <w:lang w:val="zh-CN" w:eastAsia="zh-CN"/>
        </w:rPr>
        <w:t>。请保荐机构、</w:t>
      </w:r>
      <w:r>
        <w:rPr>
          <w:rFonts w:hint="default" w:cs="宋体"/>
          <w:kern w:val="2"/>
          <w:sz w:val="28"/>
          <w:szCs w:val="20"/>
          <w:lang w:val="en-US" w:eastAsia="zh-CN"/>
        </w:rPr>
        <w:t>申报</w:t>
      </w:r>
      <w:r>
        <w:rPr>
          <w:rFonts w:hint="eastAsia" w:cs="宋体"/>
          <w:kern w:val="2"/>
          <w:sz w:val="28"/>
          <w:szCs w:val="20"/>
          <w:lang w:val="zh-CN" w:eastAsia="zh-CN"/>
        </w:rPr>
        <w:t>会计师核查上述事项，并发表明确意见。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eastAsia" w:cs="宋体"/>
          <w:kern w:val="2"/>
          <w:sz w:val="28"/>
          <w:szCs w:val="20"/>
          <w:lang w:val="en-US" w:eastAsia="zh-CN"/>
        </w:rPr>
        <w:t>报告期内，发行人期间费用分别为36,870.82万元、36,068.66万元、44,801.80万元和19,017.64万元。请发行人（1）结合销售模式、竞争格局等因素，补充说明销售费用变动的原因；（2）说明各报告期销售人员数量是否与业务量相匹配，平均薪酬水平是否明显低于同行业、同地区平均薪酬水平；（3）进一步量化说明发行人销售费用占营业收入比重与同行业可比上市公司存在差异的原因与合理性；（4）补充说明剔除董事、监事和高管薪酬后，发行人管理人员各期平均薪酬水平及其波动原因，是否明显低于同行业、同地区平均薪酬水平；（5）补充说明管理费用占营业收入比重高于同行业可比公司平均水平的具体原因和合理性；（6）披露报告期内管理费用增减变动趋势与收入存在差异的原因与合理性，说明管理费用的核算是否准确、完整；（7）结合管理、研发人员的数量、职级结构等，说明职工薪酬变化情况，人员平均薪酬是否与同行业可比公司及当地平均工资存在差异并分析差异原因；（8）说明研发样品销售的会计处理情况，相关成本核算情况；（9）补充说明合作研发费用的承担分配机制及核算方式（如有）；（10）说明报告期内是否存在其他方为公司或公司为其他方承担成本或费用的情形。请保荐机构、申报会计师对上述事项进行核查并发表明确意见，并就费用确认的完整性、是否存在关联方或第三方为发行人代为承担费用的相关情形发表意见。</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0" w:afterAutospacing="0" w:line="460" w:lineRule="exact"/>
        <w:ind w:left="0" w:leftChars="0" w:right="0" w:rightChars="0" w:firstLine="560" w:firstLineChars="200"/>
        <w:jc w:val="both"/>
        <w:textAlignment w:val="auto"/>
        <w:outlineLvl w:val="0"/>
        <w:rPr>
          <w:rFonts w:hint="default" w:cs="宋体"/>
          <w:kern w:val="2"/>
          <w:sz w:val="28"/>
          <w:szCs w:val="20"/>
          <w:lang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eastAsia" w:cs="宋体"/>
          <w:kern w:val="2"/>
          <w:sz w:val="28"/>
          <w:szCs w:val="20"/>
          <w:lang w:val="en-US" w:eastAsia="zh-CN"/>
        </w:rPr>
        <w:t>根据湘科集团的整体安排，发行人于报告期内实施资产重组，分阶段、分次将非主营业务及非经营性资产无偿划转至湘科集团。请发行人说明：（1）无偿划转的背景、原因、必要性和商业合理性，是否履行相关决策程序，相关的国资评估、备案、审批等法律程序，是否存在损害发行人或债权人利益的情形。（2）无偿划转相关公司基本情况、主营业务与发行人业务的关系，划转前最近一年财务数据，对发行人生产经营的重要程序，划转后是否影响发行人资产完整性，是否对发行人持续经营能力产生重大不利影响。（3）无偿划转相关公司是否存在重大违法违规的行为，无偿划转后与发行人是否存在资金、业务往来，是否实质上减少关联交易、提高独立性。（4）无偿划转的10宗非经营性土地及地上建筑物的面积及占比，产生的收入、利润及占比情况，相关资产的具体用途和使用情况，无偿划转后发行人是否继续使用上述资产及原因。请保荐机构、发行人律师及申报会计师核查并发表意见，并按照《证券期货监管意见》第3号、《首发业务若干问题解答》问题36规定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2021年11月，发行人子公司南方洪源以非公开协议方式收购洪源远大非国有股权，洪源远大成为发行人全资子公司。请发行人：（1）说明收购对手方的基本情况，与发行人及其控股股东、实际控制人、董监高及其他核心人员是否存在关联关系、委托持股或其他利益安排。（2）说明收购背景、原因、履行程序及合规性，收购定价依据及公允性，是否存在造成国有资产流失、损害发行人利益的情形，是否存在纠纷或潜在纠纷。（3）说明相关价款实际支付情况，收购资金来源及合法性。（4）结合业务发展历程、经营模式及销售模式补充说明发行人设立众多子公司的原因。请保荐机构和发行人律师核查并发表明确意见，并说明对盈利预测或业绩对赌情况、人员整合、公司整体运行情况、收购业务的最新发展状况的核查范围、核查程序、核查证据是否支持核查结论。</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发行人说明：（1）发行人设立多个员工持股平台的原因，各平台合伙人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合伙人在平台内部的流转、退出机制、合伙份额锁定期安排、离职后持股的处理方式，以及股权管理机制。（3）员工持股是否符合《关于国有控股混合所有制企业开展员工持股试点的意见》相关规定，合伙人出资款项来源及合法合规性，是否存在委托持股或其他利益安排，出资是否存在纠纷或潜在纠纷。（4）出资发行人及历次股权变动是否构成股份支付及判断依据。（5）发行人股东人数是否存在超过200人的情形。请保荐机构和发行人律师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注销或对外转让的子公司及参股公司较多。请发行人说明：（1）对于已注销的子公司，说明相关企业注销的原因，注销前基本情况、注销前一年主要财务数据，是否存在违法违规行为，是否存在为发行人代为承担成本费用等情况，注销后资产、人员去向，上述企业实际经营的业务内容，是否曾与公司存在同业竞争或者关联交易。（2）对于以股权转让的方式置出的子公司，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请保荐机构及发行人律师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子公司受到多起行政处罚，发行人高级管理人员刘世君因非法携带枪支、弹药受到警告的行政处罚。请发行人：（1）结合相关法律法规对违法行为的情节、性质、责任规定以及主管机关认定意见说明是否属于重大违法违规，刘世君是否可能被追究刑事责任，是否存在涉嫌犯罪被司法机关立案侦查的情形，是否构成本次发行上市障碍，并完善相关风险揭示。（2）按照《首发业务若干问题解答》相关规定说明报告期内发行人、控股股东、实际控制人是否存在重大违法违规行为，是否对发行上市构成障碍。（3）报告期内发行人是否发生产品质量事故或纠纷，是否因产品质量问题受到主管部门处罚或调查，本次申报报告期内发行人的产品质量安全相关检查、处罚、纠纷等情况是否已真实、准确、完整披露，相关风险揭示是否充分。（4）发行人是否已建立完善的安全生产管理制度，以及安全生产管理制度的有效性和执行情况，报告期内发行人是否发生安全生产事故，如有，说明具体情况，是否存在纠纷或处罚。（5）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说明：发行人从事相关生产经营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发行人：（1）对照《信息披露1号准则》的要求，逐项说明需要豁免披露的信息、认定涉密的依据及理由，并说明相关信息披露文件是否符合有关保密规定和招股说明书准则要求，涉及军工的是否符合《军工企业对外融资特殊财务信息披露管理暂行办法》，豁免披露后的信息是否对投资者决策判断构成重大障碍。（2）说明发行人改制上市过程是否符合《军工企业股份制改造实施暂行办法》《中介机构参与军工企事业单位改制上市管理暂行规定》等相关法律法规。（3）说明内部保密制度的制定和执行情况，是否符合《保密法》等相关法律法规的规定，是否存在因违反保密规定受到处罚的情形。请保荐机构、发行人律师、申报会计师逐项对照《首发业务若干问题解答》问题23规定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发行人子公司南方洪源、轻武所、跃进公司、长城公司、红日建设、电器院公司、建华公司7家公司报告期内存在出租划拨土地及其地上建筑物的情形。请发行人说明：（1）发行人自有土地使用权取得过程是否合规，是否符合规划用途；自建房屋是否均已取得产权证书、是否属于合法建筑、是否可能被行政处罚、是否构成重大违法行为。（2）租赁</w:t>
      </w:r>
      <w:r>
        <w:rPr>
          <w:rFonts w:hint="default" w:cs="宋体"/>
          <w:kern w:val="2"/>
          <w:sz w:val="28"/>
          <w:szCs w:val="20"/>
          <w:lang w:eastAsia="zh-CN"/>
        </w:rPr>
        <w:t>房产</w:t>
      </w:r>
      <w:r>
        <w:rPr>
          <w:rFonts w:hint="default" w:cs="宋体"/>
          <w:kern w:val="2"/>
          <w:sz w:val="28"/>
          <w:szCs w:val="20"/>
          <w:lang w:val="en-US" w:eastAsia="zh-CN"/>
        </w:rPr>
        <w:t>是否符合土地房产用途，是否存在瑕疵，</w:t>
      </w:r>
      <w:r>
        <w:rPr>
          <w:rFonts w:hint="default" w:cs="宋体"/>
          <w:kern w:val="2"/>
          <w:sz w:val="28"/>
          <w:szCs w:val="20"/>
          <w:lang w:eastAsia="zh-CN"/>
        </w:rPr>
        <w:t>如是，结合瑕疵房产面积及占比、产生的收入、利润情况，说明</w:t>
      </w:r>
      <w:r>
        <w:rPr>
          <w:rFonts w:hint="default" w:cs="宋体"/>
          <w:kern w:val="2"/>
          <w:sz w:val="28"/>
          <w:szCs w:val="20"/>
          <w:lang w:val="en-US" w:eastAsia="zh-CN"/>
        </w:rPr>
        <w:t>相关瑕疵是否对发行人持续经营构成重大影响。</w:t>
      </w:r>
      <w:r>
        <w:rPr>
          <w:rFonts w:hint="default" w:cs="宋体"/>
          <w:kern w:val="2"/>
          <w:sz w:val="28"/>
          <w:szCs w:val="20"/>
          <w:lang w:eastAsia="zh-CN"/>
        </w:rPr>
        <w:t>（3）跃进公司靶场试验区所涉土地的性质、规划用途，是否存在违反土地管理法规的情形，</w:t>
      </w:r>
      <w:r>
        <w:rPr>
          <w:rFonts w:hint="default" w:cs="宋体"/>
          <w:kern w:val="2"/>
          <w:sz w:val="28"/>
          <w:szCs w:val="20"/>
          <w:lang w:val="en-US" w:eastAsia="zh-CN"/>
        </w:rPr>
        <w:t>是否构成重大违法行为</w:t>
      </w:r>
      <w:r>
        <w:rPr>
          <w:rFonts w:hint="default" w:cs="宋体"/>
          <w:kern w:val="2"/>
          <w:sz w:val="28"/>
          <w:szCs w:val="20"/>
          <w:lang w:eastAsia="zh-CN"/>
        </w:rPr>
        <w:t>。（4）</w:t>
      </w:r>
      <w:r>
        <w:rPr>
          <w:rFonts w:hint="default" w:cs="宋体"/>
          <w:kern w:val="2"/>
          <w:sz w:val="28"/>
          <w:szCs w:val="20"/>
          <w:lang w:val="en-US" w:eastAsia="zh-CN"/>
        </w:rPr>
        <w:t>出租划拨土地及其地上建筑物</w:t>
      </w:r>
      <w:r>
        <w:rPr>
          <w:rFonts w:hint="default" w:cs="宋体"/>
          <w:kern w:val="2"/>
          <w:sz w:val="28"/>
          <w:szCs w:val="20"/>
          <w:lang w:eastAsia="zh-CN"/>
        </w:rPr>
        <w:t>面积及占比、各期租金收入，上缴租金中所含土地收益的计算依据、方式及金额、是否已缴纳完毕，是否存在违规出租划拨土地、</w:t>
      </w:r>
      <w:r>
        <w:rPr>
          <w:rFonts w:hint="default" w:cs="宋体"/>
          <w:kern w:val="2"/>
          <w:sz w:val="28"/>
          <w:szCs w:val="20"/>
          <w:lang w:val="en-US" w:eastAsia="zh-CN"/>
        </w:rPr>
        <w:t>未按时缴纳划拨土地出租收益金而</w:t>
      </w:r>
      <w:r>
        <w:rPr>
          <w:rFonts w:hint="default" w:cs="宋体"/>
          <w:kern w:val="2"/>
          <w:sz w:val="28"/>
          <w:szCs w:val="20"/>
          <w:lang w:eastAsia="zh-CN"/>
        </w:rPr>
        <w:t>受到行政处罚的风险，是否构成重大违法违规。</w:t>
      </w:r>
      <w:r>
        <w:rPr>
          <w:rFonts w:hint="default" w:cs="宋体"/>
          <w:kern w:val="2"/>
          <w:sz w:val="28"/>
          <w:szCs w:val="20"/>
          <w:lang w:val="en-US" w:eastAsia="zh-CN"/>
        </w:rPr>
        <w:t>（</w:t>
      </w:r>
      <w:r>
        <w:rPr>
          <w:rFonts w:hint="default" w:cs="宋体"/>
          <w:kern w:val="2"/>
          <w:sz w:val="28"/>
          <w:szCs w:val="20"/>
          <w:lang w:eastAsia="zh-CN"/>
        </w:rPr>
        <w:t>5</w:t>
      </w:r>
      <w:r>
        <w:rPr>
          <w:rFonts w:hint="default" w:cs="宋体"/>
          <w:kern w:val="2"/>
          <w:sz w:val="28"/>
          <w:szCs w:val="20"/>
          <w:lang w:val="en-US" w:eastAsia="zh-CN"/>
        </w:rPr>
        <w:t>）如因瑕疵不动产相关问题被处罚的责任承担主体、搬迁的费用及承担主体、有无下一步解决措施等，发行人是否存在受到行政处罚或生产经营受阻的可能，并补充披露相关风险提示。请保荐机构及发行人律师</w:t>
      </w:r>
      <w:r>
        <w:rPr>
          <w:rFonts w:hint="default" w:cs="宋体"/>
          <w:kern w:val="2"/>
          <w:sz w:val="28"/>
          <w:szCs w:val="20"/>
          <w:lang w:eastAsia="zh-CN"/>
        </w:rPr>
        <w:t>核查并</w:t>
      </w:r>
      <w:r>
        <w:rPr>
          <w:rFonts w:hint="default" w:cs="宋体"/>
          <w:kern w:val="2"/>
          <w:sz w:val="28"/>
          <w:szCs w:val="20"/>
          <w:lang w:val="en-US" w:eastAsia="zh-CN"/>
        </w:rPr>
        <w:t>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报告期各期末，建华公司、资江公司、跃进公司因历史欠缴的社保滞纳金合计均为8,847.49万元。请发行人说明：（1）因历史欠缴的社保滞纳金是否已缴纳完毕，缴纳滞纳金的资金来源，是否可能因欠缴受到行政处罚，是否与职工存在纠纷或潜在纠纷。（2）发行人社会保险和住房公积金是否足额缴纳，如否，说明原因，如足额缴纳对经营业绩的影响及应对方案。（3）是否存在因违反社会保险、住房公积金相关法律法规而受到处罚的情形，是否构成重大违法行为。（4）发行人是否存在劳务派遣或劳务外包情况，如存在请披露具体情况及是否符合劳动法律规定。请保荐机构、发行人律师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2022年8月23日，发行人子公司红日建设向岳阳市岳阳楼区人民法院就其与参股公司红日工业存在的租赁合同纠纷事项提起诉讼。请发行人说明：（1）相关诉讼进展情况，若败诉对发行人生产经营的影响。（2）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发行人说明：（1）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发行人最近3年董事、监事、高管发生变化情况、原因，最近3年内董事、监事、高级管理人员的变动是否构成重大变化，是否构成发行上市障碍。请保荐机构和发行人律师进行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发行人说明：（1）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结合账面可用货币资金、现金流变动、报告期内现金分红等情况说明补充流动资金的具体用途、合理性、必要性。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招股说明书披露，发行人多项产品生产、研发技术水平“达到国内领先”、“处于国内相关领域领先地位”。请发行人：对“领先”的含义、比较范围作为界定，结合发行人主要产品、核心技术的性能、品质、技术参数和竞争对手的对比情况，说明相关表述的数据来源、具体依据和理由，达到国内领先、处于领先地位的具体表现，说明相关表述是否准确、依据是否充分，如否，请删除。请保荐机构及发行人律师核查全套申报文件，对于没有数据支持的说法提供证据，或者予以修正，删除广告性和恭维性表述。</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zh-CN" w:eastAsia="zh-CN"/>
        </w:rPr>
      </w:pPr>
      <w:r>
        <w:rPr>
          <w:rFonts w:hint="default" w:cs="宋体"/>
          <w:kern w:val="2"/>
          <w:sz w:val="28"/>
          <w:szCs w:val="20"/>
          <w:lang w:val="en-US" w:eastAsia="zh-CN"/>
        </w:rPr>
        <w:t>报告期内，发行人</w:t>
      </w:r>
      <w:r>
        <w:rPr>
          <w:rFonts w:hint="eastAsia" w:cs="宋体"/>
          <w:kern w:val="2"/>
          <w:sz w:val="28"/>
          <w:szCs w:val="20"/>
          <w:lang w:val="zh-CN" w:eastAsia="zh-CN"/>
        </w:rPr>
        <w:t>经营活动产生的现金流量净额分别为29,499.80万元、29,499.80万元-14,053.66</w:t>
      </w:r>
      <w:r>
        <w:rPr>
          <w:rFonts w:hint="eastAsia" w:cs="宋体"/>
          <w:kern w:val="2"/>
          <w:sz w:val="28"/>
          <w:szCs w:val="20"/>
          <w:lang w:val="en-US" w:eastAsia="zh-CN"/>
        </w:rPr>
        <w:t>万元</w:t>
      </w:r>
      <w:r>
        <w:rPr>
          <w:rFonts w:hint="eastAsia" w:cs="宋体"/>
          <w:kern w:val="2"/>
          <w:sz w:val="28"/>
          <w:szCs w:val="20"/>
          <w:lang w:val="zh-CN" w:eastAsia="zh-CN"/>
        </w:rPr>
        <w:t>和-18,802.74万元。请发行人（1）补充</w:t>
      </w:r>
      <w:r>
        <w:rPr>
          <w:rFonts w:hint="default" w:cs="宋体"/>
          <w:kern w:val="2"/>
          <w:sz w:val="28"/>
          <w:szCs w:val="20"/>
          <w:lang w:val="en-US" w:eastAsia="zh-CN"/>
        </w:rPr>
        <w:t>说明并</w:t>
      </w:r>
      <w:r>
        <w:rPr>
          <w:rFonts w:hint="eastAsia" w:cs="宋体"/>
          <w:kern w:val="2"/>
          <w:sz w:val="28"/>
          <w:szCs w:val="20"/>
          <w:lang w:val="zh-CN" w:eastAsia="zh-CN"/>
        </w:rPr>
        <w:t>披露经营活动产生的现金流量</w:t>
      </w:r>
      <w:r>
        <w:rPr>
          <w:rFonts w:hint="default" w:cs="宋体"/>
          <w:kern w:val="2"/>
          <w:sz w:val="28"/>
          <w:szCs w:val="20"/>
          <w:lang w:val="zh-CN" w:eastAsia="zh-CN"/>
        </w:rPr>
        <w:t>为负</w:t>
      </w:r>
      <w:r>
        <w:rPr>
          <w:rFonts w:hint="eastAsia" w:cs="宋体"/>
          <w:kern w:val="2"/>
          <w:sz w:val="28"/>
          <w:szCs w:val="20"/>
          <w:lang w:val="zh-CN" w:eastAsia="zh-CN"/>
        </w:rPr>
        <w:t>的原因及合理性，是否与行业惯例一致，是否与销售政策、采购政策、信用政策变化情况相匹配；（</w:t>
      </w:r>
      <w:r>
        <w:rPr>
          <w:rFonts w:hint="eastAsia" w:cs="宋体"/>
          <w:kern w:val="2"/>
          <w:sz w:val="28"/>
          <w:szCs w:val="20"/>
          <w:lang w:val="en-US" w:eastAsia="zh-CN"/>
        </w:rPr>
        <w:t>2</w:t>
      </w:r>
      <w:r>
        <w:rPr>
          <w:rFonts w:hint="eastAsia" w:cs="宋体"/>
          <w:kern w:val="2"/>
          <w:sz w:val="28"/>
          <w:szCs w:val="20"/>
          <w:lang w:val="zh-CN" w:eastAsia="zh-CN"/>
        </w:rPr>
        <w:t>）补充</w:t>
      </w:r>
      <w:r>
        <w:rPr>
          <w:rFonts w:hint="eastAsia" w:cs="宋体"/>
          <w:kern w:val="2"/>
          <w:sz w:val="28"/>
          <w:szCs w:val="20"/>
          <w:lang w:val="en-US" w:eastAsia="zh-CN"/>
        </w:rPr>
        <w:t>说明</w:t>
      </w:r>
      <w:r>
        <w:rPr>
          <w:rFonts w:hint="eastAsia" w:cs="宋体"/>
          <w:kern w:val="2"/>
          <w:sz w:val="28"/>
          <w:szCs w:val="20"/>
          <w:lang w:val="zh-CN" w:eastAsia="zh-CN"/>
        </w:rPr>
        <w:t>经营活动现金流量主要项目与资产负债表、利润表中相关项目的勾稽关系是否相符。请保荐机构、申报会计师对上述问题进行核查，并发表明确核查意见。请保荐机构、申报会计师对上述问题进行核查，并发表明确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default" w:cs="宋体"/>
          <w:kern w:val="2"/>
          <w:sz w:val="28"/>
          <w:szCs w:val="20"/>
          <w:lang w:val="zh-CN" w:eastAsia="zh-CN"/>
        </w:rPr>
        <w:t>报告期内，发行人</w:t>
      </w:r>
      <w:r>
        <w:rPr>
          <w:rFonts w:hint="eastAsia" w:cs="宋体"/>
          <w:kern w:val="2"/>
          <w:sz w:val="28"/>
          <w:szCs w:val="20"/>
          <w:lang w:val="zh-CN" w:eastAsia="zh-CN"/>
        </w:rPr>
        <w:t>货币资金余额分别为73,144.00万元、145,283.62万元、133,543.96万元和115,253.56万元。</w:t>
      </w:r>
      <w:r>
        <w:rPr>
          <w:rFonts w:hint="eastAsia" w:cs="宋体"/>
          <w:kern w:val="2"/>
          <w:sz w:val="28"/>
          <w:szCs w:val="20"/>
          <w:lang w:val="en-US" w:eastAsia="zh-CN"/>
        </w:rPr>
        <w:t>请说明对货币资金的管理制度和内控制度以及是否执行有效。请保荐机构、申报会计师列表说明发行人及其子公司、发行人相关关键个人银行账户的基本情况，包括但不限于开户银行、账户信息、个数、分布及金额，银行账户的地域及金额分布是否与发行人主营业务匹配，说明对发行人货币资金真实性、是否存在资金流水异常</w:t>
      </w:r>
      <w:r>
        <w:rPr>
          <w:rFonts w:hint="default" w:cs="宋体"/>
          <w:kern w:val="2"/>
          <w:sz w:val="28"/>
          <w:szCs w:val="20"/>
          <w:lang w:val="zh-CN" w:eastAsia="zh-CN"/>
        </w:rPr>
        <w:t>、</w:t>
      </w:r>
      <w:r>
        <w:rPr>
          <w:rFonts w:hint="eastAsia" w:cs="宋体"/>
          <w:kern w:val="2"/>
          <w:sz w:val="28"/>
          <w:szCs w:val="20"/>
          <w:lang w:val="en-US" w:eastAsia="zh-CN"/>
        </w:rPr>
        <w:t>内控制度是否健全有效的的核查方法、过程及结论，并发表明确意见。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发行人报告期内</w:t>
      </w:r>
      <w:r>
        <w:rPr>
          <w:rFonts w:hint="default" w:cs="宋体"/>
          <w:kern w:val="2"/>
          <w:sz w:val="28"/>
          <w:szCs w:val="20"/>
          <w:lang w:val="zh-CN" w:eastAsia="zh-CN"/>
        </w:rPr>
        <w:t>应收票据余额分别为3,688.95万元、5,907.29万元和11,310.60万元、3,004.25万元，主要为商业承兑汇票，</w:t>
      </w:r>
      <w:r>
        <w:rPr>
          <w:rFonts w:hint="eastAsia" w:cs="宋体"/>
          <w:kern w:val="2"/>
          <w:sz w:val="28"/>
          <w:szCs w:val="20"/>
          <w:lang w:val="zh-CN" w:eastAsia="zh-CN"/>
        </w:rPr>
        <w:t>应收账款余额</w:t>
      </w:r>
      <w:r>
        <w:rPr>
          <w:rFonts w:hint="default" w:cs="宋体"/>
          <w:kern w:val="2"/>
          <w:sz w:val="28"/>
          <w:szCs w:val="20"/>
          <w:lang w:val="zh-CN" w:eastAsia="zh-CN"/>
        </w:rPr>
        <w:t>分别为19,445.92万元、17,579.78万元24,374.55万元</w:t>
      </w:r>
      <w:r>
        <w:rPr>
          <w:rFonts w:hint="eastAsia" w:cs="宋体"/>
          <w:kern w:val="2"/>
          <w:sz w:val="28"/>
          <w:szCs w:val="20"/>
          <w:lang w:val="zh-CN" w:eastAsia="zh-CN"/>
        </w:rPr>
        <w:t>和87,033.67万元</w:t>
      </w:r>
      <w:r>
        <w:rPr>
          <w:rFonts w:hint="default" w:cs="宋体"/>
          <w:kern w:val="2"/>
          <w:sz w:val="28"/>
          <w:szCs w:val="20"/>
          <w:lang w:val="zh-CN" w:eastAsia="zh-CN"/>
        </w:rPr>
        <w:t>，逐期增长</w:t>
      </w:r>
      <w:r>
        <w:rPr>
          <w:rFonts w:hint="eastAsia" w:cs="宋体"/>
          <w:kern w:val="2"/>
          <w:sz w:val="28"/>
          <w:szCs w:val="20"/>
          <w:lang w:val="en-US" w:eastAsia="zh-CN"/>
        </w:rPr>
        <w:t>。</w:t>
      </w:r>
      <w:r>
        <w:rPr>
          <w:rFonts w:hint="default" w:cs="宋体"/>
          <w:kern w:val="2"/>
          <w:sz w:val="28"/>
          <w:szCs w:val="20"/>
          <w:lang w:val="zh-CN" w:eastAsia="zh-CN"/>
        </w:rPr>
        <w:t>请发行人</w:t>
      </w:r>
      <w:r>
        <w:rPr>
          <w:rFonts w:hint="eastAsia" w:cs="宋体"/>
          <w:kern w:val="2"/>
          <w:sz w:val="28"/>
          <w:szCs w:val="20"/>
          <w:lang w:val="en-US" w:eastAsia="zh-CN"/>
        </w:rPr>
        <w:t>（1</w:t>
      </w:r>
      <w:r>
        <w:rPr>
          <w:rFonts w:hint="eastAsia" w:cs="宋体"/>
          <w:kern w:val="2"/>
          <w:sz w:val="28"/>
          <w:szCs w:val="20"/>
          <w:lang w:val="zh-CN" w:eastAsia="zh-CN"/>
        </w:rPr>
        <w:t>）补充披露坏账计提政策、坏账计提的充分性，并说明</w:t>
      </w:r>
      <w:r>
        <w:rPr>
          <w:rFonts w:hint="eastAsia" w:cs="宋体"/>
          <w:kern w:val="2"/>
          <w:sz w:val="28"/>
          <w:szCs w:val="20"/>
          <w:lang w:val="en-US" w:eastAsia="zh-CN"/>
        </w:rPr>
        <w:t>是否存在收入确认时以应收账款进行初始确认后转为票据结算的情形，如存在，发行人是否已经按照账龄连续计算的原则对应收票据计提坏账准备；</w:t>
      </w:r>
      <w:r>
        <w:rPr>
          <w:rFonts w:hint="default" w:cs="宋体"/>
          <w:kern w:val="2"/>
          <w:sz w:val="28"/>
          <w:szCs w:val="20"/>
          <w:lang w:val="zh-CN" w:eastAsia="zh-CN"/>
        </w:rPr>
        <w:t>（2）说明应收票据</w:t>
      </w:r>
      <w:r>
        <w:rPr>
          <w:rFonts w:hint="eastAsia" w:cs="宋体"/>
          <w:kern w:val="2"/>
          <w:sz w:val="28"/>
          <w:szCs w:val="20"/>
          <w:lang w:val="en-US" w:eastAsia="zh-CN"/>
        </w:rPr>
        <w:t>背书、贴现及承兑汇票的情况，出票银行以及终止确认情况</w:t>
      </w:r>
      <w:r>
        <w:rPr>
          <w:rFonts w:hint="default" w:cs="宋体"/>
          <w:kern w:val="2"/>
          <w:sz w:val="28"/>
          <w:szCs w:val="20"/>
          <w:lang w:val="zh-CN" w:eastAsia="zh-CN"/>
        </w:rPr>
        <w:t>，是否存在</w:t>
      </w:r>
      <w:r>
        <w:rPr>
          <w:rFonts w:hint="eastAsia" w:cs="宋体"/>
          <w:kern w:val="2"/>
          <w:sz w:val="28"/>
          <w:szCs w:val="20"/>
          <w:lang w:val="en-US" w:eastAsia="zh-CN"/>
        </w:rPr>
        <w:t>应收票据到期不能兑付的情况</w:t>
      </w:r>
      <w:r>
        <w:rPr>
          <w:rFonts w:hint="default" w:cs="宋体"/>
          <w:kern w:val="2"/>
          <w:sz w:val="28"/>
          <w:szCs w:val="20"/>
          <w:lang w:val="zh-CN" w:eastAsia="zh-CN"/>
        </w:rPr>
        <w:t>，应收票据坏账计提方式及比例；</w:t>
      </w:r>
      <w:r>
        <w:rPr>
          <w:rFonts w:hint="eastAsia" w:cs="宋体"/>
          <w:kern w:val="2"/>
          <w:sz w:val="28"/>
          <w:szCs w:val="20"/>
          <w:lang w:val="en-US" w:eastAsia="zh-CN"/>
        </w:rPr>
        <w:t>（</w:t>
      </w:r>
      <w:r>
        <w:rPr>
          <w:rFonts w:hint="default" w:cs="宋体"/>
          <w:kern w:val="2"/>
          <w:sz w:val="28"/>
          <w:szCs w:val="20"/>
          <w:lang w:val="zh-CN" w:eastAsia="zh-CN"/>
        </w:rPr>
        <w:t>3</w:t>
      </w:r>
      <w:r>
        <w:rPr>
          <w:rFonts w:hint="eastAsia" w:cs="宋体"/>
          <w:kern w:val="2"/>
          <w:sz w:val="28"/>
          <w:szCs w:val="20"/>
          <w:lang w:val="en-US" w:eastAsia="zh-CN"/>
        </w:rPr>
        <w:t>）请结合业务特点、行业特征、结算模式、信用政策等因素，分析</w:t>
      </w:r>
      <w:r>
        <w:rPr>
          <w:rFonts w:hint="default" w:cs="宋体"/>
          <w:kern w:val="2"/>
          <w:sz w:val="28"/>
          <w:szCs w:val="20"/>
          <w:lang w:val="zh-CN" w:eastAsia="zh-CN"/>
        </w:rPr>
        <w:t>说明</w:t>
      </w:r>
      <w:r>
        <w:rPr>
          <w:rFonts w:hint="eastAsia" w:cs="宋体"/>
          <w:kern w:val="2"/>
          <w:sz w:val="28"/>
          <w:szCs w:val="20"/>
          <w:lang w:val="en-US" w:eastAsia="zh-CN"/>
        </w:rPr>
        <w:t>报告期应收账款</w:t>
      </w:r>
      <w:r>
        <w:rPr>
          <w:rFonts w:hint="default" w:cs="宋体"/>
          <w:kern w:val="2"/>
          <w:sz w:val="28"/>
          <w:szCs w:val="20"/>
          <w:lang w:val="zh-CN" w:eastAsia="zh-CN"/>
        </w:rPr>
        <w:t>波动</w:t>
      </w:r>
      <w:r>
        <w:rPr>
          <w:rFonts w:hint="eastAsia" w:cs="宋体"/>
          <w:kern w:val="2"/>
          <w:sz w:val="28"/>
          <w:szCs w:val="20"/>
          <w:lang w:val="en-US" w:eastAsia="zh-CN"/>
        </w:rPr>
        <w:t>的原因，与同行业可比公司进行比较并分析原因和合理性；（</w:t>
      </w:r>
      <w:r>
        <w:rPr>
          <w:rFonts w:hint="default" w:cs="宋体"/>
          <w:kern w:val="2"/>
          <w:sz w:val="28"/>
          <w:szCs w:val="20"/>
          <w:lang w:val="zh-CN" w:eastAsia="zh-CN"/>
        </w:rPr>
        <w:t>4</w:t>
      </w:r>
      <w:r>
        <w:rPr>
          <w:rFonts w:hint="eastAsia" w:cs="宋体"/>
          <w:kern w:val="2"/>
          <w:sz w:val="28"/>
          <w:szCs w:val="20"/>
          <w:lang w:val="en-US" w:eastAsia="zh-CN"/>
        </w:rPr>
        <w:t>）补充说明</w:t>
      </w:r>
      <w:r>
        <w:rPr>
          <w:rFonts w:hint="eastAsia" w:cs="宋体"/>
          <w:kern w:val="2"/>
          <w:sz w:val="28"/>
          <w:szCs w:val="20"/>
          <w:lang w:val="zh-CN" w:eastAsia="zh-CN"/>
        </w:rPr>
        <w:t>发行人对主要客户的信用政策，应收账款金额与信用政策是否匹配，信用政策是否严格执行及应收账款的逾期情况，</w:t>
      </w:r>
      <w:r>
        <w:rPr>
          <w:rFonts w:hint="eastAsia" w:cs="宋体"/>
          <w:kern w:val="2"/>
          <w:sz w:val="28"/>
          <w:szCs w:val="20"/>
          <w:lang w:val="en-US" w:eastAsia="zh-CN"/>
        </w:rPr>
        <w:t>是否存在通过放宽信用政策增加业务收入的情况</w:t>
      </w:r>
      <w:r>
        <w:rPr>
          <w:rFonts w:hint="eastAsia" w:cs="宋体"/>
          <w:kern w:val="2"/>
          <w:sz w:val="28"/>
          <w:szCs w:val="20"/>
          <w:lang w:val="zh-CN" w:eastAsia="zh-CN"/>
        </w:rPr>
        <w:t>；</w:t>
      </w:r>
      <w:r>
        <w:rPr>
          <w:rFonts w:hint="eastAsia" w:cs="宋体"/>
          <w:kern w:val="2"/>
          <w:sz w:val="28"/>
          <w:szCs w:val="20"/>
          <w:lang w:val="en-US" w:eastAsia="zh-CN"/>
        </w:rPr>
        <w:t>（</w:t>
      </w:r>
      <w:r>
        <w:rPr>
          <w:rFonts w:hint="default" w:cs="宋体"/>
          <w:kern w:val="2"/>
          <w:sz w:val="28"/>
          <w:szCs w:val="20"/>
          <w:lang w:val="zh-CN" w:eastAsia="zh-CN"/>
        </w:rPr>
        <w:t>5</w:t>
      </w:r>
      <w:r>
        <w:rPr>
          <w:rFonts w:hint="eastAsia" w:cs="宋体"/>
          <w:kern w:val="2"/>
          <w:sz w:val="28"/>
          <w:szCs w:val="20"/>
          <w:lang w:val="en-US" w:eastAsia="zh-CN"/>
        </w:rPr>
        <w:t>）结合各期末应收账款账龄情况、期后回款情况及进度、报告期坏账实际核销情况、同行业可比公司坏账计提政策等因素，说明应收账款坏账准备计提的充分性；（</w:t>
      </w:r>
      <w:r>
        <w:rPr>
          <w:rFonts w:hint="default" w:cs="宋体"/>
          <w:kern w:val="2"/>
          <w:sz w:val="28"/>
          <w:szCs w:val="20"/>
          <w:lang w:val="zh-CN" w:eastAsia="zh-CN"/>
        </w:rPr>
        <w:t>6</w:t>
      </w:r>
      <w:r>
        <w:rPr>
          <w:rFonts w:hint="eastAsia" w:cs="宋体"/>
          <w:kern w:val="2"/>
          <w:sz w:val="28"/>
          <w:szCs w:val="20"/>
          <w:lang w:val="en-US" w:eastAsia="zh-CN"/>
        </w:rPr>
        <w:t>）补充</w:t>
      </w:r>
      <w:r>
        <w:rPr>
          <w:rFonts w:hint="eastAsia" w:cs="宋体"/>
          <w:kern w:val="2"/>
          <w:sz w:val="28"/>
          <w:szCs w:val="20"/>
          <w:lang w:val="zh-CN" w:eastAsia="zh-CN"/>
        </w:rPr>
        <w:t>说明应收账款</w:t>
      </w:r>
      <w:r>
        <w:rPr>
          <w:rFonts w:hint="default" w:cs="宋体"/>
          <w:kern w:val="2"/>
          <w:sz w:val="28"/>
          <w:szCs w:val="20"/>
          <w:lang w:val="zh-CN" w:eastAsia="zh-CN"/>
        </w:rPr>
        <w:t>账龄政策，应收票据与应收账款余额占比较高的情况是否与同行业可比公司存在较大差异，并分析说明原因与合理性；（7）说明单项计提坏账准备的原因及合理性</w:t>
      </w:r>
      <w:r>
        <w:rPr>
          <w:rFonts w:hint="eastAsia" w:cs="宋体"/>
          <w:kern w:val="2"/>
          <w:sz w:val="28"/>
          <w:szCs w:val="20"/>
          <w:lang w:val="en-US" w:eastAsia="zh-CN"/>
        </w:rPr>
        <w:t>。请保荐机构、申报会计师详细说明对上述事项以及应收账款真实性、坏账准备计提充分性的核查情况，包括过程、比例、结果和核查意见。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default" w:cs="宋体"/>
          <w:kern w:val="2"/>
          <w:sz w:val="28"/>
          <w:szCs w:val="20"/>
          <w:lang w:val="zh-CN" w:eastAsia="zh-CN"/>
        </w:rPr>
        <w:t>报告期各期末，公司存货账面价值分别为38,194.71万元、47,139.55万元、56,244.53万元和47,721.88万元，逐期增长</w:t>
      </w:r>
      <w:r>
        <w:rPr>
          <w:rFonts w:hint="eastAsia" w:cs="宋体"/>
          <w:kern w:val="2"/>
          <w:sz w:val="28"/>
          <w:szCs w:val="20"/>
          <w:lang w:val="zh-CN" w:eastAsia="zh-CN"/>
        </w:rPr>
        <w:t>。</w:t>
      </w:r>
      <w:r>
        <w:rPr>
          <w:rFonts w:hint="eastAsia" w:cs="宋体"/>
          <w:kern w:val="2"/>
          <w:sz w:val="28"/>
          <w:szCs w:val="20"/>
          <w:lang w:val="en-US" w:eastAsia="zh-CN"/>
        </w:rPr>
        <w:t>请</w:t>
      </w:r>
      <w:r>
        <w:rPr>
          <w:rFonts w:hint="default" w:cs="宋体"/>
          <w:kern w:val="2"/>
          <w:sz w:val="28"/>
          <w:szCs w:val="20"/>
          <w:lang w:val="zh-CN" w:eastAsia="zh-CN"/>
        </w:rPr>
        <w:t>发行人</w:t>
      </w:r>
      <w:r>
        <w:rPr>
          <w:rFonts w:hint="eastAsia" w:cs="宋体"/>
          <w:kern w:val="2"/>
          <w:sz w:val="28"/>
          <w:szCs w:val="20"/>
          <w:lang w:val="zh-CN" w:eastAsia="zh-CN"/>
        </w:rPr>
        <w:t>（</w:t>
      </w:r>
      <w:r>
        <w:rPr>
          <w:rFonts w:hint="eastAsia" w:cs="宋体"/>
          <w:kern w:val="2"/>
          <w:sz w:val="28"/>
          <w:szCs w:val="20"/>
          <w:lang w:val="en-US" w:eastAsia="zh-CN"/>
        </w:rPr>
        <w:t>1</w:t>
      </w:r>
      <w:r>
        <w:rPr>
          <w:rFonts w:hint="eastAsia" w:cs="宋体"/>
          <w:kern w:val="2"/>
          <w:sz w:val="28"/>
          <w:szCs w:val="20"/>
          <w:lang w:val="zh-CN" w:eastAsia="zh-CN"/>
        </w:rPr>
        <w:t>）</w:t>
      </w:r>
      <w:r>
        <w:rPr>
          <w:rFonts w:hint="eastAsia" w:cs="宋体"/>
          <w:kern w:val="2"/>
          <w:sz w:val="28"/>
          <w:szCs w:val="20"/>
          <w:lang w:val="en-US" w:eastAsia="zh-CN"/>
        </w:rPr>
        <w:t>结合目前</w:t>
      </w:r>
      <w:r>
        <w:rPr>
          <w:rFonts w:hint="default" w:cs="宋体"/>
          <w:kern w:val="2"/>
          <w:sz w:val="28"/>
          <w:szCs w:val="20"/>
          <w:lang w:val="zh-CN" w:eastAsia="zh-CN"/>
        </w:rPr>
        <w:t>销售周期</w:t>
      </w:r>
      <w:r>
        <w:rPr>
          <w:rFonts w:hint="eastAsia" w:cs="宋体"/>
          <w:kern w:val="2"/>
          <w:sz w:val="28"/>
          <w:szCs w:val="20"/>
          <w:lang w:val="en-US" w:eastAsia="zh-CN"/>
        </w:rPr>
        <w:t>、生产周期、市场环境</w:t>
      </w:r>
      <w:r>
        <w:rPr>
          <w:rFonts w:hint="default" w:cs="宋体"/>
          <w:kern w:val="2"/>
          <w:sz w:val="28"/>
          <w:szCs w:val="20"/>
          <w:lang w:val="zh-CN" w:eastAsia="zh-CN"/>
        </w:rPr>
        <w:t>、在手订单及备货量</w:t>
      </w:r>
      <w:r>
        <w:rPr>
          <w:rFonts w:hint="eastAsia" w:cs="宋体"/>
          <w:kern w:val="2"/>
          <w:sz w:val="28"/>
          <w:szCs w:val="20"/>
          <w:lang w:val="en-US" w:eastAsia="zh-CN"/>
        </w:rPr>
        <w:t>等</w:t>
      </w:r>
      <w:r>
        <w:rPr>
          <w:rFonts w:hint="default" w:cs="宋体"/>
          <w:kern w:val="2"/>
          <w:sz w:val="28"/>
          <w:szCs w:val="20"/>
          <w:lang w:val="zh-CN" w:eastAsia="zh-CN"/>
        </w:rPr>
        <w:t>情况</w:t>
      </w:r>
      <w:r>
        <w:rPr>
          <w:rFonts w:hint="eastAsia" w:cs="宋体"/>
          <w:kern w:val="2"/>
          <w:sz w:val="28"/>
          <w:szCs w:val="20"/>
          <w:lang w:val="en-US" w:eastAsia="zh-CN"/>
        </w:rPr>
        <w:t>，补充</w:t>
      </w:r>
      <w:r>
        <w:rPr>
          <w:rFonts w:hint="default" w:cs="宋体"/>
          <w:kern w:val="2"/>
          <w:sz w:val="28"/>
          <w:szCs w:val="20"/>
          <w:lang w:val="zh-CN" w:eastAsia="zh-CN"/>
        </w:rPr>
        <w:t>说明</w:t>
      </w:r>
      <w:r>
        <w:rPr>
          <w:rFonts w:hint="eastAsia" w:cs="宋体"/>
          <w:kern w:val="2"/>
          <w:sz w:val="28"/>
          <w:szCs w:val="20"/>
          <w:lang w:val="en-US" w:eastAsia="zh-CN"/>
        </w:rPr>
        <w:t>原材料、在产品</w:t>
      </w:r>
      <w:r>
        <w:rPr>
          <w:rFonts w:hint="default" w:cs="宋体"/>
          <w:kern w:val="2"/>
          <w:sz w:val="28"/>
          <w:szCs w:val="20"/>
          <w:lang w:val="zh-CN" w:eastAsia="zh-CN"/>
        </w:rPr>
        <w:t>、半成品、库存商品</w:t>
      </w:r>
      <w:r>
        <w:rPr>
          <w:rFonts w:hint="eastAsia" w:cs="宋体"/>
          <w:kern w:val="2"/>
          <w:sz w:val="28"/>
          <w:szCs w:val="20"/>
          <w:lang w:val="en-US" w:eastAsia="zh-CN"/>
        </w:rPr>
        <w:t>及</w:t>
      </w:r>
      <w:r>
        <w:rPr>
          <w:rFonts w:hint="default" w:cs="宋体"/>
          <w:kern w:val="2"/>
          <w:sz w:val="28"/>
          <w:szCs w:val="20"/>
          <w:lang w:val="zh-CN" w:eastAsia="zh-CN"/>
        </w:rPr>
        <w:t>发出</w:t>
      </w:r>
      <w:r>
        <w:rPr>
          <w:rFonts w:hint="eastAsia" w:cs="宋体"/>
          <w:kern w:val="2"/>
          <w:sz w:val="28"/>
          <w:szCs w:val="20"/>
          <w:lang w:val="en-US" w:eastAsia="zh-CN"/>
        </w:rPr>
        <w:t>商品</w:t>
      </w:r>
      <w:r>
        <w:rPr>
          <w:rFonts w:hint="default" w:cs="宋体"/>
          <w:kern w:val="2"/>
          <w:sz w:val="28"/>
          <w:szCs w:val="20"/>
          <w:lang w:val="zh-CN" w:eastAsia="zh-CN"/>
        </w:rPr>
        <w:t>等</w:t>
      </w:r>
      <w:r>
        <w:rPr>
          <w:rFonts w:hint="eastAsia" w:cs="宋体"/>
          <w:kern w:val="2"/>
          <w:sz w:val="28"/>
          <w:szCs w:val="20"/>
          <w:lang w:val="en-US" w:eastAsia="zh-CN"/>
        </w:rPr>
        <w:t>期末金额的合理性、存货余额波动的原因和合理性</w:t>
      </w:r>
      <w:r>
        <w:rPr>
          <w:rFonts w:hint="eastAsia" w:cs="宋体"/>
          <w:kern w:val="2"/>
          <w:sz w:val="28"/>
          <w:szCs w:val="20"/>
          <w:lang w:val="zh-CN" w:eastAsia="zh-CN"/>
        </w:rPr>
        <w:t>；</w:t>
      </w:r>
      <w:r>
        <w:rPr>
          <w:rFonts w:hint="default" w:cs="宋体"/>
          <w:kern w:val="2"/>
          <w:sz w:val="28"/>
          <w:szCs w:val="20"/>
          <w:lang w:val="zh-CN" w:eastAsia="zh-CN"/>
        </w:rPr>
        <w:t>（2）库存商品金额较大的原因与合理性，是否与同行业可比上市公司存在较大差异；</w:t>
      </w:r>
      <w:r>
        <w:rPr>
          <w:rFonts w:hint="eastAsia" w:cs="宋体"/>
          <w:kern w:val="2"/>
          <w:sz w:val="28"/>
          <w:szCs w:val="20"/>
          <w:lang w:val="en-US" w:eastAsia="zh-CN"/>
        </w:rPr>
        <w:t>（</w:t>
      </w:r>
      <w:r>
        <w:rPr>
          <w:rFonts w:hint="default" w:cs="宋体"/>
          <w:kern w:val="2"/>
          <w:sz w:val="28"/>
          <w:szCs w:val="20"/>
          <w:lang w:val="zh-CN" w:eastAsia="zh-CN"/>
        </w:rPr>
        <w:t>3</w:t>
      </w:r>
      <w:r>
        <w:rPr>
          <w:rFonts w:hint="eastAsia" w:cs="宋体"/>
          <w:kern w:val="2"/>
          <w:sz w:val="28"/>
          <w:szCs w:val="20"/>
          <w:lang w:val="en-US" w:eastAsia="zh-CN"/>
        </w:rPr>
        <w:t>）结合最新采购价格、存货库龄、</w:t>
      </w:r>
      <w:r>
        <w:rPr>
          <w:rFonts w:hint="default" w:cs="宋体"/>
          <w:kern w:val="2"/>
          <w:sz w:val="28"/>
          <w:szCs w:val="20"/>
          <w:lang w:val="zh-CN" w:eastAsia="zh-CN"/>
        </w:rPr>
        <w:t>市场行情等</w:t>
      </w:r>
      <w:r>
        <w:rPr>
          <w:rFonts w:hint="eastAsia" w:cs="宋体"/>
          <w:kern w:val="2"/>
          <w:sz w:val="28"/>
          <w:szCs w:val="20"/>
          <w:lang w:val="en-US" w:eastAsia="zh-CN"/>
        </w:rPr>
        <w:t>，</w:t>
      </w:r>
      <w:r>
        <w:rPr>
          <w:rFonts w:hint="default" w:cs="宋体"/>
          <w:kern w:val="2"/>
          <w:sz w:val="28"/>
          <w:szCs w:val="20"/>
          <w:lang w:val="zh-CN" w:eastAsia="zh-CN"/>
        </w:rPr>
        <w:t>说明</w:t>
      </w:r>
      <w:r>
        <w:rPr>
          <w:rFonts w:hint="eastAsia" w:cs="宋体"/>
          <w:kern w:val="2"/>
          <w:sz w:val="28"/>
          <w:szCs w:val="20"/>
          <w:lang w:val="en-US" w:eastAsia="zh-CN"/>
        </w:rPr>
        <w:t>存货跌价准备计提的充分性；（</w:t>
      </w:r>
      <w:r>
        <w:rPr>
          <w:rFonts w:hint="default" w:cs="宋体"/>
          <w:kern w:val="2"/>
          <w:sz w:val="28"/>
          <w:szCs w:val="20"/>
          <w:lang w:val="zh-CN" w:eastAsia="zh-CN"/>
        </w:rPr>
        <w:t>4</w:t>
      </w:r>
      <w:r>
        <w:rPr>
          <w:rFonts w:hint="eastAsia" w:cs="宋体"/>
          <w:kern w:val="2"/>
          <w:sz w:val="28"/>
          <w:szCs w:val="20"/>
          <w:lang w:val="en-US" w:eastAsia="zh-CN"/>
        </w:rPr>
        <w:t>）补充披露与同行业可比公司存货跌价准备计提比例的差异原因；</w:t>
      </w:r>
      <w:r>
        <w:rPr>
          <w:rFonts w:hint="eastAsia" w:cs="宋体"/>
          <w:kern w:val="2"/>
          <w:sz w:val="28"/>
          <w:szCs w:val="20"/>
          <w:lang w:val="zh-CN" w:eastAsia="zh-CN"/>
        </w:rPr>
        <w:t>（</w:t>
      </w:r>
      <w:r>
        <w:rPr>
          <w:rFonts w:hint="default" w:cs="宋体"/>
          <w:kern w:val="2"/>
          <w:sz w:val="28"/>
          <w:szCs w:val="20"/>
          <w:lang w:val="zh-CN" w:eastAsia="zh-CN"/>
        </w:rPr>
        <w:t>5</w:t>
      </w:r>
      <w:r>
        <w:rPr>
          <w:rFonts w:hint="eastAsia" w:cs="宋体"/>
          <w:kern w:val="2"/>
          <w:sz w:val="28"/>
          <w:szCs w:val="20"/>
          <w:lang w:val="zh-CN" w:eastAsia="zh-CN"/>
        </w:rPr>
        <w:t>）结合报告期各期原材料采购及领用情况，说明存货中主要原材料出入库数量与产量是否匹配；</w:t>
      </w:r>
      <w:r>
        <w:rPr>
          <w:rFonts w:hint="default" w:cs="宋体"/>
          <w:kern w:val="2"/>
          <w:sz w:val="28"/>
          <w:szCs w:val="20"/>
          <w:lang w:val="zh-CN" w:eastAsia="zh-CN"/>
        </w:rPr>
        <w:t>（6）结合委托加工业务的收入确认方法说明存货中核算的委托加工物资情况，对应客户情况，并分析核算方法是否符合会计准则规定；</w:t>
      </w:r>
      <w:r>
        <w:rPr>
          <w:rFonts w:hint="eastAsia" w:cs="宋体"/>
          <w:kern w:val="2"/>
          <w:sz w:val="28"/>
          <w:szCs w:val="20"/>
          <w:lang w:val="zh-CN" w:eastAsia="zh-CN"/>
        </w:rPr>
        <w:t>（</w:t>
      </w:r>
      <w:r>
        <w:rPr>
          <w:rFonts w:hint="default" w:cs="宋体"/>
          <w:kern w:val="2"/>
          <w:sz w:val="28"/>
          <w:szCs w:val="20"/>
          <w:lang w:val="zh-CN" w:eastAsia="zh-CN"/>
        </w:rPr>
        <w:t>7</w:t>
      </w:r>
      <w:r>
        <w:rPr>
          <w:rFonts w:hint="eastAsia" w:cs="宋体"/>
          <w:kern w:val="2"/>
          <w:sz w:val="28"/>
          <w:szCs w:val="20"/>
          <w:lang w:val="zh-CN" w:eastAsia="zh-CN"/>
        </w:rPr>
        <w:t>）</w:t>
      </w:r>
      <w:r>
        <w:rPr>
          <w:rFonts w:hint="eastAsia" w:cs="宋体"/>
          <w:kern w:val="2"/>
          <w:sz w:val="28"/>
          <w:szCs w:val="20"/>
          <w:lang w:val="en-US" w:eastAsia="zh-CN"/>
        </w:rPr>
        <w:t>说明报告期各期末对存货项目进行盘点的情况，包括盘点范围、地点、品种、金额、比例等，说明执行盘点的部门与人员、是否存在账实差异及处理结果；请申报会计师说明对存货的监盘情况。请保荐机构、申报会计师详细核查上述情况，说明核查过程，并对发行人存货的真实性、存货跌价准备计提的充分性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末，公司固定资产账面价值分别为53,441.22万元、52,417.80万元、48,297.20万元和56,041.12万元，在建工程账面价值分别为8,690.20万元、12,283.64万元、21,526.97万元和19,322.28万元。请发行人（1）说明各类固定资产取得方式、入账时间、入账价值及其确定依据，说明固定资产的分布是否与生产经营相匹配；（2）补充披露各期购置、在建工程转入的房屋及建筑物、机器设备等金额，说明机器设备规模、成新率与产能是否匹配；（3）结合各类固定资产的实际使用寿命和约定服务期限情况等，说明折旧年限、残值率确定的合理性，与同行业公司相比是否存在重大差异；报告期前及期内是否存在调整折旧政策的情况；（4）补充</w:t>
      </w:r>
      <w:r>
        <w:rPr>
          <w:rFonts w:hint="default" w:cs="宋体"/>
          <w:kern w:val="2"/>
          <w:sz w:val="28"/>
          <w:szCs w:val="20"/>
          <w:lang w:val="zh-CN" w:eastAsia="zh-CN"/>
        </w:rPr>
        <w:t>说明</w:t>
      </w:r>
      <w:r>
        <w:rPr>
          <w:rFonts w:hint="eastAsia" w:cs="宋体"/>
          <w:kern w:val="2"/>
          <w:sz w:val="28"/>
          <w:szCs w:val="20"/>
          <w:lang w:val="en-US" w:eastAsia="zh-CN"/>
        </w:rPr>
        <w:t>报告期内在建工程情况，包括但不限于项目名称、金额、各期投入和转固金额，各项目转固时点确认依据是否充分，与使用记录是否相符；（5）说明是否涉及借款费用资本化情形，如存在，补充披露相关内容；（6）结合资产闲置、处置、更换、报废等情况，说明各期如何判断固定资产、在建工程无减值迹象；（7）说明在建工程施工方情况，是否采用招投标取得业务，是否主要为发行人服务或存在关联关系，是否向施工方预付工程款。请保荐机构、申报会计师对上述事项进行核查，并结合相关资产持有目的、用途、使用状况等，核查资产减值相关会计处理是否谨慎，并发表明确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eastAsia" w:cs="宋体"/>
          <w:kern w:val="2"/>
          <w:sz w:val="28"/>
          <w:szCs w:val="20"/>
          <w:lang w:val="en-US" w:eastAsia="zh-CN"/>
        </w:rPr>
        <w:t>发行人设立以来进行了多次</w:t>
      </w:r>
      <w:r>
        <w:rPr>
          <w:rFonts w:hint="default" w:cs="宋体"/>
          <w:kern w:val="2"/>
          <w:sz w:val="28"/>
          <w:szCs w:val="20"/>
          <w:lang w:val="en-US" w:eastAsia="zh-CN"/>
        </w:rPr>
        <w:t>增资和</w:t>
      </w:r>
      <w:r>
        <w:rPr>
          <w:rFonts w:hint="eastAsia" w:cs="宋体"/>
          <w:kern w:val="2"/>
          <w:sz w:val="28"/>
          <w:szCs w:val="20"/>
          <w:lang w:val="en-US" w:eastAsia="zh-CN"/>
        </w:rPr>
        <w:t>股权转让。请</w:t>
      </w:r>
      <w:r>
        <w:rPr>
          <w:rFonts w:hint="default" w:cs="宋体"/>
          <w:kern w:val="2"/>
          <w:sz w:val="28"/>
          <w:szCs w:val="20"/>
          <w:lang w:val="en-US" w:eastAsia="zh-CN"/>
        </w:rPr>
        <w:t>发行人</w:t>
      </w:r>
      <w:r>
        <w:rPr>
          <w:rFonts w:hint="eastAsia" w:cs="宋体"/>
          <w:kern w:val="2"/>
          <w:sz w:val="28"/>
          <w:szCs w:val="20"/>
          <w:lang w:val="en-US" w:eastAsia="zh-CN"/>
        </w:rPr>
        <w:t>（1）</w:t>
      </w:r>
      <w:r>
        <w:rPr>
          <w:rFonts w:hint="default" w:cs="宋体"/>
          <w:kern w:val="2"/>
          <w:sz w:val="28"/>
          <w:szCs w:val="20"/>
          <w:lang w:val="en-US" w:eastAsia="zh-CN"/>
        </w:rPr>
        <w:t>说明</w:t>
      </w:r>
      <w:r>
        <w:rPr>
          <w:rFonts w:hint="eastAsia" w:cs="宋体"/>
          <w:kern w:val="2"/>
          <w:sz w:val="28"/>
          <w:szCs w:val="20"/>
          <w:lang w:val="en-US" w:eastAsia="zh-CN"/>
        </w:rPr>
        <w:t>每次股权转让的定价方法和依据，转让价格不同的原因，是否符合有关法规和公司章程的规定，是否履行了必要的程序；（2）</w:t>
      </w:r>
      <w:r>
        <w:rPr>
          <w:rFonts w:hint="default" w:cs="宋体"/>
          <w:kern w:val="2"/>
          <w:sz w:val="28"/>
          <w:szCs w:val="20"/>
          <w:lang w:val="en-US" w:eastAsia="zh-CN"/>
        </w:rPr>
        <w:t>说明</w:t>
      </w:r>
      <w:r>
        <w:rPr>
          <w:rFonts w:hint="eastAsia" w:cs="宋体"/>
          <w:kern w:val="2"/>
          <w:sz w:val="28"/>
          <w:szCs w:val="20"/>
          <w:lang w:val="en-US" w:eastAsia="zh-CN"/>
        </w:rPr>
        <w:t>上述股权转让是否涉及股份支付，如果涉及，说明股份支付公允价值确定的方法和依据，股份支付的范围是否全面</w:t>
      </w:r>
      <w:r>
        <w:rPr>
          <w:rFonts w:hint="default" w:cs="宋体"/>
          <w:kern w:val="2"/>
          <w:sz w:val="28"/>
          <w:szCs w:val="20"/>
          <w:lang w:val="en-US" w:eastAsia="zh-CN"/>
        </w:rPr>
        <w:t>，</w:t>
      </w:r>
      <w:r>
        <w:rPr>
          <w:rFonts w:hint="eastAsia" w:cs="宋体"/>
          <w:kern w:val="2"/>
          <w:sz w:val="28"/>
          <w:szCs w:val="20"/>
          <w:lang w:val="en-US" w:eastAsia="zh-CN"/>
        </w:rPr>
        <w:t>会计处理是否符合《企业会计准则》相关规定</w:t>
      </w:r>
      <w:r>
        <w:rPr>
          <w:rFonts w:hint="default" w:cs="宋体"/>
          <w:kern w:val="2"/>
          <w:sz w:val="28"/>
          <w:szCs w:val="20"/>
          <w:lang w:val="en-US" w:eastAsia="zh-CN"/>
        </w:rPr>
        <w:t>，</w:t>
      </w:r>
      <w:r>
        <w:rPr>
          <w:rFonts w:hint="eastAsia" w:cs="宋体"/>
          <w:kern w:val="2"/>
          <w:sz w:val="28"/>
          <w:szCs w:val="20"/>
          <w:lang w:val="en-US" w:eastAsia="zh-CN"/>
        </w:rPr>
        <w:t>是否按照税法要求履行了相关纳税义务，并对纳税情况进行说明。请保荐机构、</w:t>
      </w:r>
      <w:r>
        <w:rPr>
          <w:rFonts w:hint="default" w:cs="宋体"/>
          <w:kern w:val="2"/>
          <w:sz w:val="28"/>
          <w:szCs w:val="20"/>
          <w:lang w:val="en-US" w:eastAsia="zh-CN"/>
        </w:rPr>
        <w:t>申报</w:t>
      </w:r>
      <w:r>
        <w:rPr>
          <w:rFonts w:hint="eastAsia" w:cs="宋体"/>
          <w:kern w:val="2"/>
          <w:sz w:val="28"/>
          <w:szCs w:val="20"/>
          <w:lang w:val="en-US" w:eastAsia="zh-CN"/>
        </w:rPr>
        <w:t>会计师对上述事项进行核查并发表核查意见</w:t>
      </w:r>
      <w:r>
        <w:rPr>
          <w:rFonts w:hint="default" w:cs="宋体"/>
          <w:kern w:val="2"/>
          <w:sz w:val="28"/>
          <w:szCs w:val="20"/>
          <w:lang w:val="en-US" w:eastAsia="zh-CN"/>
        </w:rPr>
        <w:t>。</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eastAsia" w:cs="宋体"/>
          <w:kern w:val="2"/>
          <w:sz w:val="28"/>
          <w:szCs w:val="20"/>
          <w:lang w:val="en-US" w:eastAsia="zh-CN"/>
        </w:rPr>
        <w:t>发行人</w:t>
      </w:r>
      <w:r>
        <w:rPr>
          <w:rFonts w:hint="default" w:cs="宋体"/>
          <w:kern w:val="2"/>
          <w:sz w:val="28"/>
          <w:szCs w:val="20"/>
          <w:lang w:val="en-US" w:eastAsia="zh-CN"/>
        </w:rPr>
        <w:t>是否存在《首发若干问题解答》所述第三方回款、现金收款及财务内控不规范情形，如有，请发行人按《首发若干问题解答》相关要求进行补充说明和披露，请保荐机构、申报会计师补充核查并发表核查意见。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招股说明书显示，发行人报告期内持续与关联方发生日常购销交易</w:t>
      </w:r>
      <w:r>
        <w:rPr>
          <w:rFonts w:hint="default" w:cs="宋体"/>
          <w:kern w:val="2"/>
          <w:sz w:val="28"/>
          <w:szCs w:val="20"/>
          <w:lang w:val="en-US" w:eastAsia="zh-CN"/>
        </w:rPr>
        <w:t>、租赁</w:t>
      </w:r>
      <w:r>
        <w:rPr>
          <w:rFonts w:hint="eastAsia" w:cs="宋体"/>
          <w:kern w:val="2"/>
          <w:sz w:val="28"/>
          <w:szCs w:val="20"/>
          <w:lang w:val="en-US" w:eastAsia="zh-CN"/>
        </w:rPr>
        <w:t>情形。请发行人（1）说明关联交易的必要性、定价依据及公允性，</w:t>
      </w:r>
      <w:r>
        <w:rPr>
          <w:rFonts w:hint="eastAsia" w:cs="宋体"/>
          <w:kern w:val="2"/>
          <w:sz w:val="28"/>
          <w:szCs w:val="20"/>
          <w:lang w:val="zh-CN" w:eastAsia="zh-CN"/>
        </w:rPr>
        <w:t>是否影响发行人的独立性及持续经营能力，</w:t>
      </w:r>
      <w:r>
        <w:rPr>
          <w:rFonts w:hint="eastAsia" w:cs="宋体"/>
          <w:kern w:val="2"/>
          <w:sz w:val="28"/>
          <w:szCs w:val="20"/>
          <w:lang w:val="en-US" w:eastAsia="zh-CN"/>
        </w:rPr>
        <w:t>相关风险是否披露充分；（2）说明关联交易占对方相应项目的比例，是否对发行人存在重大依赖；（3）说明是否依照相关规定完整披露关联方及关联交易，关联交易是否均已履行了必要、规范的审议程序；（</w:t>
      </w:r>
      <w:r>
        <w:rPr>
          <w:rFonts w:hint="default" w:cs="宋体"/>
          <w:kern w:val="2"/>
          <w:sz w:val="28"/>
          <w:szCs w:val="20"/>
          <w:lang w:val="en-US" w:eastAsia="zh-CN"/>
        </w:rPr>
        <w:t>4</w:t>
      </w:r>
      <w:r>
        <w:rPr>
          <w:rFonts w:hint="eastAsia" w:cs="宋体"/>
          <w:kern w:val="2"/>
          <w:sz w:val="28"/>
          <w:szCs w:val="20"/>
          <w:lang w:val="en-US" w:eastAsia="zh-CN"/>
        </w:rPr>
        <w:t>）说明是否存在通过关联交易、其他利益安排等方式为发行人承担成本费用或其他利益安排情形。请保荐机构、申报会计师核查，并发表核查意见。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eastAsia" w:ascii="黑体" w:hAnsi="黑体" w:eastAsia="黑体" w:cs="黑体"/>
          <w:kern w:val="2"/>
          <w:sz w:val="28"/>
          <w:szCs w:val="20"/>
          <w:lang w:val="en-US" w:eastAsia="zh-CN"/>
        </w:rPr>
      </w:pPr>
      <w:r>
        <w:rPr>
          <w:rFonts w:hint="eastAsia" w:ascii="黑体" w:hAnsi="黑体" w:eastAsia="黑体" w:cs="黑体"/>
          <w:kern w:val="2"/>
          <w:sz w:val="28"/>
          <w:szCs w:val="20"/>
          <w:lang w:val="en-US" w:eastAsia="zh-CN"/>
        </w:rPr>
        <w:t>三、与财务会计资料相关的问题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请保荐机构、</w:t>
      </w:r>
      <w:r>
        <w:rPr>
          <w:rFonts w:hint="default" w:cs="宋体"/>
          <w:kern w:val="2"/>
          <w:sz w:val="28"/>
          <w:szCs w:val="20"/>
          <w:lang w:val="en-US" w:eastAsia="zh-CN"/>
        </w:rPr>
        <w:t>申报</w:t>
      </w:r>
      <w:r>
        <w:rPr>
          <w:rFonts w:hint="eastAsia" w:cs="宋体"/>
          <w:kern w:val="2"/>
          <w:sz w:val="28"/>
          <w:szCs w:val="20"/>
          <w:lang w:val="en-US" w:eastAsia="zh-CN"/>
        </w:rPr>
        <w:t>会计师说明公司财务部门人员与公司董监高、控股股东及实际控制人（如为个人）是否具有亲属关系，如有，是否会影响财务工作独立性。请保荐机构、</w:t>
      </w:r>
      <w:r>
        <w:rPr>
          <w:rFonts w:hint="default" w:cs="宋体"/>
          <w:kern w:val="2"/>
          <w:sz w:val="28"/>
          <w:szCs w:val="20"/>
          <w:lang w:val="en-US" w:eastAsia="zh-CN"/>
        </w:rPr>
        <w:t>申报</w:t>
      </w:r>
      <w:r>
        <w:rPr>
          <w:rFonts w:hint="eastAsia" w:cs="宋体"/>
          <w:kern w:val="2"/>
          <w:sz w:val="28"/>
          <w:szCs w:val="20"/>
          <w:lang w:val="en-US" w:eastAsia="zh-CN"/>
        </w:rPr>
        <w:t>会计师核查财务相关内部控制设计和执行的有效性。</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请发行人、中介机构回复反馈意见时注意区分信息披露问题和分析说明问题，如认为补充说明内容对投资者价值判断有重大影响的，请在招股说明书中予以补充披露。</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textAlignment w:val="auto"/>
        <w:outlineLvl w:val="0"/>
        <w:rPr>
          <w:rFonts w:hint="default" w:ascii="Times New Roman" w:hAnsi="Times New Roman" w:cs="Times New Roman"/>
        </w:rPr>
      </w:pPr>
      <w:bookmarkStart w:id="1" w:name="_GoBack"/>
      <w:bookmarkEnd w:id="1"/>
    </w:p>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37EDAD30"/>
    <w:rsid w:val="3B652498"/>
    <w:rsid w:val="3CDFE19F"/>
    <w:rsid w:val="3FC7D60B"/>
    <w:rsid w:val="5EFFAB86"/>
    <w:rsid w:val="5F6B20CA"/>
    <w:rsid w:val="5FF34D79"/>
    <w:rsid w:val="6AEFDBE7"/>
    <w:rsid w:val="6D7FBAC5"/>
    <w:rsid w:val="6E06D07B"/>
    <w:rsid w:val="75FFA0B9"/>
    <w:rsid w:val="7BCF48D0"/>
    <w:rsid w:val="9FFF97CB"/>
    <w:rsid w:val="A7FD5485"/>
    <w:rsid w:val="DCEF1A5F"/>
    <w:rsid w:val="EEDA62CE"/>
    <w:rsid w:val="F1FF7208"/>
    <w:rsid w:val="F7F7200B"/>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paragraph" w:styleId="3">
    <w:name w:val="Body Text Indent"/>
    <w:basedOn w:val="1"/>
    <w:qFormat/>
    <w:uiPriority w:val="99"/>
    <w:pPr>
      <w:adjustRightInd w:val="0"/>
      <w:snapToGrid w:val="0"/>
      <w:spacing w:beforeLines="50" w:line="360" w:lineRule="auto"/>
      <w:ind w:firstLine="480"/>
    </w:pPr>
    <w:rPr>
      <w:rFonts w:hint="eastAsia" w:ascii="宋体" w:hAnsi="宋体"/>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 w:type="paragraph" w:customStyle="1" w:styleId="14">
    <w:name w:val="005正文"/>
    <w:basedOn w:val="1"/>
    <w:qFormat/>
    <w:uiPriority w:val="0"/>
    <w:pPr>
      <w:adjustRightInd w:val="0"/>
      <w:snapToGrid w:val="0"/>
      <w:spacing w:before="50" w:beforeLines="50" w:line="360" w:lineRule="auto"/>
      <w:ind w:firstLine="200" w:firstLineChars="200"/>
    </w:pPr>
  </w:style>
  <w:style w:type="paragraph" w:customStyle="1" w:styleId="15">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2</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2022-08-29T09:30:00Z</dcterms:created>
  <dc:creator>jqqin</dc:creator>
  <cp:lastModifiedBy>殷明明</cp:lastModifiedBy>
  <dcterms:modified xsi:type="dcterms:W3CDTF">2023-01-05T10:39:56Z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