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江西增鑫科技股份有限公司首次公开发行股票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国信证券股份有限公司：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现对你公司推荐的江西增鑫科技股份有限公司（以下简称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关于</w:t>
      </w:r>
      <w:r>
        <w:rPr>
          <w:rFonts w:hint="default" w:ascii="宋体" w:hAnsi="宋体" w:cs="宋体"/>
          <w:lang w:eastAsia="zh-CN"/>
        </w:rPr>
        <w:t>正邦科技关联方入股</w:t>
      </w:r>
      <w:r>
        <w:rPr>
          <w:rFonts w:hint="eastAsia" w:ascii="宋体" w:hAnsi="宋体" w:eastAsia="宋体" w:cs="宋体"/>
          <w:lang w:val="en-US" w:eastAsia="zh-CN"/>
        </w:rPr>
        <w:t>。正邦养殖和正邦集团分别于2011年10月和2017年11月入股发行人。正邦养殖和正邦集团为正邦科技关联方。正邦科技为发行人2019年和2020年第一大客户，2021年第三大客户。请发行人：（1）说明正邦养殖和正邦集团入股的商业合理性，是否符合行业惯例，入股价格定价依据及公允性，是否存在低价入股换取订单或其他利益安排的情形。（2）说明发行人与正邦科技及其关联方是否存在可能造成利益倾斜的关系或约定，结合报告期内发行人与正邦科技业务流程及交易情况，说明是否存在调节发行人收入、利润或成本费用的倾斜，是否存在利益冲突或利益输送的情形。（3）结合公司章程、协议或其他安排以及发行人三会运作、公司治理及经营管理的实际执行情况，说明正邦科技及其关联方对发行人生产经营是否具有重大影响，是否实质控制发行人，以及上述情况对发行人控制权稳定性的影响。（4）对比正邦科技关联方入股前后发行人对其销售同类型产品单价、毛利率、交易条款变动情况，说明变动原因及合理性。（5）说明发行人未来对正邦科技的销售集中度是否可能维持或进一步提升，发行人对其是否构成重大依赖，是否对持续经营能力构成重大不利影响。（6）说明发行人及其实际控制人、其他股东、董监高与正邦科技及其关联方是否存在关联关系、委托持股或其他利益安排，是否存在非经营性资金和业务往来。请保荐机构及发行人律师核查并发表明确意见。</w:t>
      </w:r>
    </w:p>
    <w:p>
      <w:pPr>
        <w:pStyle w:val="10"/>
        <w:spacing w:after="0" w:line="460" w:lineRule="exact"/>
        <w:ind w:firstLine="560" w:firstLineChars="200"/>
        <w:rPr>
          <w:rFonts w:hint="eastAsia" w:ascii="宋体" w:hAnsi="宋体" w:eastAsia="宋体" w:cs="宋体"/>
          <w:kern w:val="2"/>
          <w:sz w:val="28"/>
          <w:szCs w:val="20"/>
          <w:lang w:val="en-US" w:eastAsia="zh-CN"/>
        </w:rPr>
      </w:pPr>
      <w:r>
        <w:rPr>
          <w:rFonts w:hint="eastAsia" w:ascii="宋体" w:hAnsi="宋体" w:eastAsia="宋体" w:cs="宋体"/>
          <w:kern w:val="2"/>
          <w:sz w:val="28"/>
          <w:szCs w:val="20"/>
          <w:lang w:val="en-US" w:eastAsia="zh-CN"/>
        </w:rPr>
        <w:t>2、关于</w:t>
      </w:r>
      <w:r>
        <w:rPr>
          <w:rFonts w:hint="default" w:cs="宋体"/>
          <w:kern w:val="2"/>
          <w:sz w:val="28"/>
          <w:szCs w:val="20"/>
          <w:lang w:eastAsia="zh-CN"/>
        </w:rPr>
        <w:t>历史沿革</w:t>
      </w:r>
      <w:r>
        <w:rPr>
          <w:rFonts w:hint="eastAsia" w:ascii="宋体" w:hAnsi="宋体" w:eastAsia="宋体" w:cs="宋体"/>
          <w:kern w:val="2"/>
          <w:sz w:val="28"/>
          <w:szCs w:val="20"/>
          <w:lang w:val="en-US" w:eastAsia="zh-CN"/>
        </w:rPr>
        <w:t>。请发行人说明：（1）历史上发行人设立及存续期间是否存在不规范事项，如有则请补充披露具体内容、后续处理方式，以及是否受到过行政处罚或存在被处罚风险，是否构成重大违法行为及本次发行的法律障碍，是否存在纠纷或潜在纠纷。（2）历次增资及股权转让的原因，增资或股权转让价格，定价依据、公允性和合理性。（3）股权转让是否真实，有关股权变动是否为双方真实意思表示，是否存在争议或潜在纠纷，是否存在委托持股、利益输送或其他利益安排。（4）发行人历次出资、增资及股权转让的资金来源、合法性，是否存在出资不实、抽逃资本等情况。（5）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p>
    <w:p>
      <w:pPr>
        <w:pStyle w:val="10"/>
        <w:spacing w:after="0" w:line="460" w:lineRule="exact"/>
        <w:ind w:firstLine="560" w:firstLineChars="200"/>
        <w:rPr>
          <w:rFonts w:hint="eastAsia" w:ascii="宋体" w:hAnsi="宋体" w:eastAsia="宋体" w:cs="宋体"/>
          <w:kern w:val="2"/>
          <w:sz w:val="28"/>
          <w:szCs w:val="20"/>
          <w:lang w:val="en-US" w:eastAsia="zh-CN"/>
        </w:rPr>
      </w:pPr>
      <w:r>
        <w:rPr>
          <w:rFonts w:hint="default" w:cs="宋体"/>
          <w:kern w:val="2"/>
          <w:sz w:val="28"/>
          <w:szCs w:val="20"/>
          <w:lang w:eastAsia="zh-CN"/>
        </w:rPr>
        <w:t>3、关于实际控制人。</w:t>
      </w:r>
      <w:r>
        <w:rPr>
          <w:rFonts w:hint="eastAsia" w:ascii="宋体" w:hAnsi="宋体" w:eastAsia="宋体" w:cs="宋体"/>
          <w:kern w:val="2"/>
          <w:sz w:val="28"/>
          <w:szCs w:val="20"/>
          <w:lang w:val="en-US" w:eastAsia="zh-CN"/>
        </w:rPr>
        <w:t>公司的控股股东、实际控制人均为曾年根。曾年根与股东雷三根、胡桂生、廖红兵分别直接持有发行人 37.56%、10.24%、10.24%、10.24%的股份。曾年根与股东雷三根、胡桂生、廖红兵已签订《一致行动协议》。请发行人：（1）结合曾年根、雷三根、胡桂生、廖红兵最近3 年在发行人的任职情况、在经营决策中发挥的具体作用、直接和间接持有发行人股份数量及占比的变动情况，以及报告期内发行人公司治理、三会运作及决策情况、经营管理的实际运作情况等，说明曾年根能否对发行人实施有效控制，最近3年发行人实际控制人是否发生变更及其依据。（2）未将雷三根、胡桂生、廖红兵认定为共同实际控制人的原因及合理性，是否存在规避同业竞争和关联交易的情形</w:t>
      </w:r>
      <w:r>
        <w:rPr>
          <w:rFonts w:hint="default" w:cs="宋体"/>
          <w:kern w:val="2"/>
          <w:sz w:val="28"/>
          <w:szCs w:val="20"/>
          <w:lang w:eastAsia="zh-CN"/>
        </w:rPr>
        <w:t>；</w:t>
      </w:r>
      <w:r>
        <w:rPr>
          <w:rFonts w:hint="eastAsia" w:ascii="宋体" w:hAnsi="宋体" w:eastAsia="宋体" w:cs="宋体"/>
          <w:kern w:val="2"/>
          <w:sz w:val="28"/>
          <w:szCs w:val="20"/>
          <w:lang w:val="en-US" w:eastAsia="zh-CN"/>
        </w:rPr>
        <w:t>雷三根、胡桂生、廖红兵及其亲属对外投资的企业与发行人是否构成同业竞争，雷三根、胡桂生、廖红兵最近3年是否存在重大违法违规</w:t>
      </w:r>
      <w:r>
        <w:rPr>
          <w:rFonts w:hint="default" w:cs="宋体"/>
          <w:kern w:val="2"/>
          <w:sz w:val="28"/>
          <w:szCs w:val="20"/>
          <w:lang w:eastAsia="zh-CN"/>
        </w:rPr>
        <w:t>行为</w:t>
      </w:r>
      <w:r>
        <w:rPr>
          <w:rFonts w:hint="eastAsia" w:ascii="宋体" w:hAnsi="宋体" w:eastAsia="宋体" w:cs="宋体"/>
          <w:kern w:val="2"/>
          <w:sz w:val="28"/>
          <w:szCs w:val="20"/>
          <w:lang w:val="en-US" w:eastAsia="zh-CN"/>
        </w:rPr>
        <w:t>。（3）《一致行动协议》的签署日期，签署前后发行人控制权是否发生变化。（4）《一致行动协议》签署的原因，协议核心条款，意见分歧及纠纷解决机制是否明确、可执行，相关协议起止日期，是否存在未披露的其他一致行动安排。请保荐机构及发行人律师核查并发表明确意见。</w:t>
      </w:r>
    </w:p>
    <w:p>
      <w:pPr>
        <w:pStyle w:val="10"/>
        <w:spacing w:after="0" w:line="460" w:lineRule="exact"/>
        <w:ind w:firstLine="560" w:firstLineChars="200"/>
        <w:rPr>
          <w:rFonts w:hint="default" w:ascii="宋体" w:hAnsi="宋体" w:eastAsia="宋体" w:cs="宋体"/>
          <w:kern w:val="2"/>
          <w:sz w:val="28"/>
          <w:szCs w:val="20"/>
          <w:lang w:eastAsia="zh-CN"/>
        </w:rPr>
      </w:pPr>
      <w:r>
        <w:rPr>
          <w:rFonts w:hint="default" w:cs="宋体"/>
          <w:kern w:val="2"/>
          <w:sz w:val="28"/>
          <w:szCs w:val="20"/>
          <w:lang w:eastAsia="zh-CN"/>
        </w:rPr>
        <w:t>4、关于同业竞争。请发行人：（1）逐一补充说明实际控制人、控股股东及其近亲属全资或控股的企业，进一步说明是否存在与公司利益冲突的情形、是否存在与公司及其子公司从事相同或相似业务的情形，如存在，请说明对公司独立性的影响。（2）认定不存在同业竞争关系时，是否已经审慎核查并完整地披露发行人控股股东、实际控制人及其近亲属直接或间接控制的全部关联企业。（3）上述企业的实际经营业务，说明是否简单依据经营范围对同业竞争做出判断，是否仅以经营区域、细分产品、细分市场的不同来认定不构成同业竞争。（4）上述企业的历史沿革、资产、人员、业务和技术等方面与发行人的关系，采购销售渠道、客户、供应商等方面是否影响发行人的独立性。请保荐机构、发行人律师核查并发表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5、关于关联交易</w:t>
      </w:r>
      <w:r>
        <w:rPr>
          <w:rFonts w:hint="eastAsia" w:cs="宋体"/>
          <w:kern w:val="2"/>
          <w:sz w:val="28"/>
          <w:szCs w:val="20"/>
          <w:lang w:val="en-US" w:eastAsia="zh-CN"/>
        </w:rPr>
        <w:t>。报告期内，发行人存在关联采购、关联销售和关联方资金拆借。请发行人：（1）说明发行人存在向（前）员工或其设立的个体工商户采购安装服务的背景、原因、必要性和商业合理性，列示涉及的员工姓名及履历，是否存在在职期间或离职后即与发行人合作的情形，是否专为发行人服务，发行人采购金额占其对外服务金额的比例，是否存在利益输送或为发行人承担成本费用的情形。（</w:t>
      </w:r>
      <w:r>
        <w:rPr>
          <w:rFonts w:hint="default" w:cs="宋体"/>
          <w:kern w:val="2"/>
          <w:sz w:val="28"/>
          <w:szCs w:val="20"/>
          <w:lang w:eastAsia="zh-CN"/>
        </w:rPr>
        <w:t>2</w:t>
      </w:r>
      <w:r>
        <w:rPr>
          <w:rFonts w:hint="eastAsia" w:cs="宋体"/>
          <w:kern w:val="2"/>
          <w:sz w:val="28"/>
          <w:szCs w:val="20"/>
          <w:lang w:val="en-US" w:eastAsia="zh-CN"/>
        </w:rPr>
        <w:t>）说明关联交易关联方的基本情况，关联交易内容、交易金额、占比等、交易背景以及相关交易与发行人主营业务之间的关系；发行人2021年</w:t>
      </w:r>
      <w:r>
        <w:rPr>
          <w:rFonts w:hint="default" w:cs="宋体"/>
          <w:kern w:val="2"/>
          <w:sz w:val="28"/>
          <w:szCs w:val="20"/>
          <w:lang w:eastAsia="zh-CN"/>
        </w:rPr>
        <w:t>与</w:t>
      </w:r>
      <w:r>
        <w:rPr>
          <w:rFonts w:hint="eastAsia" w:cs="宋体"/>
          <w:kern w:val="2"/>
          <w:sz w:val="28"/>
          <w:szCs w:val="20"/>
          <w:lang w:val="en-US" w:eastAsia="zh-CN"/>
        </w:rPr>
        <w:t>正邦科技及其子公司关联交易金额大幅下降的原因及合理性。（</w:t>
      </w:r>
      <w:r>
        <w:rPr>
          <w:rFonts w:hint="default" w:cs="宋体"/>
          <w:kern w:val="2"/>
          <w:sz w:val="28"/>
          <w:szCs w:val="20"/>
          <w:lang w:eastAsia="zh-CN"/>
        </w:rPr>
        <w:t>3</w:t>
      </w:r>
      <w:r>
        <w:rPr>
          <w:rFonts w:hint="eastAsia" w:cs="宋体"/>
          <w:kern w:val="2"/>
          <w:sz w:val="28"/>
          <w:szCs w:val="20"/>
          <w:lang w:val="en-US" w:eastAsia="zh-CN"/>
        </w:rPr>
        <w:t>）结合可比市场公允价格、第三方市场价格、关联方与其他交易方的价格等，说明并摘要披露关联交易的公允性，是否存在对发行人或关联方的利益输送，是否存在替发行人承担成本的情形。（</w:t>
      </w:r>
      <w:r>
        <w:rPr>
          <w:rFonts w:hint="default" w:cs="宋体"/>
          <w:kern w:val="2"/>
          <w:sz w:val="28"/>
          <w:szCs w:val="20"/>
          <w:lang w:eastAsia="zh-CN"/>
        </w:rPr>
        <w:t>4</w:t>
      </w:r>
      <w:r>
        <w:rPr>
          <w:rFonts w:hint="eastAsia" w:cs="宋体"/>
          <w:kern w:val="2"/>
          <w:sz w:val="28"/>
          <w:szCs w:val="20"/>
          <w:lang w:val="en-US" w:eastAsia="zh-CN"/>
        </w:rPr>
        <w:t>）说明章程对关联交易决策程序的规定，已发生关联交易的决策过程是否与章程相符，关联股东或董事在审议相关交易时是否回避，以及独立董事和监事会成员是否发表不同意见等。（</w:t>
      </w:r>
      <w:r>
        <w:rPr>
          <w:rFonts w:hint="default" w:cs="宋体"/>
          <w:kern w:val="2"/>
          <w:sz w:val="28"/>
          <w:szCs w:val="20"/>
          <w:lang w:eastAsia="zh-CN"/>
        </w:rPr>
        <w:t>5</w:t>
      </w:r>
      <w:r>
        <w:rPr>
          <w:rFonts w:hint="eastAsia" w:cs="宋体"/>
          <w:kern w:val="2"/>
          <w:sz w:val="28"/>
          <w:szCs w:val="20"/>
          <w:lang w:val="en-US" w:eastAsia="zh-CN"/>
        </w:rPr>
        <w:t>）说明实际控制人资金占用情况是否已彻底整改，相关内控制度完善情况，对本次发行上市的影响，后续如何防范资金占用情形的发生。（</w:t>
      </w:r>
      <w:r>
        <w:rPr>
          <w:rFonts w:hint="default" w:cs="宋体"/>
          <w:kern w:val="2"/>
          <w:sz w:val="28"/>
          <w:szCs w:val="20"/>
          <w:lang w:eastAsia="zh-CN"/>
        </w:rPr>
        <w:t>6</w:t>
      </w:r>
      <w:r>
        <w:rPr>
          <w:rFonts w:hint="eastAsia" w:cs="宋体"/>
          <w:kern w:val="2"/>
          <w:sz w:val="28"/>
          <w:szCs w:val="20"/>
          <w:lang w:val="en-US" w:eastAsia="zh-CN"/>
        </w:rPr>
        <w:t>）上述关联交易是否仍将持续发生，关联交易是否影响发行人的独立性，是否构成对关联方的重大依赖，发行人规范和减少关联交易的措施、控股股东及实际控制人减少关联交易承诺是否得到有效执行。请保荐机构及发行人律师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6、</w:t>
      </w:r>
      <w:r>
        <w:rPr>
          <w:rFonts w:hint="eastAsia" w:cs="宋体"/>
          <w:kern w:val="2"/>
          <w:sz w:val="28"/>
          <w:szCs w:val="20"/>
          <w:lang w:val="en-US" w:eastAsia="zh-CN"/>
        </w:rPr>
        <w:t>报告期各期，发行人分别实现营业收入61,964.12万元、92,713.00万元、86,951.57万元，分别实现净利润5,145.56万元、13,221.32万元、8,472.93万元，2021年度营业收入较2020年度下降6.21%，净利润下降35.91%；发行人产品主要服务和应用于下游生猪养殖行业，经营业绩受生猪行业景气度影响较大，发行人2021年第四季度实现收入17,043.01万元，金额及占比均大幅低于往年同期，2022年前四月获取的订单金额分别为299.20万元、334.26万元、508.18万元、7,788.95万元。请发行人：（1）说明报告期各期各类细分产品的主要客户或合同情况，包括但不限于客户名称、主营业务、经营规模、订单获取方式、合作年限、产品具体情况、合同金额及收入确认情况、相关应收账款及是否存在逾期款项、是否为发行人及其控股股东、实际控制人、持股5%以上股东、董事、监事、高级管理人员的关联方；（2）结合所处行业、下游客户的发展及经营情况、主要合同、竞争优势、主要财务数据、同行业可比公司情况、同类产品价格波动情况等，说明报告期内各类细分产品收入及单价波动的原因及合理性，是否与同行业公司或主要客户经营业绩的波动情况一致；（3）说明2021年第四季度及2022年第一季度收入大幅下降的原因及合理性、期后退换货情况、与行业所处周期及下游主要客户经营情况是否一致；（4）结合报告期内主要财务数据变动情况，量化分析发行人报告期内销售净利率波动的原因及合理性；（5）披露发行人成立以来我国生猪价格变化情况及对公司业绩的具体影响，结合目前及可预见未来所处“猪周期”阶段、下游主要客户生产经营及投资计划等，分析对发行人生产经营的影响，并有针对性地进行风险提示；（6）说明截至本次问询回复日，期后在手订单的明细情况，包括签署日期、合作期限、对应客户、约定的产品内容、数量、单价及金额情况、交割时间等其他履约义务、订单预计收入确认金额及区间等；（7）说明造成2021年业绩下滑的因素是否消除，结合行业周期、下游客户、重点区域、在手订单、销售价格及主要成本波动情况等，充分论证发行人可持续经营能力是否存在较大不确定性，业绩是否存在持续下滑的风险，并进行重大风险提示。请保荐机构、会计师核查并发表明确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7、</w:t>
      </w:r>
      <w:r>
        <w:rPr>
          <w:rFonts w:hint="eastAsia" w:cs="宋体"/>
          <w:kern w:val="2"/>
          <w:sz w:val="28"/>
          <w:szCs w:val="20"/>
          <w:lang w:val="en-US" w:eastAsia="zh-CN"/>
        </w:rPr>
        <w:t>报告期各期，发行人向关联方正邦科技及其子公司的销售收入分别为15,378.83万元、14,729.27万元和5,339.23万元，占当期营业收入比例分别为24.82%、15.89%和6.14%，发行人部分董监高任职或曾在正邦集团工作；正邦科技的控股股东正邦集团和全资子公司正邦养殖分别持有增鑫科技15.33%和13.94%的股权，正邦集团前员工曾低价入股公司；正邦科技公告披露截至2022年6月9日其逾期未兑付商业承兑汇票余额5.42亿元。请发行人：（1）说明正邦集团对发行人三会运作、生产经营、人员管理等方面的参与情况及具体影响，是否存在资产、人员、业务等混同的情况，对发行人业务独立性的具体影响；（2）说明发行人与正邦科技及其关联方具体的交易情况及主要合同内容，主要合同签署日期、开工时间、交货及验收时间、销售的具体产品、销售价格及其公允性、信用期及结算安排、实际货款支付及应收账款回款情况、相关约定与其他客户是否存在差异，并结合正邦科技主营业务发展情况、生产经营的具体安排、同类产品采购额及采购价格等，说明关联交易的必要性，是否存在利益输送的情形；（3）说明与正邦科技及其子公司交易额逐年减少、2021年大幅降低的原因，对发行人持续经营能力的影响，并进行重大风险提示。请保荐机构、会计师核查并发表明确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8、</w:t>
      </w:r>
      <w:r>
        <w:rPr>
          <w:rFonts w:hint="eastAsia" w:cs="宋体"/>
          <w:kern w:val="2"/>
          <w:sz w:val="28"/>
          <w:szCs w:val="20"/>
          <w:lang w:val="en-US" w:eastAsia="zh-CN"/>
        </w:rPr>
        <w:t>关于收入确认政策。对于需要安装调试的，在设备完成安装调试并经客户验收合格后确认收入，无需安装调试的，在设备货物发出并经签收或货物出口办妥海关手续放行离境并取得报关单、提单等资料后确认收入。请发行人：（1）说明主要项目情况，包括对应的客户、招投标时间、中标时间、合同签订时间、合同金额、开工时间、完工时间、验收时间、验收流程、验收环节、验收具体内容、各期确认收入金额、毛利率，是否存在跨期连续确认大额收入的情形及合理性；（2）结合合同具体约定，详细说明不同模式下收入确认政策，是否涉及合同拆分及合并，产品安装调试、售后质保是否构成单项履约义务，各项目相关单项履约义务和多项履约义务的确定方法及其合规性（如适用），质保金、售后服务、退换货的相关条款及对收入确认政策的影响，收入确认的凭证及外部证据，相关会计处理是否符合《企业会计准则》的规定；（3）说明报告期内项目执行周期的分布情况，报告期内合同签订不久即确认收入、开工后签订合同的项目情况及其合理性，包括项目名称、招投标时间、中标时间、合同签订日期、开工时间、完工时间、客户、合同金额、验收日期、验收流程、验收具体内容、收入确认金额、验收周期与项目类型及行业惯例的匹配性等；报告期内当年已完成验收但主要收入确认于次年的合同、同一合同连续两年或以上均确认大量收入、验收时点明显晚于正常周期的基本情况及合理性。请保荐机构、会计师核查并发表明确意见，重点说明收入确认的准确性，收入确认的外部证据及其准确性、合理性。</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9、</w:t>
      </w:r>
      <w:r>
        <w:rPr>
          <w:rFonts w:hint="eastAsia" w:cs="宋体"/>
          <w:kern w:val="2"/>
          <w:sz w:val="28"/>
          <w:szCs w:val="20"/>
          <w:lang w:val="en-US" w:eastAsia="zh-CN"/>
        </w:rPr>
        <w:t>报告期各期，公司主营业务成本分别为48,000.94万元、67,691.98万元和63,611.10万元，发行人原材料成本占营业成本的比例均超过70%，主要涉及钢材/不锈钢及其制品、锌锭等。请发行人：（1）按具体采购内容分别列示前五名供应商的基本情况、采购数量、采购单价、采购金额、结算方式、付款周期以及与发行人及其控股股东、实际控制人、董事、监事、高级管理人员、持股5%以上股东是否存在关联关系等；（2）说明供应商的选择标准及程序、前五大供应商变动的原因及合理性，是否存在供应商依赖的情形，是否存在供应商成立当年或次年即成为前五大供应商的情形及原因分析；（3）说明报告期各期主要原材料的采购耗用比、原材料单位成本耗用、损耗率、投入与产出的配比情况及变动的原因，结合公开市场、第三方资料、可比公司同类型原材料采购单价等说明报告期各期主要原材料采购单价的公允性；（4）结合产品定价方法和策略，说明主要原材料价格波动对产品单位成本、销售单价的具体影响，是否与供应商约定原材料锁价、价格上涨的风险承担相关条款；（5）说明外协采购的具体内容、是否涉及核心环节、主要供应商、外协采购价格的公允性、报告期采购额及占比波动较大的原因及合理性;（6）说明不同类型产品的成本构成情况，各项业务中主要成本的核算及结转方式、成本核算的过程和控制的关键环节，举例说明成本核算的准确性、完整性。请保荐机构、会计师核查并发表明确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10、</w:t>
      </w:r>
      <w:r>
        <w:rPr>
          <w:rFonts w:hint="eastAsia" w:cs="宋体"/>
          <w:kern w:val="2"/>
          <w:sz w:val="28"/>
          <w:szCs w:val="20"/>
          <w:lang w:val="en-US" w:eastAsia="zh-CN"/>
        </w:rPr>
        <w:t>报告期各期，发行人经营活动现金流量净额分别为12,110.64万元、26,840.32万元和-14,245.30万元，同期净利润分别为5,145.56万元、13,221.32万元、8,472.93万元；发行人资产负债率分别为71.47%、73.54%、68.04%，高于同行业可比公司，2021年末流动比率、速动比率分别为1.35、0.46，低于同行业可比公司。请发行人：（1）结合经营活动产生的现金流量的具体构成，对各类经营现金流入、流出项目的具体内容、与相关报表科目的勾稽关系及其变动，说明经营活动现金流与净利润存在差异的原因；（2）结合应收应付项目、信用政策、结算安排、销售情况等，说明2021年经营活动现金流量净额为负的原因，对发行人持续经营可能产生的影响，是否存在持续恶化的风险;（3）结合经营情况及现金流状况、货币资金储备情况、债务构成及还款情况、主要应收应付款项、资金筹措安排、资产抵押情况等分析披露目前公司是否存在资金缺口、是否存在现金流断裂风险，是否存在借款到期无法偿还、相关资产被强制执行风险，并说明已采取或拟采取的应对措施，并做充分的风险提示。请保荐机构、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11、关于新三板挂牌。2016年2月，增鑫科技股票在全国股转系统挂牌转让，2018年11月股票终止挂牌。请发行人说明：（1）股份在新三板挂牌期间的交易情况，发行人股东中是否存在三类股东、是否存在股东超200人情形，挂牌期间的所有公开披露信息与本次申请文件和财务报告披露的内容是否存在实质性差异，如有，请列示对照表予以解释说明。（2）挂牌后在董事会或股东大会决策、股份交易、信息披露、增发股份等方面的合法合规性，是否履行必要的程序，是否存在违法违规情形，是否构成本次发行上市的法律障碍。（3）发行人终止挂牌的原因，是否履行必要的程序。请保荐机构及发行人律师对上述问题核查并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12、关于房产瑕疵。请发行人说明：（1）发行人自有土地使用权取得过程是否合规，是否符合规划用途；自建房屋是否均已取得产权证书、是否属于合法建筑、是否可能被行政处罚。（2）租赁厂房是否符合土地房产用途，未取得产权证书的原因，相关瑕疵是否对发行人持续经营构成重大影响。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13、关于合规经营。请发行人：（1）按照《首发业务若干问题解答》相关规定说明报告期内发行人、控股股东、实际控制人是否存在重大违法违规行为，是否对发行上市构成障碍。（2）说明报告期内发行人是否发生产品质量事故或纠纷，是否因产品质量问题受到主管部门处罚或调查，本次申报报告期内发行人的产品质量安全相关检查、处罚、纠纷等情况是否已真实、准确、完整披露，相关风险揭示是否充分。（3）说明发行人是否已建立完善的安全生产管理制度，以及安全生产管理制度的有效性和执行情况，报告期内发行人是否发生安全生产事故，如有，说明具体情况，是否存在纠纷或处罚。（4）说明发行人最近36个月是否存在受到环保领域行政处罚的情况，是否构成重大违法违规，是否发生环保事故和重大群体性环保事件，是否存在关于发行人环保情况的负面媒体报道。（5）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6）说明发行人从事相关生产经营是否已取得全部相关资质、许可、认证，报告期内发行人是否持续符合拥有该等资质、许可、认证所需的条件，是否存在超越许可范围从事生产经营的情形，是否存在受到行政处罚的法律风险。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14、关于子公司。报告期内，发行人设立和注销多家子公司。请说明：（1）对于已被注销的子公司，请披露相关企业注销的原因，注销前一年主要财务数据，是否存在违法违规行为，注销后人员、资产处置情况，是否存在纠纷。（2）发行人设立各子公司的合理性、必要性，部分子公司亏损的原因，是否具备持续经营能力，母子公司之间是否涉及转移定价及合规性。请保荐机构及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15、关于劳动用工。请发行人说明：（1）发行人社会保险和住房公积金未足额缴纳的形成原因，如足额缴纳对经营业绩的影响，并揭示相关风险、披露应对方案。（2）是否存在因违反社会保险、住房公积金相关法律法规而受到处罚的情形，是否构成重大违法行为。（3）发行人是否存在劳务派遣或劳务外包情况，如存在请披露具体情况及是否符合劳动法律规定。请保荐机构及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16、关于知识产权。发行人存在受让取得专利权的情形。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17、关于董监高。请发行人说明：（1）发行人最近3年董事、监事、高管发生变化情况、原因，发行人内部控制是否有效，公司董事、监事、高级管理人员是否符合任职规定。（2）最近3年内董事、监事、高级管理人员的变动是否构成重大变化，是否构成发行上市障碍。（3）结合发行人董事、高级管理人员、核心技术人员的履历，说明曾任职于其他公司的人员是否存在竞业禁止协议，在发行人任职期间的研究项目、申请的专利是否与原工作内容相关，是否与原单位存在知识产权、竞业禁止、商业秘密等方面的纠纷或潜在纠纷。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18、关于外协。请发行人补充说明：（1）外协加工的原因、内容、必要性、金额及占比。（2）外协加工的业务模式是否涉及关键工序或关键技术，发行人是否对外协加工厂商存在依赖。（3）主要外协供应商的基本情况，与发行人、实际控制人、控股股东及董监高是否存在关联关系。（4）发行人业务占外协供应商的比例，外协供应商是否专门为发行人提供服务。（5）发行人与外协厂商在产品质量方面的责任划分，发行人的委托加工的相关工序是否有特殊的资质认证要求，是否存在利用委托加工规避环保、安全生产、员工社保等要求的情况。（6）报告期内发行人外协采购是否影响发行人资产、技术的完整性和业务的独立性。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19、关于募集资金。本次募集资金在扣除发行费用后拟用于智能数字工厂建设项目、技改及智能仓储建设项目、研发中心建设项目、信息化建设项目、补充流动资金。请发行人：（1）说明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募集资金补充流动资金的合理性、必要性。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20、</w:t>
      </w:r>
      <w:r>
        <w:rPr>
          <w:rFonts w:hint="default" w:cs="宋体"/>
          <w:kern w:val="2"/>
          <w:sz w:val="28"/>
          <w:szCs w:val="20"/>
          <w:lang w:val="en-US" w:eastAsia="zh-CN"/>
        </w:rPr>
        <w:t>报告期内，发行人需安装模式下的收入分别为51,050.58万元、86,428.09万元和81,607.24万元，占销售设备收入的比例分别为91.70%、94.79%和95.47%；发行人主要通过聘请第三方安装服务企业进行设备安装，安装供应商中存在关联方或发行人前员工。请发行人：（1）说明报告期各期安装服务的采购情况、变动原因及合理性、与销售规模及变动的匹配性，外购安装服务是否符合行业惯例，发行人销售合同是否就安装服务及安装供应商进行约定；（2）说明安装供应商的选择标准及程序、报告期各期主要安装供应商情况，包括但不限于供应商名称、注册资本、主要经营地、主营业务、人员构成、与发行人及其控股股东、实际控制人、董事、监事、高级管理人员、持股5%以上股东是否存在关联关系等，前五大供应商变动的原因及合理性，是否存在供应商成立当年或次年即成为前五大供应商的情形及原因分析；（3）说明安装合同的具体内容，双方权利义务、合同周期、验收标准及流程、结算及支付安排、涉及的主要项目、合同金额、采购价格及其公允性、采购金额、结算方式、付款周期、涉及的主要项目；（4）列示向关联方及前员工采购安装服务的情况，说明交易的必要性及交易作价的公允性；（5）说明经销模式下安装服务的相关约定及具体会计处理；（6）说明安装服务费用核算的准确性、完整性。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21、</w:t>
      </w:r>
      <w:r>
        <w:rPr>
          <w:rFonts w:hint="default" w:cs="宋体"/>
          <w:kern w:val="2"/>
          <w:sz w:val="28"/>
          <w:szCs w:val="20"/>
          <w:lang w:val="en-US" w:eastAsia="zh-CN"/>
        </w:rPr>
        <w:t>报告期各期，发行人向前五名客户的销售金额分别为43,330.74万元、42,735.21万元和38,119.26万元，占主营业务收入的比例分别为72.09%、46.87%和44.60%。请发行人：（1）说明前十大客户基本及销售情况，包括公司名称、成立时间、主营业务、注册资本、人员规模、股权结构、交易金额、交易占比、与发行人的合作历史、产品类型、销售价格及公允性、结算及信用政策，相关应收款项的回款情况、是否符合合同约定、坏账准备计提是否充分，与发行人及其控股股东、实际控制人、持股5%以上股东、董事、监事、高级管理人员、其他核心人员、关联关系等；（2）说明客户的获取方式，招投标和议标等方式获取业务、收入的占比情况，是否存在应招标而未履行招投标程序的情形；（3）说明新增客户的主要情况，包括但不限于客户名称、成立时间、注册资本、主营业务、业务拓展及合作方式、合同主要条款、主要产品、分季度收入确认情况、新增收入规模的合理性、应收账款及回款情况等；（4）说明报告期各期前五大客户变化及销售占比变化的原因，结合行业情况、“猪周期”的具体影响、发行人竞争优势及市场地位、相关合同约定、具体产品销售、主要客户的经营情况及财务状况等说明发行人与主要客户交易的可持续性，是否影响发行人持续经营能力。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22、</w:t>
      </w:r>
      <w:r>
        <w:rPr>
          <w:rFonts w:hint="default" w:cs="宋体"/>
          <w:kern w:val="2"/>
          <w:sz w:val="28"/>
          <w:szCs w:val="20"/>
          <w:lang w:val="en-US" w:eastAsia="zh-CN"/>
        </w:rPr>
        <w:t>报告期各期，发行人生猪养殖设备经销收入分别为1,391.35万元、2,480.31万元和1,632.58万元，主要为经销商买断及经销商居间销售的收入。请发行人：（1）说明发行人经销模式的分类和定义，采用经销模式的必要性和商业合理性，与同行业可比公司差异情况及分析；（2）说明主要经销商情况，发行人及其控股股东、实际控制人、发行人主要关联方、董事、监事、高级管理人员、关键岗位人员与经销商、经销商的终端客户是否存在关联关系或其他利益安排，经销商构成情况及稳定性，与非法人实体经销商客户合作的原因及必要性（如适用）；（3）说明经销合同主要合同条款，与直销等合同条款、账期等方面是否存在明显差异；（4）说明经销收入确认、计量原则，对销售补贴或返利、费用承担、经销商保证金的会计处理，是否符合《企业会计准则》规定，是否与同行业可比公司存在显著差异；（5）说明通过经销商模式实现的销售收入及占比、毛利率，与同行业可比公司是否存在显著差异，对不同销售模式（直销、经销等）、不同区域（境内、境外等）和不同类别经销商销售的产品数量、销售价格、销售收入及占比、毛利及占比、毛利率情况及差异分析；（6）说明经销商的返利政策及其变化情况，返利占经销收入比例，返利计提是否充分，是否存在通过调整返利政策调节经营业绩的情况；（7）说明经销商采购频率及单次采购量分布是否合理，与期后销售周期是否匹配；经销商一般备货周期，经销商进销存、退换货情况，备货周期是否与经销商进销存情况相匹配，是否存在经销商压货情形，退换货率是否合理；经销商回款方式、应收账款规模合理性；（8）说明经销商的终端客户构成情况，是否存在直销客户与经销商终端客户重合的情况，如是，请说明同时对终端客户采用两种销售模式的原因及合理性。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23、</w:t>
      </w:r>
      <w:r>
        <w:rPr>
          <w:rFonts w:hint="default" w:cs="宋体"/>
          <w:kern w:val="2"/>
          <w:sz w:val="28"/>
          <w:szCs w:val="20"/>
          <w:lang w:val="en-US" w:eastAsia="zh-CN"/>
        </w:rPr>
        <w:t>报告期内，发行人存在向关联方销售、采购、资金拆借等情形。请发行人：（1）是否按照《公司法》《企业会计准则》《上市公司信息披露管理办法》及其他相关规定完整、准确地披露关联方关系及交易；（2）说明报告期内各项关联交易的必要性、合理性、合法性和价格公允性，结合报告期内关联方与发行人业务占其自身业务比例及重要性情况、市场同类产品交易价格说明定价是否公允，是否存在通过关联交易调节发行人收入利润或成本费用、对发行人进行利益输送的情形；（3）关联方主要应收应付款项涉及的具体经济事项，销售/采购的具体内容、结算/信用具体约定、实际支付是否符合合同约定、尚未结算的原因、是否存在逾期款项、减值准备计提是否充分；（4）向关联方资金拆出资金的背景、原因、拆借利率的公允性、所履行的审议程序，是否存在其他资金占用情形；（5）是否存在未及时按规定履行必要的决策程序、后续补充确认的情况，相关会议制度、内部控制措施是否切实有效执行；（6）发行人减少关联交易的控制措施是否有效，关联交易是否影响发行人的独立性，发行人对相关关联方是否存在依赖，是否可能对发行产生重大不利影响。请保荐机构核查上述问题并发表明确意见，请会计师就问题（1）-（4）进行核查并发表明确意见，请发行人律师就问题（1）（5）（6）进行核查并发表明确意见，重点说明对关联交易信息披露的完整性、是否存在关联交易非关联化的情形、是否存在关联方或前关联方代发行人承担成本、费用的情形履行的核查。</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24、</w:t>
      </w:r>
      <w:r>
        <w:rPr>
          <w:rFonts w:hint="default" w:cs="宋体"/>
          <w:kern w:val="2"/>
          <w:sz w:val="28"/>
          <w:szCs w:val="20"/>
          <w:lang w:val="en-US" w:eastAsia="zh-CN"/>
        </w:rPr>
        <w:t>报告期内，发行人栏位设备、自动化养殖设备毛利率2020年较2019年分别提高6.85、4.77个百分点，2021年毛利率水平与2020年持平；发行人生产栏位设备主要原材料钢材、锌锭等自2019年下半年开始价格震荡走低，2021年原材料采购价格处于上升趋势。请发行人：（1）补充披露报告期内包含运输费的毛利率变动及同行业对比分析；（2）结合产品定价机制、市场情况等价格影响因素分析报告期内各类产品单价变动原因，并结合相关产品生产流程下主要原材料的单耗量及单耗额变化、原材料价格变动、主要原材料占比及其他相关因素分析单位成本变动原因；（3）结合前述分析、主要合同、销售价格、成本核算、主要原材料价格波动、同行业公司可比产品等，进一步说明各类主要产品毛利率水平合理性、毛利率波动原因及合理性，不同产品毛利率差异及波动的原因及合理性，与同行业可比公司可比产品的差异情况及原因分析，与原材料价格波动趋势的对比分析。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25、</w:t>
      </w:r>
      <w:r>
        <w:rPr>
          <w:rFonts w:hint="default" w:cs="宋体"/>
          <w:kern w:val="2"/>
          <w:sz w:val="28"/>
          <w:szCs w:val="20"/>
          <w:lang w:val="en-US" w:eastAsia="zh-CN"/>
        </w:rPr>
        <w:t>报告期内发行人存在第三方回款情形，各期第三方回款的金额分别为12,527.37万元、11,312.67万元和10,986.18万元，占当期营业收入的比例分别为20.22%、12.20%和12.63%。请发行人：（1）说明第三方回款中不同收入层级客户的数量、回款金额及占比、平均回款金额，第三方回款金额与客户经营规模的匹配性；（2）说明报告期内主要第三方回款的具体情况，包括客户名称、回款方、回款方与客户的关系、回款金额及占比、与发行人的关联关系；（3）结合与相关客户在销售合同中关于回款的约定情况，说明存在第三方回款的合理性，相关交易是否具有商业实质，是否存在因第三方回款而产生商业纠纷的情形。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26、</w:t>
      </w:r>
      <w:r>
        <w:rPr>
          <w:rFonts w:hint="default" w:cs="宋体"/>
          <w:kern w:val="2"/>
          <w:sz w:val="28"/>
          <w:szCs w:val="20"/>
          <w:lang w:val="en-US" w:eastAsia="zh-CN"/>
        </w:rPr>
        <w:t>发行人员工持股平台鑫成投资于2021年9月按照3.50元/股价格认购发行人210.00万股新增注册资本。请发行人：（1）按照《首发业务若干问题解答（2020年6月修订）》问题26的要求，说明权益工具公允价值的确定依据和合理性，服务期或等待期的相关约定，包括等待期限、确定依据及准确性、年摊销金额及执行情况等，相关会计处理是否符合《企业会计准则》的相关规定；（2）说明持股平台中合伙人出资来源、合伙人结构的变动情况、转让价格及定价原则、员工离职情况、相关股份的处理、转让价格的约定及相关会计处理情况；（3）说明发行人历次股份变动中有无其他应适用股份支付的情形。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27、</w:t>
      </w:r>
      <w:r>
        <w:rPr>
          <w:rFonts w:hint="default" w:cs="宋体"/>
          <w:kern w:val="2"/>
          <w:sz w:val="28"/>
          <w:szCs w:val="20"/>
          <w:lang w:val="en-US" w:eastAsia="zh-CN"/>
        </w:rPr>
        <w:t>报告期各期，发行人期间费用占营业收入的比重分别为10.56%、10.23%和13.12%。请发行人：（1）说明报告期各期销售人员、管理人员、研发人员等人员数量变动情况及与生产经营的匹配性，相关薪酬费用变动的原因及其合理性，岗位平均薪酬、变动原因及合理性，与同行业可比公司或同地区企业薪酬差异及分析；（2）分析说明销售费用率、管理费用率与同行业可比公司的差异及原因分析；（3）结合研发费用具体构成及变动情况说明报告期内研发费用波动的原因，申请高新技术企业资质相关材料的研发费用与本次申报财务报表的研发费用是否一致，研发费用的确认和计量依据，与主营业务成本及其他费用划分的依据和标准，研发工时申报及归集的准确性，相关的内控机制是否健全、有效，是否存在应计入成本但计入研发费用的情形。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28、</w:t>
      </w:r>
      <w:r>
        <w:rPr>
          <w:rFonts w:hint="default" w:cs="宋体"/>
          <w:kern w:val="2"/>
          <w:sz w:val="28"/>
          <w:szCs w:val="20"/>
          <w:lang w:val="en-US" w:eastAsia="zh-CN"/>
        </w:rPr>
        <w:t>报告期各期末，发行人货币资金余额分别为13,583.13万元、36,515.44万元和12,637.90万元，占流动资产的比例分别为26.44%、36.88%和13.14%，公司货币资金主要由银行存款组成。请发行人：（1）结合销售及采购情况、预收、应付、应收账款等相关科目的变动，说明报告期各期末货币资金余额变动较大的原因；（2）结合营运资金安排、业务规模、信贷资质等情况说明持有大额现金的原因及合理性；（3）说明其他货币资金的具体内容，报告期各期末货币资金的具体内容及存放情况、是否存在资金受限情形，资金管理政策、内控体系、制度建设及运行有效性情况。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29、</w:t>
      </w:r>
      <w:r>
        <w:rPr>
          <w:rFonts w:hint="default" w:cs="宋体"/>
          <w:kern w:val="2"/>
          <w:sz w:val="28"/>
          <w:szCs w:val="20"/>
          <w:lang w:val="en-US" w:eastAsia="zh-CN"/>
        </w:rPr>
        <w:t>报告期各期末，发行人应收账款和合同资产的账面余额分别为</w:t>
      </w:r>
      <w:bookmarkStart w:id="0" w:name="_Hlk106388811"/>
      <w:r>
        <w:rPr>
          <w:rFonts w:hint="default" w:cs="宋体"/>
          <w:kern w:val="2"/>
          <w:sz w:val="28"/>
          <w:szCs w:val="20"/>
          <w:lang w:val="en-US" w:eastAsia="zh-CN"/>
        </w:rPr>
        <w:t>9,409.59万元、15,911.62万元和22,616.72万元</w:t>
      </w:r>
      <w:bookmarkEnd w:id="0"/>
      <w:r>
        <w:rPr>
          <w:rFonts w:hint="default" w:cs="宋体"/>
          <w:kern w:val="2"/>
          <w:sz w:val="28"/>
          <w:szCs w:val="20"/>
          <w:lang w:val="en-US" w:eastAsia="zh-CN"/>
        </w:rPr>
        <w:t>，占总资产的16.31%、14.80%和21.21%；发行人的主要客户正邦科技公告披露截至2022年6月9日其逾期未兑付商业承兑汇票余额5.42亿元。请发行人：（1）结合业务特征、行业特征、结算模式、量价变化等相关因素，量化分析说明应收账款变动的原因及合理性；（2）对比应收账款前五名客户与销售收入前五名客户，结合销售时点、信用政策等说明差异的原因；（3）结合发行人在信用政策、销售模式等方面与同行业公司的差异情况，量化分析说明应收账款周转率与同行业可比公司差异原因及合理性，并说明周转率波动的原因及合理性；（4）说明超出信用期的应收账款的金额、客户名称、超期原因、期后回款情况等，各期末账龄在一年以上的应收账款的存在原因，说明账龄划分的标准，账龄统计及列示是否准确；（5）结合同行业上市公司应收账款坏账准备计提政策，说明坏账准备计提的充分性。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30、</w:t>
      </w:r>
      <w:r>
        <w:rPr>
          <w:rFonts w:hint="default" w:cs="宋体"/>
          <w:kern w:val="2"/>
          <w:sz w:val="28"/>
          <w:szCs w:val="20"/>
          <w:lang w:val="en-US" w:eastAsia="zh-CN"/>
        </w:rPr>
        <w:t>报告期各期末，发行人其他应收款期末账面价值分别为735.20万元、890.06万元和1,054.26万元，主要为投标/履约/质量保证金及押金；2021年末1年以内其他应收款占比降幅较大。请发行人：（1）说明主要合同中关于质保服务的具体约定，包括且不限于各方权利义务、质保范围、时间、质保金比例及制定依据、质保金支付时间安排，账龄情况及坏账计提情况、回收是否正常、是否存在无法收回的情形，各期末质保金规模是否与合同约定及业务规模相符；质保金的具体类型、是否构成单项履约义务及判断依据，列报的准确性，相关会计处理是否符合《企业会计准则》的相关规定；（2）结合报告期内质保费用的支出情况说明相关预计负债计提的充分性，保证金及押金金额上升的原因及合理性、与业务规模的匹配性；（3）说明账龄变动的原因、是否存在逾期或者不符合合同约定的情形，1年以上其他应收款对应的经济事项、尚未回款的原因；（4）说明相关应收款形成的原因、涉及的主要经济事项、合同的具体约定、欠款方的资信状况等说明坏账准备计提的充分性。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31、</w:t>
      </w:r>
      <w:r>
        <w:rPr>
          <w:rFonts w:hint="default" w:cs="宋体"/>
          <w:kern w:val="2"/>
          <w:sz w:val="28"/>
          <w:szCs w:val="20"/>
          <w:lang w:val="en-US" w:eastAsia="zh-CN"/>
        </w:rPr>
        <w:t>报告期各期末，发行人存货的账面余额分别为23,846.22万元、45,871.86万元和60,857.61万元，主要为发出商品、合同履约成本、原材料等，报告期各期存货周转率均低于同行业可比公司。请发行人：（1）报告期内发出商品的具体构成、对应客户及合同情况、发出时间、收货时间、存放地、日常管理、盘点情况、期后结转及收入确认情况，是否存在长期未结转的发出商品，发出商品订单支持的比例，未被订单覆盖发出商品的具体情况，对发出商品的控制管理情况;（2）说明报告期各期末主要合同履约成本情况，包括客户名称、项目名称、存货余额、占比、坏账准备、项目执行情况、实际进度是否匹配、预计转入营业成本时点，是否存在未按照合同约定时间开展工作、未按照合同约定时点进行验收或未按照合同约定时点收到相关款项等可能导致合同履约成本发生减值的情形；（3）说明原材料、库存商品、在产品、安装劳务成本等的具体构成及变动原因，主要原材料的采购周期、备货政策、原材料水平的合理性，库存商品的具体构成、订单覆盖情况、期后销售情况；（4）说明存货周转率波动及低于同行业可比公司的原因及合理性；（5）说明报告期各期末存货库龄情况，库龄较长存货的具体构成情况，形成原因、是否符合该类产品的使用特点；（6）结合存货库龄结构、期后结转情况、存货跌价测试方法和覆盖范围、可变现净值的确定依据、存货跌价准备计提比例与同行业可比公司的差异等说明存货跌价准备计提的充分性；（7）说明发行人的存货盘点制度、报告期内的盘点情况，包括但不限于存货的盘点时间、范围、对非在库存货的盘点方式、盘点结果及中介机构的监盘情况等。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32、</w:t>
      </w:r>
      <w:r>
        <w:rPr>
          <w:rFonts w:hint="default" w:cs="宋体"/>
          <w:kern w:val="2"/>
          <w:sz w:val="28"/>
          <w:szCs w:val="20"/>
          <w:lang w:val="en-US" w:eastAsia="zh-CN"/>
        </w:rPr>
        <w:t>报告期各期末，发行人固定资产的账面价值分别为4,343.10万元、6,702.21万元和7,063.41万元，主要涉及房屋及建筑物、机器设备，均未计提减值准备。请发行人：（1）说明房屋及建筑物、机器设备、运输设备的基本情况，包括但不限于主要明细构成、入账时间、取得方式、数量、价值和折旧年限、残值率、与同行业可比公司对比及差异情况；（2）结合房屋及建筑物位置、用途、面积等详细信息，主要机器设备数量、用途、产能等情况，发行人生产经营的具体过程、各环节机器设备需求量等说明固定资产规模及变动情况与发行人的经营情况是否匹配；（3）说明报告期内固定资产的实际使用情况、资产减值测算的过程和计算方法，是否存在报废、闲置情形，未计提减值准备的合理性。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33、</w:t>
      </w:r>
      <w:r>
        <w:rPr>
          <w:rFonts w:hint="default" w:cs="宋体"/>
          <w:kern w:val="2"/>
          <w:sz w:val="28"/>
          <w:szCs w:val="20"/>
          <w:lang w:val="en-US" w:eastAsia="zh-CN"/>
        </w:rPr>
        <w:t>报告期各期末，发行人的应付票据金额分别为3,699.52万元、7,372.54万元和3,735.40万元，应付账款余额分别为6,385.43万元、9,122.78万元和4,240.12万元。请发行人：（1）结合生产经营情况、采购付款流程、结算方式、付款周期等，说明报告期各期应付账款、应付票据与采购金额、成本的匹配关系，应付票据、应付账款波动的原因及合理性，与银行承兑汇票保证金的匹配性；（2）说明报告期各期应付账款账龄分布情况及账龄1年以上未支付的原因，说明与主要供应商期后结算情况，是否严格按照采购合同的条款按时付款；（3）说明报告期内主要供应商与应付账款、应付票据对象之间的匹配性，结合公司付款政策、供应商资金规模、市场地位、采购规模，说明前五大应付账款与主要供应商存在差异的原因及合理性，采购内容是否与销售订单匹配。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34、</w:t>
      </w:r>
      <w:r>
        <w:rPr>
          <w:rFonts w:hint="default" w:cs="宋体"/>
          <w:kern w:val="2"/>
          <w:sz w:val="28"/>
          <w:szCs w:val="20"/>
          <w:lang w:val="en-US" w:eastAsia="zh-CN"/>
        </w:rPr>
        <w:t>报告期各期末，公司预收账款和合同负债合计金额分别为25,787.81万元、53,747.78万元和55,511.96万元，占同期流动负债的比例分别为62.93%、68.58%和78.09%。请发行人：（1）预收账款和合同负债整体规模与业务规模的匹配性，报告期各期余额变动的原因及合理性；（2）说明主要预收账款或合同负债对应的客户名称、项目名称、交付时间、合同金额、结算条款、预收款金额、预收款时间，主要结算政策与同行业可比公司对比及差异情况；（3）说明预收账款或合同负债的账龄结构及变动原因分析，1年以上预收账款或合同负债的主要情况，长期未结转的原因及合理性（如适用）。请保荐人、申报会计师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35、</w:t>
      </w:r>
      <w:r>
        <w:rPr>
          <w:rFonts w:hint="default" w:cs="宋体"/>
          <w:kern w:val="2"/>
          <w:sz w:val="28"/>
          <w:szCs w:val="20"/>
          <w:lang w:val="en-US" w:eastAsia="zh-CN"/>
        </w:rPr>
        <w:t>发行人各期末应交税费余额分别为1,185.63万元、2,036.72万元和2,317.09万元，主要为应交企业所得税及应交增值税。请发行人：（1）说明各期末应交企业所得税余额波动的合理性，利润总额调整为应纳税所得额涉及的主要纳税调整事项，各期所得税费用的计算过程、主要纳税调整项目，当期所得税费用与纳税申报表中应纳税额之间的差异，解释差异的原因；（2）说明报告期各期增值税销项税额与销售规模、进项税额与采购规模的匹配性，报告期内应交增值税波动的原因。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36、</w:t>
      </w:r>
      <w:r>
        <w:rPr>
          <w:rFonts w:hint="default" w:cs="宋体"/>
          <w:kern w:val="2"/>
          <w:sz w:val="28"/>
          <w:szCs w:val="20"/>
          <w:lang w:val="en-US" w:eastAsia="zh-CN"/>
        </w:rPr>
        <w:t>请发行人：（1）说明报告期末使用权资产的具体情况，包括但不限于账面价值、资产性质及来源、初始计量金额的依据、计提折旧的年限及年限确定方式及合理性；（2）说明土地使用权、软件等无形资产的来源、取得时间、入账价值、评估情况、摊销等情况，减值测试具体方法及主要参数、相关参数估计的合理性，并将摊销年限、摊销方法与同行业公司进行对比；（3）说明报告期各项递延所得税资产的来源与计算依据、增减变动原因、会计处理及是否符合《企业会计准则》的规定，是否存在确凿证据表明未来期间很可能获得足够的应纳税所得额用来抵扣可抵扣暂时性差异；（4）分析未来税收优惠的可持续性，申请高新技术企业续期的进展情况，预计获准时间，是否存在无法续期风险，并测算对发行人经营业绩的具体影响；（5）说明政府补助计入当期损益、递延收益等的具体情况及区分依据，主要政府补助的具体情况、取得依据、到账时间，相关会计处理是否符合《企业会计准则》的相关规定；（6）报告期各期期末，发行人员工人数分别为701、1,189、924，说明员工数量变动的原因、与生产经营及收入规模的匹配性，是否与同行业可比公司存在较大差异。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37、</w:t>
      </w:r>
      <w:r>
        <w:rPr>
          <w:rFonts w:hint="default" w:cs="宋体"/>
          <w:kern w:val="2"/>
          <w:sz w:val="28"/>
          <w:szCs w:val="20"/>
          <w:lang w:val="en-US" w:eastAsia="zh-CN"/>
        </w:rPr>
        <w:t>本次募投资金拟投资智能数字工厂建设项目、技改及智能仓储建设项目等项目。请发行人：（1）说明各募投项目各投资的具体构成，资金需求的测算过程、测算依据及合理性，并结合现有生产线产能与固定资产、机器设备等的匹配关系，说明相关投资的匹配性；（4）结合发展战略、生产经营规划、目前产能利用率、管理能力、“猪周期”影响、下游主要客户生产经营等，说明发行人实施募投项目的原因、必要性、合理性，发行人实施募投项目是否可能造成产能过剩、影响公司的持续盈利能力。请保荐机构、会计师核查并发表明确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38、</w:t>
      </w:r>
      <w:r>
        <w:rPr>
          <w:rFonts w:hint="default" w:cs="宋体"/>
          <w:kern w:val="2"/>
          <w:sz w:val="28"/>
          <w:szCs w:val="20"/>
          <w:lang w:val="en-US" w:eastAsia="zh-CN"/>
        </w:rPr>
        <w:t>请保荐人、申报会计师结合中国证监会《首发业务若干问题解答（2020年6月修订）》问题54的要求，核查并说明：（1）对发行人及其控股股东、实际控制人、发行人主要关联方、董事、监事、高管、关键岗位人员等开立或控制的银行账户流水的具体核查情况，包括但不限于资金流水核查的范围、核查账户数量、取得资金流水的方法、核查完整性、核查金额重要性水平、核查程序、异常标准及确定程序、受限情况及替代措施等</w:t>
      </w:r>
      <w:r>
        <w:rPr>
          <w:rFonts w:hint="default" w:cs="宋体"/>
          <w:kern w:val="2"/>
          <w:sz w:val="28"/>
          <w:szCs w:val="20"/>
          <w:lang w:eastAsia="zh-CN"/>
        </w:rPr>
        <w:t>；</w:t>
      </w:r>
      <w:r>
        <w:rPr>
          <w:rFonts w:hint="default" w:cs="宋体"/>
          <w:kern w:val="2"/>
          <w:sz w:val="28"/>
          <w:szCs w:val="20"/>
          <w:lang w:val="en-US" w:eastAsia="zh-CN"/>
        </w:rPr>
        <w:t>（2）核查中发现的异常情形，包括但不限于是否存在大额取现、大额收付等情形，是否存在相关个人账户与发行人客户及实际控制人、供应商及实际控制人、发行人股东、发行人其他员工或其他关联自然人的大额频繁资金往来；若存在，请说明对手方情况，相关个人账户的实际归属、资金实际来源、资金往来的性质及合理性，是否存在客观证据予以核实</w:t>
      </w:r>
      <w:r>
        <w:rPr>
          <w:rFonts w:hint="default" w:cs="宋体"/>
          <w:kern w:val="2"/>
          <w:sz w:val="28"/>
          <w:szCs w:val="20"/>
          <w:lang w:eastAsia="zh-CN"/>
        </w:rPr>
        <w:t>；</w:t>
      </w:r>
      <w:r>
        <w:rPr>
          <w:rFonts w:hint="default" w:cs="宋体"/>
          <w:kern w:val="2"/>
          <w:sz w:val="28"/>
          <w:szCs w:val="20"/>
          <w:lang w:val="en-US" w:eastAsia="zh-CN"/>
        </w:rPr>
        <w:t>（3）结合上述情况，进一步说明针对发行人是否存在资金闭环回流、是否存在体外资金循环形成销售回款或承担成本费用、是否存在股份代持等情形所采取的具体核查程序、各项核查措施的覆盖比例和确认比例、获取的核查证据和核查结论，并就发行人内部控制是否健全有效、发行人财务报表是否存在重大错报风险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与财务会计资料相关的问题</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39、</w:t>
      </w:r>
      <w:r>
        <w:rPr>
          <w:rFonts w:hint="default" w:cs="宋体"/>
          <w:kern w:val="2"/>
          <w:sz w:val="28"/>
          <w:szCs w:val="20"/>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40、</w:t>
      </w:r>
      <w:r>
        <w:rPr>
          <w:rFonts w:hint="default" w:cs="宋体"/>
          <w:kern w:val="2"/>
          <w:sz w:val="28"/>
          <w:szCs w:val="20"/>
          <w:lang w:val="en-US" w:eastAsia="zh-CN"/>
        </w:rPr>
        <w:t>请发行人说明财务报表项目比较数据变动幅度达30%以上的情况及原因是否已恰当披露。请保荐机构和会计师发表核查意见。</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41、</w:t>
      </w:r>
      <w:r>
        <w:rPr>
          <w:rFonts w:hint="default" w:cs="宋体"/>
          <w:kern w:val="2"/>
          <w:sz w:val="28"/>
          <w:szCs w:val="20"/>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42、</w:t>
      </w:r>
      <w:r>
        <w:rPr>
          <w:rFonts w:hint="default" w:cs="宋体"/>
          <w:kern w:val="2"/>
          <w:sz w:val="28"/>
          <w:szCs w:val="20"/>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pStyle w:val="10"/>
        <w:spacing w:after="0" w:line="460" w:lineRule="exact"/>
        <w:ind w:firstLine="560" w:firstLineChars="200"/>
        <w:rPr>
          <w:rFonts w:hint="default" w:cs="宋体"/>
          <w:kern w:val="2"/>
          <w:sz w:val="28"/>
          <w:szCs w:val="20"/>
          <w:lang w:val="en-US" w:eastAsia="zh-CN"/>
        </w:rPr>
      </w:pPr>
      <w:r>
        <w:rPr>
          <w:rFonts w:hint="default" w:cs="宋体"/>
          <w:kern w:val="2"/>
          <w:sz w:val="28"/>
          <w:szCs w:val="20"/>
          <w:lang w:eastAsia="zh-CN"/>
        </w:rPr>
        <w:t>43、</w:t>
      </w:r>
      <w:r>
        <w:rPr>
          <w:rFonts w:hint="default" w:cs="宋体"/>
          <w:kern w:val="2"/>
          <w:sz w:val="28"/>
          <w:szCs w:val="20"/>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pStyle w:val="10"/>
        <w:spacing w:after="0" w:line="460" w:lineRule="exact"/>
        <w:ind w:firstLine="560" w:firstLineChars="200"/>
        <w:rPr>
          <w:rFonts w:hint="default" w:cs="宋体"/>
          <w:kern w:val="2"/>
          <w:sz w:val="28"/>
          <w:szCs w:val="20"/>
          <w:lang w:eastAsia="zh-CN"/>
        </w:rPr>
      </w:pPr>
      <w:r>
        <w:rPr>
          <w:rFonts w:hint="default" w:cs="宋体"/>
          <w:kern w:val="2"/>
          <w:sz w:val="28"/>
          <w:szCs w:val="20"/>
          <w:lang w:eastAsia="zh-CN"/>
        </w:rPr>
        <w:t>44、</w:t>
      </w:r>
      <w:r>
        <w:rPr>
          <w:rFonts w:hint="default" w:cs="宋体"/>
          <w:kern w:val="2"/>
          <w:sz w:val="28"/>
          <w:szCs w:val="20"/>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10"/>
        <w:spacing w:after="0" w:line="460" w:lineRule="exact"/>
        <w:ind w:firstLine="560" w:firstLineChars="200"/>
        <w:rPr>
          <w:rFonts w:hint="default" w:cs="宋体"/>
          <w:kern w:val="2"/>
          <w:sz w:val="28"/>
          <w:szCs w:val="20"/>
          <w:lang w:eastAsia="zh-CN"/>
        </w:rPr>
      </w:pPr>
    </w:p>
    <w:p>
      <w:bookmarkStart w:id="1" w:name="_GoBack"/>
      <w:bookmarkEnd w:id="1"/>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C5B183"/>
    <w:multiLevelType w:val="singleLevel"/>
    <w:tmpl w:val="ECC5B183"/>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B652498"/>
    <w:rsid w:val="6E06D07B"/>
    <w:rsid w:val="73F77760"/>
    <w:rsid w:val="7FDFDE7B"/>
    <w:rsid w:val="CC4FF28F"/>
    <w:rsid w:val="F1FF7208"/>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 w:type="paragraph" w:customStyle="1" w:styleId="13">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16</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2022-08-27T17:30:00Z</dcterms:created>
  <dc:creator>jqqin</dc:creator>
  <cp:lastModifiedBy>殷明明</cp:lastModifiedBy>
  <dcterms:modified xsi:type="dcterms:W3CDTF">2023-01-05T10:46:04Z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