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bidi w:val="0"/>
        <w:adjustRightInd w:val="0"/>
        <w:snapToGrid/>
        <w:spacing w:line="480" w:lineRule="exact"/>
        <w:ind w:left="0" w:leftChars="0" w:right="0" w:rightChars="0"/>
        <w:jc w:val="center"/>
        <w:textAlignment w:val="auto"/>
        <w:outlineLvl w:val="0"/>
        <w:rPr>
          <w:rFonts w:hint="default" w:ascii="Times New Roman" w:hAnsi="Times New Roman" w:eastAsia="华文中宋" w:cs="Times New Roman"/>
          <w:b/>
          <w:sz w:val="36"/>
          <w:szCs w:val="36"/>
          <w:lang w:eastAsia="zh-CN"/>
        </w:rPr>
      </w:pPr>
      <w:r>
        <w:rPr>
          <w:rFonts w:hint="default" w:ascii="Times New Roman" w:hAnsi="Times New Roman" w:eastAsia="华文中宋" w:cs="Times New Roman"/>
          <w:b/>
          <w:sz w:val="36"/>
          <w:szCs w:val="36"/>
          <w:lang w:eastAsia="zh-CN"/>
        </w:rPr>
        <w:t>广州尚航信息科技股份有限公司首次公开发行股票</w:t>
      </w:r>
    </w:p>
    <w:p>
      <w:pPr>
        <w:keepNext w:val="0"/>
        <w:keepLines w:val="0"/>
        <w:pageBreakBefore w:val="0"/>
        <w:widowControl w:val="0"/>
        <w:kinsoku/>
        <w:wordWrap/>
        <w:overflowPunct/>
        <w:topLinePunct w:val="0"/>
        <w:bidi w:val="0"/>
        <w:adjustRightInd w:val="0"/>
        <w:snapToGrid/>
        <w:spacing w:line="480" w:lineRule="exact"/>
        <w:ind w:left="0" w:leftChars="0" w:right="0" w:rightChars="0"/>
        <w:jc w:val="center"/>
        <w:textAlignment w:val="auto"/>
        <w:outlineLvl w:val="0"/>
        <w:rPr>
          <w:rFonts w:hint="default" w:ascii="Times New Roman" w:hAnsi="Times New Roman" w:eastAsia="华文中宋" w:cs="Times New Roman"/>
          <w:b/>
          <w:sz w:val="36"/>
          <w:szCs w:val="36"/>
        </w:rPr>
      </w:pPr>
      <w:r>
        <w:rPr>
          <w:rFonts w:hint="default" w:ascii="Times New Roman" w:hAnsi="Times New Roman" w:eastAsia="华文中宋" w:cs="Times New Roman"/>
          <w:b/>
          <w:sz w:val="36"/>
          <w:szCs w:val="36"/>
        </w:rPr>
        <w:t>申请文件反馈意见</w:t>
      </w:r>
    </w:p>
    <w:p>
      <w:pPr>
        <w:pStyle w:val="9"/>
        <w:keepNext w:val="0"/>
        <w:keepLines w:val="0"/>
        <w:pageBreakBefore w:val="0"/>
        <w:widowControl w:val="0"/>
        <w:tabs>
          <w:tab w:val="left" w:pos="1080"/>
        </w:tabs>
        <w:kinsoku/>
        <w:wordWrap/>
        <w:overflowPunct/>
        <w:topLinePunct w:val="0"/>
        <w:bidi w:val="0"/>
        <w:snapToGrid/>
        <w:spacing w:line="480" w:lineRule="exact"/>
        <w:ind w:left="0" w:leftChars="0" w:right="0" w:rightChars="0"/>
        <w:textAlignment w:val="auto"/>
        <w:rPr>
          <w:rFonts w:hint="default" w:ascii="Times New Roman" w:hAnsi="Times New Roman" w:eastAsia="宋体" w:cs="Times New Roman"/>
          <w:spacing w:val="0"/>
          <w:kern w:val="2"/>
        </w:rPr>
      </w:pPr>
      <w:r>
        <w:rPr>
          <w:rFonts w:hint="default" w:ascii="Times New Roman" w:hAnsi="Times New Roman" w:eastAsia="宋体" w:cs="Times New Roman"/>
          <w:spacing w:val="0"/>
          <w:kern w:val="2"/>
          <w:lang w:eastAsia="zh-CN"/>
        </w:rPr>
        <w:t>国泰君安证券股份有限公司：</w:t>
      </w:r>
    </w:p>
    <w:p>
      <w:pPr>
        <w:keepNext w:val="0"/>
        <w:keepLines w:val="0"/>
        <w:pageBreakBefore w:val="0"/>
        <w:widowControl w:val="0"/>
        <w:kinsoku/>
        <w:wordWrap/>
        <w:overflowPunct/>
        <w:topLinePunct w:val="0"/>
        <w:autoSpaceDE/>
        <w:autoSpaceDN/>
        <w:bidi w:val="0"/>
        <w:adjustRightInd/>
        <w:snapToGrid/>
        <w:spacing w:line="480" w:lineRule="exact"/>
        <w:ind w:firstLine="560"/>
        <w:textAlignment w:val="auto"/>
        <w:rPr>
          <w:rFonts w:hint="default" w:ascii="Times New Roman" w:hAnsi="Times New Roman" w:eastAsia="宋体" w:cs="Times New Roman"/>
          <w:spacing w:val="0"/>
          <w:kern w:val="2"/>
        </w:rPr>
      </w:pPr>
      <w:r>
        <w:rPr>
          <w:rFonts w:hint="default" w:ascii="Times New Roman" w:hAnsi="Times New Roman" w:eastAsia="宋体" w:cs="Times New Roman"/>
          <w:spacing w:val="0"/>
          <w:kern w:val="2"/>
        </w:rPr>
        <w:t>现对你公司推荐的广州尚航信息科技股份有限公司（以下简称</w:t>
      </w:r>
      <w:r>
        <w:rPr>
          <w:rFonts w:hint="eastAsia" w:ascii="宋体" w:hAnsi="宋体" w:eastAsia="宋体" w:cs="宋体"/>
          <w:spacing w:val="0"/>
          <w:kern w:val="2"/>
        </w:rPr>
        <w:t>“公司”或“发行人”</w:t>
      </w:r>
      <w:r>
        <w:rPr>
          <w:rFonts w:hint="default" w:ascii="Times New Roman" w:hAnsi="Times New Roman" w:eastAsia="宋体" w:cs="Times New Roman"/>
          <w:spacing w:val="0"/>
          <w:kern w:val="2"/>
        </w:rPr>
        <w:t>）</w:t>
      </w:r>
      <w:r>
        <w:rPr>
          <w:rFonts w:hint="default" w:ascii="Times New Roman" w:hAnsi="Times New Roman" w:eastAsia="宋体" w:cs="Times New Roman"/>
          <w:spacing w:val="0"/>
          <w:kern w:val="2"/>
          <w:lang w:eastAsia="zh-CN"/>
        </w:rPr>
        <w:t>首次公开发行股票</w:t>
      </w:r>
      <w:r>
        <w:rPr>
          <w:rFonts w:hint="default" w:ascii="Times New Roman" w:hAnsi="Times New Roman" w:eastAsia="宋体" w:cs="Times New Roman"/>
          <w:spacing w:val="0"/>
          <w:kern w:val="2"/>
        </w:rPr>
        <w:t>申请文件提出反馈意见，请你们在</w:t>
      </w:r>
      <w:r>
        <w:rPr>
          <w:rFonts w:hint="default" w:ascii="Times New Roman" w:hAnsi="Times New Roman" w:eastAsia="宋体" w:cs="Times New Roman"/>
          <w:spacing w:val="0"/>
          <w:kern w:val="2"/>
          <w:lang w:eastAsia="zh-CN"/>
        </w:rPr>
        <w:t>30</w:t>
      </w:r>
      <w:r>
        <w:rPr>
          <w:rFonts w:hint="default" w:ascii="Times New Roman" w:hAnsi="Times New Roman" w:eastAsia="宋体" w:cs="Times New Roman"/>
          <w:spacing w:val="0"/>
          <w:kern w:val="2"/>
        </w:rPr>
        <w:t>日内对下列问题逐项落实并提供书面回复和电子文档。若涉及对招股说明书的修改，请以楷体加粗标明。我会收到你们的回复后，将根据情况决定是否再次向你们发出反馈意见。如在30日内不能提供书面回复，请</w:t>
      </w:r>
      <w:r>
        <w:rPr>
          <w:rFonts w:hint="default" w:ascii="Times New Roman" w:hAnsi="Times New Roman" w:eastAsia="宋体" w:cs="Times New Roman"/>
          <w:b/>
          <w:bCs/>
          <w:spacing w:val="0"/>
          <w:kern w:val="2"/>
        </w:rPr>
        <w:t>提前10个工作日</w:t>
      </w:r>
      <w:r>
        <w:rPr>
          <w:rFonts w:hint="default" w:ascii="Times New Roman" w:hAnsi="Times New Roman" w:eastAsia="宋体" w:cs="Times New Roman"/>
          <w:spacing w:val="0"/>
          <w:kern w:val="2"/>
        </w:rPr>
        <w:t>向我会提交延期回复申请。如未能按期提交反馈意见，我会将予终止审查。若对本反馈意见有任何问题，请致电我会审核人员。</w:t>
      </w:r>
    </w:p>
    <w:p>
      <w:pPr>
        <w:keepNext w:val="0"/>
        <w:keepLines w:val="0"/>
        <w:pageBreakBefore w:val="0"/>
        <w:widowControl w:val="0"/>
        <w:numPr>
          <w:ilvl w:val="0"/>
          <w:numId w:val="1"/>
        </w:numPr>
        <w:kinsoku/>
        <w:wordWrap/>
        <w:overflowPunct/>
        <w:topLinePunct w:val="0"/>
        <w:bidi w:val="0"/>
        <w:snapToGrid/>
        <w:spacing w:before="0" w:beforeLines="0" w:beforeAutospacing="0" w:after="0" w:afterLines="0" w:afterAutospacing="0" w:line="480" w:lineRule="exact"/>
        <w:ind w:left="0" w:leftChars="0" w:right="0" w:rightChars="0" w:firstLine="560" w:firstLineChars="200"/>
        <w:jc w:val="both"/>
        <w:textAlignment w:val="auto"/>
        <w:outlineLvl w:val="0"/>
        <w:rPr>
          <w:rFonts w:hint="default" w:ascii="Times New Roman" w:hAnsi="Times New Roman" w:eastAsia="黑体" w:cs="Times New Roman"/>
          <w:sz w:val="28"/>
          <w:lang w:val="en-US" w:eastAsia="zh-CN"/>
        </w:rPr>
      </w:pPr>
      <w:r>
        <w:rPr>
          <w:rFonts w:hint="default" w:ascii="Times New Roman" w:hAnsi="Times New Roman" w:eastAsia="黑体" w:cs="Times New Roman"/>
          <w:sz w:val="28"/>
          <w:lang w:val="en-US" w:eastAsia="zh-CN"/>
        </w:rPr>
        <w:t>规范性问题</w:t>
      </w:r>
    </w:p>
    <w:p>
      <w:pPr>
        <w:pStyle w:val="10"/>
        <w:keepNext w:val="0"/>
        <w:keepLines w:val="0"/>
        <w:pageBreakBefore w:val="0"/>
        <w:kinsoku/>
        <w:wordWrap/>
        <w:overflowPunct/>
        <w:topLinePunct w:val="0"/>
        <w:autoSpaceDE/>
        <w:autoSpaceDN/>
        <w:bidi w:val="0"/>
        <w:adjustRightInd/>
        <w:snapToGrid/>
        <w:spacing w:after="0" w:line="460" w:lineRule="exact"/>
        <w:ind w:firstLine="560" w:firstLineChars="200"/>
        <w:textAlignment w:val="auto"/>
        <w:rPr>
          <w:rFonts w:hint="default" w:ascii="宋体" w:hAnsi="宋体" w:eastAsia="宋体" w:cs="宋体"/>
          <w:kern w:val="2"/>
          <w:sz w:val="28"/>
          <w:szCs w:val="20"/>
          <w:lang w:val="en-US" w:eastAsia="zh-CN"/>
        </w:rPr>
      </w:pPr>
      <w:r>
        <w:rPr>
          <w:rFonts w:hint="default" w:cs="宋体"/>
          <w:kern w:val="2"/>
          <w:sz w:val="28"/>
          <w:szCs w:val="20"/>
          <w:lang w:eastAsia="zh-CN"/>
        </w:rPr>
        <w:t>1、</w:t>
      </w:r>
      <w:r>
        <w:rPr>
          <w:rFonts w:hint="default" w:ascii="宋体" w:hAnsi="宋体" w:eastAsia="宋体" w:cs="宋体"/>
          <w:kern w:val="2"/>
          <w:sz w:val="28"/>
          <w:szCs w:val="20"/>
          <w:lang w:val="en-US" w:eastAsia="zh-CN"/>
        </w:rPr>
        <w:t>关于历史沿革。发行人历史上存在股份代持。请发行人说明：（1）股份代持的原因、背景，股权代持及解除的具体过程，解除代持是否符合被代持人意愿；股权代持及解除中，是否有签署财产分割协议、股权代持协议、解除代持协议、转账凭证、资金流水证明等证据证明；相关股权代持、解除是否存在潜在纠纷或争议。（2）发行人设立时点，股东雷军、广州菁英已实缴出资却同意后续将部分股权无偿转让给兰满桔的原因及合理性，相关协议中关于将股权1元转让给兰满桔的具体约定及触发条件，是否存在委托持股或其他利益安排。（3）2011年9月兰满桔将227.5万元股权无偿转让给雷军和广州菁英的背景、原因及合理性，是否为代持还原或委托持股，是否存在利益输送或其他利益安排。（4）2021年12月兰满桔回购部分小股东股权时对各股东回购股份价格不一致的原因及合理性，是否存在纠纷或潜在纠纷。（5）历史上发行人设立及存续期间是否存在不规范事项，如有则请补充披露具体内容、后续处理方式，以及是否受到过行政处罚或存在被处罚风险，是否构成重大违法行为及本次发行的法律障碍，是否存在纠纷或潜在纠纷。（6）历次增资及股权转让的原因，增资或股权转让价格，定价依据、公允性和合理性；股权转让是否真实，有关股权变动是否为双方真实意思表示，是否存在争议或潜在纠纷，是否存在委托持股、利益输送或其他利益安排。（7）发行人历次出资、增资、股权转让的资金来源、合法性，是否存在出资不实、抽逃资本等情况。（8）发行人直接和间接股东与发行人其他股东、董事、监事、高级管理人员、本次发行中介机构及其负责人、高级管理人员、经办人员是否存在亲属关系、关联关系、委托持股、信托持股或其他利益输送安排，是否具备法律、法规规定的股东资格</w:t>
      </w:r>
      <w:r>
        <w:rPr>
          <w:rFonts w:hint="default" w:cs="宋体"/>
          <w:kern w:val="2"/>
          <w:sz w:val="28"/>
          <w:szCs w:val="20"/>
          <w:lang w:eastAsia="zh-CN"/>
        </w:rPr>
        <w:t>。</w:t>
      </w:r>
      <w:r>
        <w:rPr>
          <w:rFonts w:hint="default" w:ascii="宋体" w:hAnsi="宋体" w:eastAsia="宋体" w:cs="宋体"/>
          <w:kern w:val="2"/>
          <w:sz w:val="28"/>
          <w:szCs w:val="20"/>
          <w:lang w:val="en-US" w:eastAsia="zh-CN"/>
        </w:rPr>
        <w:t>请保荐机构及发行人律师对上述问题核查并发表明确意见。</w:t>
      </w:r>
    </w:p>
    <w:p>
      <w:pPr>
        <w:pStyle w:val="10"/>
        <w:keepNext w:val="0"/>
        <w:keepLines w:val="0"/>
        <w:pageBreakBefore w:val="0"/>
        <w:kinsoku/>
        <w:wordWrap/>
        <w:overflowPunct/>
        <w:topLinePunct w:val="0"/>
        <w:autoSpaceDE/>
        <w:autoSpaceDN/>
        <w:bidi w:val="0"/>
        <w:adjustRightInd/>
        <w:snapToGrid/>
        <w:spacing w:after="0" w:line="460" w:lineRule="exact"/>
        <w:ind w:firstLine="560" w:firstLineChars="200"/>
        <w:textAlignment w:val="auto"/>
        <w:rPr>
          <w:rFonts w:hint="default" w:cs="宋体"/>
          <w:kern w:val="2"/>
          <w:sz w:val="28"/>
          <w:szCs w:val="20"/>
          <w:lang w:eastAsia="zh-CN"/>
        </w:rPr>
      </w:pPr>
      <w:r>
        <w:rPr>
          <w:rFonts w:hint="default" w:cs="宋体"/>
          <w:kern w:val="2"/>
          <w:sz w:val="28"/>
          <w:szCs w:val="20"/>
          <w:lang w:eastAsia="zh-CN"/>
        </w:rPr>
        <w:t>2、关于对赌协议。实际控制人与外部投资者曾签署对赌协议。请发行人：（1）以不同批次的入股交易作为划分依据，列示相关对赌协议的情况并详细介绍其对应交易的背景、对赌方情况、对赌条款的约定，各条款对应《首发业务若干问题解答》的何种对赌协议分类。（2）说明清理各对赌协议的具体过程及相关清理条款的约定情况，相关条款是否完全、有效终止对赌条款，是否存在附条件恢复条款，清理后是否符合《首发业务若干问题解答》的要求。（3）说明是否存在触发对赌协议生效的情形，发行人及实际控制人是否已履行相关条款约定，是否存在纠纷或潜在纠纷。请保荐机构及发行人律师对上述问题核查并发表明确意见。</w:t>
      </w:r>
    </w:p>
    <w:p>
      <w:pPr>
        <w:pStyle w:val="10"/>
        <w:keepNext w:val="0"/>
        <w:keepLines w:val="0"/>
        <w:pageBreakBefore w:val="0"/>
        <w:kinsoku/>
        <w:wordWrap/>
        <w:overflowPunct/>
        <w:topLinePunct w:val="0"/>
        <w:autoSpaceDE/>
        <w:autoSpaceDN/>
        <w:bidi w:val="0"/>
        <w:adjustRightInd/>
        <w:snapToGrid/>
        <w:spacing w:after="0" w:line="460" w:lineRule="exact"/>
        <w:ind w:firstLine="560" w:firstLineChars="200"/>
        <w:textAlignment w:val="auto"/>
        <w:rPr>
          <w:rFonts w:hint="eastAsia" w:ascii="宋体" w:hAnsi="宋体" w:eastAsia="宋体" w:cs="宋体"/>
          <w:kern w:val="2"/>
          <w:sz w:val="28"/>
          <w:szCs w:val="20"/>
          <w:lang w:val="en-US" w:eastAsia="zh-CN"/>
        </w:rPr>
      </w:pPr>
      <w:r>
        <w:rPr>
          <w:rFonts w:hint="default" w:cs="宋体"/>
          <w:kern w:val="2"/>
          <w:sz w:val="28"/>
          <w:szCs w:val="20"/>
          <w:lang w:eastAsia="zh-CN"/>
        </w:rPr>
        <w:t>3、关于实际控制人。</w:t>
      </w:r>
      <w:r>
        <w:rPr>
          <w:rFonts w:hint="default" w:cs="宋体"/>
          <w:kern w:val="2"/>
          <w:sz w:val="28"/>
          <w:szCs w:val="20"/>
          <w:lang w:val="en-US" w:eastAsia="zh-CN"/>
        </w:rPr>
        <w:t>兰满桔系公司的控股股东、实际控制人。</w:t>
      </w:r>
      <w:r>
        <w:rPr>
          <w:rFonts w:hint="default" w:cs="宋体"/>
          <w:kern w:val="2"/>
          <w:sz w:val="28"/>
          <w:szCs w:val="20"/>
          <w:lang w:eastAsia="zh-CN"/>
        </w:rPr>
        <w:t>张海于</w:t>
      </w:r>
      <w:r>
        <w:rPr>
          <w:rFonts w:hint="default" w:cs="宋体"/>
          <w:kern w:val="2"/>
          <w:sz w:val="28"/>
          <w:szCs w:val="20"/>
          <w:lang w:val="en-US" w:eastAsia="zh-CN"/>
        </w:rPr>
        <w:t>2021年10月卸任公司董事、2021年8月与兰满桔解除婚姻关系</w:t>
      </w:r>
      <w:r>
        <w:rPr>
          <w:rFonts w:hint="default" w:cs="宋体"/>
          <w:kern w:val="2"/>
          <w:sz w:val="28"/>
          <w:szCs w:val="20"/>
          <w:lang w:eastAsia="zh-CN"/>
        </w:rPr>
        <w:t>。请发行人：（1）结合</w:t>
      </w:r>
      <w:r>
        <w:rPr>
          <w:rFonts w:hint="default" w:cs="宋体"/>
          <w:kern w:val="2"/>
          <w:sz w:val="28"/>
          <w:szCs w:val="20"/>
          <w:lang w:val="en-US" w:eastAsia="zh-CN"/>
        </w:rPr>
        <w:t>兰满桔</w:t>
      </w:r>
      <w:r>
        <w:rPr>
          <w:rFonts w:hint="default" w:cs="宋体"/>
          <w:kern w:val="2"/>
          <w:sz w:val="28"/>
          <w:szCs w:val="20"/>
          <w:lang w:eastAsia="zh-CN"/>
        </w:rPr>
        <w:t>、张海最近3 年在发行人的任职情况、在经营决策中发挥的具体作用、持有发行人股份数量及占比的变动情况，以及报告期内发行人的公司治理、三会运作及决策情况、经营管理的实际运作情况等，说明</w:t>
      </w:r>
      <w:r>
        <w:rPr>
          <w:rFonts w:hint="default" w:cs="宋体"/>
          <w:kern w:val="2"/>
          <w:sz w:val="28"/>
          <w:szCs w:val="20"/>
          <w:lang w:val="en-US" w:eastAsia="zh-CN"/>
        </w:rPr>
        <w:t>兰满桔</w:t>
      </w:r>
      <w:r>
        <w:rPr>
          <w:rFonts w:hint="default" w:cs="宋体"/>
          <w:kern w:val="2"/>
          <w:sz w:val="28"/>
          <w:szCs w:val="20"/>
          <w:lang w:eastAsia="zh-CN"/>
        </w:rPr>
        <w:t>能否对发行人实施有效控制，未将张海认定为共同实际控制人的原因。（2）结合</w:t>
      </w:r>
      <w:r>
        <w:rPr>
          <w:rFonts w:hint="default" w:cs="宋体"/>
          <w:kern w:val="2"/>
          <w:sz w:val="28"/>
          <w:szCs w:val="20"/>
          <w:lang w:val="en-US" w:eastAsia="zh-CN"/>
        </w:rPr>
        <w:t>兰满桔</w:t>
      </w:r>
      <w:r>
        <w:rPr>
          <w:rFonts w:hint="default" w:cs="宋体"/>
          <w:kern w:val="2"/>
          <w:sz w:val="28"/>
          <w:szCs w:val="20"/>
          <w:lang w:eastAsia="zh-CN"/>
        </w:rPr>
        <w:t>与张海离婚后关于发行人股份分割情况，张海持股和任职变动情况等，说明</w:t>
      </w:r>
      <w:r>
        <w:rPr>
          <w:rFonts w:hint="default" w:cs="宋体"/>
          <w:kern w:val="2"/>
          <w:sz w:val="28"/>
          <w:szCs w:val="20"/>
          <w:lang w:val="en-US" w:eastAsia="zh-CN"/>
        </w:rPr>
        <w:t>兰满桔</w:t>
      </w:r>
      <w:r>
        <w:rPr>
          <w:rFonts w:hint="default" w:cs="宋体"/>
          <w:kern w:val="2"/>
          <w:sz w:val="28"/>
          <w:szCs w:val="20"/>
          <w:lang w:eastAsia="zh-CN"/>
        </w:rPr>
        <w:t>所持有的发行人股份权属是否清晰，实际控制人是否发生变更，是否存在股份代持或其他利益安排，是否存在纠纷或潜在纠纷。（3）说明离婚事项对关联方关系和关联交易认定和披露存在的影响，张海对外投资情况，与公司是否存在同业竞争。请保荐机构及发行人律师对上述问题核查并发表明确意见</w:t>
      </w:r>
      <w:r>
        <w:rPr>
          <w:rFonts w:hint="eastAsia" w:ascii="宋体" w:hAnsi="宋体" w:eastAsia="宋体" w:cs="宋体"/>
          <w:kern w:val="2"/>
          <w:sz w:val="28"/>
          <w:szCs w:val="20"/>
          <w:lang w:val="en-US" w:eastAsia="zh-CN"/>
        </w:rPr>
        <w:t>。</w:t>
      </w:r>
    </w:p>
    <w:p>
      <w:pPr>
        <w:pStyle w:val="10"/>
        <w:keepNext w:val="0"/>
        <w:keepLines w:val="0"/>
        <w:pageBreakBefore w:val="0"/>
        <w:kinsoku/>
        <w:wordWrap/>
        <w:overflowPunct/>
        <w:topLinePunct w:val="0"/>
        <w:autoSpaceDE/>
        <w:autoSpaceDN/>
        <w:bidi w:val="0"/>
        <w:adjustRightInd/>
        <w:snapToGrid/>
        <w:spacing w:after="0" w:line="460" w:lineRule="exact"/>
        <w:ind w:firstLine="560" w:firstLineChars="200"/>
        <w:textAlignment w:val="auto"/>
        <w:rPr>
          <w:rFonts w:hint="default" w:ascii="宋体" w:hAnsi="宋体" w:eastAsia="宋体" w:cs="宋体"/>
          <w:kern w:val="2"/>
          <w:sz w:val="28"/>
          <w:szCs w:val="20"/>
          <w:lang w:eastAsia="zh-CN"/>
        </w:rPr>
      </w:pPr>
      <w:r>
        <w:rPr>
          <w:rFonts w:hint="default" w:cs="宋体"/>
          <w:kern w:val="2"/>
          <w:sz w:val="28"/>
          <w:szCs w:val="20"/>
          <w:lang w:eastAsia="zh-CN"/>
        </w:rPr>
        <w:t>4、关于同业竞争。请发行人：</w:t>
      </w:r>
      <w:r>
        <w:rPr>
          <w:rFonts w:hint="default" w:cs="宋体"/>
          <w:kern w:val="2"/>
          <w:sz w:val="28"/>
          <w:szCs w:val="20"/>
          <w:lang w:val="en-US" w:eastAsia="zh-CN"/>
        </w:rPr>
        <w:t>（1）逐一补充</w:t>
      </w:r>
      <w:r>
        <w:rPr>
          <w:rFonts w:hint="default" w:cs="宋体"/>
          <w:kern w:val="2"/>
          <w:sz w:val="28"/>
          <w:szCs w:val="20"/>
          <w:lang w:eastAsia="zh-CN"/>
        </w:rPr>
        <w:t>说明</w:t>
      </w:r>
      <w:r>
        <w:rPr>
          <w:rFonts w:hint="default" w:cs="宋体"/>
          <w:kern w:val="2"/>
          <w:sz w:val="28"/>
          <w:szCs w:val="20"/>
          <w:lang w:val="en-US" w:eastAsia="zh-CN"/>
        </w:rPr>
        <w:t>实际控制人、控股股东及其近亲属全资或控股的企业，进一步说明是否存在与公司利益冲突的情形、是否存在与公司及其子公司从事相同或相似业务的情形，如存在，请说明对公司独立性的影响。（2）</w:t>
      </w:r>
      <w:r>
        <w:rPr>
          <w:rFonts w:hint="default" w:cs="宋体"/>
          <w:kern w:val="2"/>
          <w:sz w:val="28"/>
          <w:szCs w:val="20"/>
          <w:lang w:eastAsia="zh-CN"/>
        </w:rPr>
        <w:t>说明</w:t>
      </w:r>
      <w:r>
        <w:rPr>
          <w:rFonts w:hint="default" w:cs="宋体"/>
          <w:kern w:val="2"/>
          <w:sz w:val="28"/>
          <w:szCs w:val="20"/>
          <w:lang w:val="en-US" w:eastAsia="zh-CN"/>
        </w:rPr>
        <w:t>认定不存在同业竞争关系时，是否已经审慎核查并完整地披露发行人控股股东、实际控制人及其近亲属直接或间接控制的全部关联企业。（3）</w:t>
      </w:r>
      <w:r>
        <w:rPr>
          <w:rFonts w:hint="default" w:cs="宋体"/>
          <w:kern w:val="2"/>
          <w:sz w:val="28"/>
          <w:szCs w:val="20"/>
          <w:lang w:eastAsia="zh-CN"/>
        </w:rPr>
        <w:t>说明</w:t>
      </w:r>
      <w:r>
        <w:rPr>
          <w:rFonts w:hint="default" w:cs="宋体"/>
          <w:kern w:val="2"/>
          <w:sz w:val="28"/>
          <w:szCs w:val="20"/>
          <w:lang w:val="en-US" w:eastAsia="zh-CN"/>
        </w:rPr>
        <w:t>上述企业的实际经营业务，说明是否简单依据经营范围对同业竞争做出判断，是否仅以经营区域、细分产品、细分市场的不同来认定不构成同业竞争。（4）</w:t>
      </w:r>
      <w:r>
        <w:rPr>
          <w:rFonts w:hint="default" w:cs="宋体"/>
          <w:kern w:val="2"/>
          <w:sz w:val="28"/>
          <w:szCs w:val="20"/>
          <w:lang w:eastAsia="zh-CN"/>
        </w:rPr>
        <w:t>说明</w:t>
      </w:r>
      <w:r>
        <w:rPr>
          <w:rFonts w:hint="default" w:cs="宋体"/>
          <w:kern w:val="2"/>
          <w:sz w:val="28"/>
          <w:szCs w:val="20"/>
          <w:lang w:val="en-US" w:eastAsia="zh-CN"/>
        </w:rPr>
        <w:t>上述企业的历史沿革、资产、人员、业务和技术等方面与发行人的关系，</w:t>
      </w:r>
      <w:r>
        <w:rPr>
          <w:rFonts w:hint="default" w:cs="宋体"/>
          <w:kern w:val="2"/>
          <w:sz w:val="28"/>
          <w:szCs w:val="20"/>
          <w:lang w:eastAsia="zh-CN"/>
        </w:rPr>
        <w:t>经营的合法合规性，</w:t>
      </w:r>
      <w:r>
        <w:rPr>
          <w:rFonts w:hint="default" w:cs="宋体"/>
          <w:kern w:val="2"/>
          <w:sz w:val="28"/>
          <w:szCs w:val="20"/>
          <w:lang w:val="en-US" w:eastAsia="zh-CN"/>
        </w:rPr>
        <w:t>采购销售渠道、客户、供应商等方面是否影响发行人的独立性。请保荐机构、发行人律师核查并发表意见。</w:t>
      </w:r>
    </w:p>
    <w:p>
      <w:pPr>
        <w:pStyle w:val="10"/>
        <w:keepNext w:val="0"/>
        <w:keepLines w:val="0"/>
        <w:pageBreakBefore w:val="0"/>
        <w:kinsoku/>
        <w:wordWrap/>
        <w:overflowPunct/>
        <w:topLinePunct w:val="0"/>
        <w:autoSpaceDE/>
        <w:autoSpaceDN/>
        <w:bidi w:val="0"/>
        <w:adjustRightInd/>
        <w:snapToGrid/>
        <w:spacing w:after="0" w:line="460" w:lineRule="exact"/>
        <w:ind w:firstLine="560" w:firstLineChars="200"/>
        <w:textAlignment w:val="auto"/>
        <w:rPr>
          <w:rFonts w:hint="eastAsia" w:cs="宋体"/>
          <w:kern w:val="2"/>
          <w:sz w:val="28"/>
          <w:szCs w:val="20"/>
          <w:lang w:val="en-US" w:eastAsia="zh-CN"/>
        </w:rPr>
      </w:pPr>
      <w:r>
        <w:rPr>
          <w:rFonts w:hint="default" w:cs="宋体"/>
          <w:kern w:val="2"/>
          <w:sz w:val="28"/>
          <w:szCs w:val="20"/>
          <w:lang w:eastAsia="zh-CN"/>
        </w:rPr>
        <w:t>5、关于关联交易</w:t>
      </w:r>
      <w:r>
        <w:rPr>
          <w:rFonts w:hint="eastAsia" w:cs="宋体"/>
          <w:kern w:val="2"/>
          <w:sz w:val="28"/>
          <w:szCs w:val="20"/>
          <w:lang w:val="en-US" w:eastAsia="zh-CN"/>
        </w:rPr>
        <w:t>。请发行人说明：（1）发行人是否按照《公司法》《企业会计准则》《上市公司信息披露管理办法》及其他相关规定完整、准确地披露关联方关系及交易。（2）报告期关联交易背景、原因、合理性和必要性，关联方定价依据及公允性，是否存在替发行人分担成本、费用的情况，是否存在利益输送等其他利益安排；尚航科技支付机柜预留费的定价依据，与怀来云交换向无关联方预留机柜费用是否存在差异。（3）发行人减少关联交易的控制措施是否有效。（4）发行人关联交易履行的审批程序，公司治理是否健全有效，是否存在未及时按规定履行必要的决策程序、后续补充确认的情况，相关会议制度、内部控制措施是否切实有效执行。（5）说明关联方资金占用情况是否已彻底整改，相关内控制度完善情况，对本次发行上市的影响，后续如何防范资金占用情形的发生。保荐机构及发行人律师应对发行人的关联方认定，发行人关联交易信息披露的完整性，关联交易的必要性、合理性和公允性，关联交易是否影响发行人的独立性、是否可能对发行产生重大不利影响，以及是否已履行关联交易决策程序等进行充分核查并发表意见。</w:t>
      </w:r>
    </w:p>
    <w:p>
      <w:pPr>
        <w:pStyle w:val="10"/>
        <w:keepNext w:val="0"/>
        <w:keepLines w:val="0"/>
        <w:pageBreakBefore w:val="0"/>
        <w:widowControl w:val="0"/>
        <w:numPr>
          <w:ilvl w:val="0"/>
          <w:numId w:val="0"/>
        </w:numPr>
        <w:kinsoku/>
        <w:wordWrap/>
        <w:overflowPunct/>
        <w:topLinePunct w:val="0"/>
        <w:autoSpaceDE/>
        <w:autoSpaceDN/>
        <w:bidi w:val="0"/>
        <w:adjustRightInd/>
        <w:snapToGrid/>
        <w:spacing w:after="0" w:line="460" w:lineRule="exact"/>
        <w:ind w:firstLine="560" w:firstLineChars="200"/>
        <w:textAlignment w:val="auto"/>
        <w:rPr>
          <w:rFonts w:hint="default" w:cs="宋体"/>
          <w:kern w:val="2"/>
          <w:sz w:val="28"/>
          <w:szCs w:val="20"/>
          <w:lang w:val="en-US" w:eastAsia="zh-CN"/>
        </w:rPr>
      </w:pPr>
      <w:r>
        <w:rPr>
          <w:rFonts w:hint="default" w:cs="宋体"/>
          <w:kern w:val="2"/>
          <w:sz w:val="28"/>
          <w:szCs w:val="20"/>
          <w:lang w:eastAsia="zh-CN"/>
        </w:rPr>
        <w:t>6、关于上海亦联。</w:t>
      </w:r>
      <w:r>
        <w:rPr>
          <w:rFonts w:hint="default" w:cs="宋体"/>
          <w:kern w:val="2"/>
          <w:sz w:val="28"/>
          <w:szCs w:val="20"/>
          <w:lang w:val="en-US" w:eastAsia="zh-CN"/>
        </w:rPr>
        <w:t>上海亦联于2015年11月入股发行人，现持有发行人5.12%股份。</w:t>
      </w:r>
      <w:r>
        <w:rPr>
          <w:rFonts w:hint="eastAsia" w:cs="宋体"/>
          <w:kern w:val="2"/>
          <w:sz w:val="28"/>
          <w:szCs w:val="20"/>
          <w:lang w:val="en-US" w:eastAsia="zh-CN"/>
        </w:rPr>
        <w:t>公司客户广州华多是持有上海亦联9</w:t>
      </w:r>
      <w:r>
        <w:rPr>
          <w:rFonts w:hint="default" w:cs="宋体"/>
          <w:kern w:val="2"/>
          <w:sz w:val="28"/>
          <w:szCs w:val="20"/>
          <w:lang w:val="en-US" w:eastAsia="zh-CN"/>
        </w:rPr>
        <w:t>3.50</w:t>
      </w:r>
      <w:r>
        <w:rPr>
          <w:rFonts w:hint="eastAsia" w:cs="宋体"/>
          <w:kern w:val="2"/>
          <w:sz w:val="28"/>
          <w:szCs w:val="20"/>
          <w:lang w:val="en-US" w:eastAsia="zh-CN"/>
        </w:rPr>
        <w:t>%出资的有限合伙人，广州华多系JOYY控制的企业。</w:t>
      </w:r>
      <w:r>
        <w:rPr>
          <w:rFonts w:hint="default" w:cs="宋体"/>
          <w:kern w:val="2"/>
          <w:sz w:val="28"/>
          <w:szCs w:val="20"/>
          <w:lang w:val="en-US" w:eastAsia="zh-CN"/>
        </w:rPr>
        <w:t>报告期内，发行人与</w:t>
      </w:r>
      <w:r>
        <w:rPr>
          <w:rFonts w:hint="eastAsia" w:cs="宋体"/>
          <w:kern w:val="2"/>
          <w:sz w:val="28"/>
          <w:szCs w:val="20"/>
          <w:lang w:val="en-US" w:eastAsia="zh-CN"/>
        </w:rPr>
        <w:t>JOYY控制的企业</w:t>
      </w:r>
      <w:r>
        <w:rPr>
          <w:rFonts w:hint="default" w:cs="宋体"/>
          <w:kern w:val="2"/>
          <w:sz w:val="28"/>
          <w:szCs w:val="20"/>
          <w:lang w:val="en-US" w:eastAsia="zh-CN"/>
        </w:rPr>
        <w:t>存在交易。请发行人说明：（1）上海亦联入股的商业合理性，是否符合行业惯例，入股价格定价依据及公允性，是否存在低价入股换取订单或其他利益安排的情形。（2）发行人与上海亦联及其关联方是否存在可能造成利益倾斜的关系或约定，结合报告期内发行人与上海亦联业务流程及交易情况，说明是否存在调节发行人收入、利润或成本费用的倾斜，是否存在利益冲突或利益输送的情形。（3）发行人未来对上海亦联及其关联方的销售集中度是否可能维持或进一步提升，发行人对其是否构成重大依赖，是否对持续经营能力构成重大不利影响。（4）</w:t>
      </w:r>
      <w:r>
        <w:rPr>
          <w:rFonts w:hint="eastAsia" w:cs="宋体"/>
          <w:kern w:val="2"/>
          <w:sz w:val="28"/>
          <w:szCs w:val="20"/>
          <w:lang w:val="en-US" w:eastAsia="zh-CN"/>
        </w:rPr>
        <w:t>JOYY</w:t>
      </w:r>
      <w:r>
        <w:rPr>
          <w:rFonts w:hint="default" w:cs="宋体"/>
          <w:kern w:val="2"/>
          <w:sz w:val="28"/>
          <w:szCs w:val="20"/>
          <w:lang w:val="en-US" w:eastAsia="zh-CN"/>
        </w:rPr>
        <w:t>将广州津虹、虎牙科技、虎牙信息控制权对外转让对发行人与YY、虎牙业务的影响，是否存在修改合同条款、终止合作、业务量减少、订单取消等情形。（5）发行人及其实际控制人、其他股东、董监高与上海亦联及其关联方是否存在关联关系、委托持股或其他利益安排，是否存在非经营性资金和业务往来。请保荐机构及发行人律师核查并发表明确意见。</w:t>
      </w:r>
    </w:p>
    <w:p>
      <w:pPr>
        <w:keepNext w:val="0"/>
        <w:keepLines w:val="0"/>
        <w:pageBreakBefore w:val="0"/>
        <w:widowControl/>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460" w:lineRule="exact"/>
        <w:ind w:firstLine="560" w:firstLineChars="200"/>
        <w:textAlignment w:val="auto"/>
        <w:outlineLvl w:val="9"/>
        <w:rPr>
          <w:rFonts w:ascii="Times New Roman" w:hAnsi="Times New Roman" w:eastAsia="宋体" w:cs="Times New Roman"/>
          <w:sz w:val="28"/>
          <w:szCs w:val="28"/>
          <w:highlight w:val="none"/>
        </w:rPr>
      </w:pPr>
      <w:r>
        <w:rPr>
          <w:rFonts w:hint="default" w:ascii="Times New Roman" w:hAnsi="Times New Roman" w:cs="Times New Roman"/>
          <w:sz w:val="28"/>
          <w:szCs w:val="28"/>
          <w:highlight w:val="none"/>
        </w:rPr>
        <w:t>7</w:t>
      </w:r>
      <w:r>
        <w:rPr>
          <w:rFonts w:hint="default" w:ascii="Times New Roman" w:hAnsi="Times New Roman" w:eastAsia="宋体" w:cs="Times New Roman"/>
          <w:sz w:val="28"/>
          <w:szCs w:val="28"/>
          <w:highlight w:val="none"/>
        </w:rPr>
        <w:t>、</w:t>
      </w:r>
      <w:r>
        <w:rPr>
          <w:rFonts w:ascii="Times New Roman" w:hAnsi="Times New Roman" w:eastAsia="宋体" w:cs="Times New Roman"/>
          <w:sz w:val="28"/>
          <w:szCs w:val="28"/>
          <w:highlight w:val="none"/>
        </w:rPr>
        <w:t>报告期内，发行人实现主营业务收入</w:t>
      </w:r>
      <w:bookmarkStart w:id="0" w:name="_Hlk102211003"/>
      <w:r>
        <w:rPr>
          <w:rFonts w:ascii="Times New Roman" w:hAnsi="Times New Roman" w:eastAsia="宋体" w:cs="Times New Roman"/>
          <w:sz w:val="28"/>
          <w:szCs w:val="28"/>
          <w:highlight w:val="none"/>
        </w:rPr>
        <w:t>32,147.36万元</w:t>
      </w:r>
      <w:bookmarkEnd w:id="0"/>
      <w:r>
        <w:rPr>
          <w:rFonts w:ascii="Times New Roman" w:hAnsi="Times New Roman" w:eastAsia="宋体" w:cs="Times New Roman"/>
          <w:sz w:val="28"/>
          <w:szCs w:val="28"/>
          <w:highlight w:val="none"/>
        </w:rPr>
        <w:t>、41,504.56万元和46,063.12万元。请发行人：（1）补充说明各项收入构成的业务经营模式、计费方式、收入确认的</w:t>
      </w:r>
      <w:bookmarkStart w:id="1" w:name="OLE_LINK3"/>
      <w:r>
        <w:rPr>
          <w:rFonts w:ascii="Times New Roman" w:hAnsi="Times New Roman" w:eastAsia="宋体" w:cs="Times New Roman"/>
          <w:sz w:val="28"/>
          <w:szCs w:val="28"/>
          <w:highlight w:val="none"/>
        </w:rPr>
        <w:t>具体方法、确认时点、确认依据以及结算方法、结算政策和具体</w:t>
      </w:r>
      <w:bookmarkEnd w:id="1"/>
      <w:r>
        <w:rPr>
          <w:rFonts w:ascii="Times New Roman" w:hAnsi="Times New Roman" w:eastAsia="宋体" w:cs="Times New Roman"/>
          <w:sz w:val="28"/>
          <w:szCs w:val="28"/>
          <w:highlight w:val="none"/>
        </w:rPr>
        <w:t>流程，以上情况是否与同行业可比公司一致，是否符合会计准则规定；（2）公司于报告期内提供服务的机房均为租赁所得，说明同行业可比公司IDC服务商机房的经营模式是否</w:t>
      </w:r>
      <w:r>
        <w:rPr>
          <w:rFonts w:hint="default" w:ascii="Times New Roman" w:hAnsi="Times New Roman" w:eastAsia="宋体" w:cs="Times New Roman"/>
          <w:sz w:val="28"/>
          <w:szCs w:val="28"/>
          <w:highlight w:val="none"/>
        </w:rPr>
        <w:t>与</w:t>
      </w:r>
      <w:r>
        <w:rPr>
          <w:rFonts w:ascii="Times New Roman" w:hAnsi="Times New Roman" w:eastAsia="宋体" w:cs="Times New Roman"/>
          <w:sz w:val="28"/>
          <w:szCs w:val="28"/>
          <w:highlight w:val="none"/>
        </w:rPr>
        <w:t>公司相同，发行人采取租赁机房的方式运营是否能够保障业务的稳定性、持续性，与运营商的租赁机柜协议是否为长期协议，近五年是否出现过租赁机房到期后未续签或大幅涨价的情形；（3）区分业务类别，说明产品定价的机制及依据，单一客户之间的同一产品和服务价格是否存在较大差异，如有，请解释差异存在原因；（4）补充说明报告期内带宽复用率波动的原因及合理性；（5）区分具体服务类别，补充说明发行人报告期各期各项服务的平均单价与同行业可比公司、市场公开报价是否存在较大差异，各期发行人主要机房的上述售价与同一地区的同行业可比公司机房的售价是否存在较大差异；（6）补充说明云综合服务的具体内容、收入构成，补充披露报告期内云综合服务收入大幅增长的原因及合理性。请保荐机构、申报会计师说明为确认发行人收入的真实性、准确性、完整性所采取核查程序、核查手段、核查范围（各核查方式涉及的具体金额占比）及核查结论，并发表明确的核查意见。</w:t>
      </w:r>
    </w:p>
    <w:p>
      <w:pPr>
        <w:keepNext w:val="0"/>
        <w:keepLines w:val="0"/>
        <w:pageBreakBefore w:val="0"/>
        <w:widowControl/>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460" w:lineRule="exact"/>
        <w:ind w:firstLine="560" w:firstLineChars="200"/>
        <w:textAlignment w:val="auto"/>
        <w:outlineLvl w:val="9"/>
        <w:rPr>
          <w:rFonts w:ascii="Times New Roman" w:hAnsi="Times New Roman" w:eastAsia="宋体" w:cs="Times New Roman"/>
          <w:sz w:val="28"/>
          <w:szCs w:val="28"/>
          <w:highlight w:val="none"/>
        </w:rPr>
      </w:pPr>
      <w:r>
        <w:rPr>
          <w:rFonts w:hint="default" w:ascii="Times New Roman" w:hAnsi="Times New Roman" w:cs="Times New Roman"/>
          <w:sz w:val="28"/>
          <w:szCs w:val="28"/>
          <w:highlight w:val="none"/>
        </w:rPr>
        <w:t>8</w:t>
      </w:r>
      <w:r>
        <w:rPr>
          <w:rFonts w:hint="default" w:ascii="Times New Roman" w:hAnsi="Times New Roman" w:eastAsia="宋体" w:cs="Times New Roman"/>
          <w:sz w:val="28"/>
          <w:szCs w:val="28"/>
          <w:highlight w:val="none"/>
        </w:rPr>
        <w:t>、</w:t>
      </w:r>
      <w:r>
        <w:rPr>
          <w:rFonts w:ascii="Times New Roman" w:hAnsi="Times New Roman" w:eastAsia="宋体" w:cs="Times New Roman"/>
          <w:sz w:val="28"/>
          <w:szCs w:val="28"/>
          <w:highlight w:val="none"/>
        </w:rPr>
        <w:t>报告期内，发行人对前五大客户的销售额占主营业务收入的比例分别为71.15%、71.18%和61.40%。请发行人：（1）结合相关合同条款，区分业务类别，说明各期主要客户的名称、订单获取方式、提供的服务内容、定价方式、销售金额、销售数量、结算方式、期末应收账款及期后回款情况，以及上述客户的成立时间、地址、股东情况、合作起始时间以及是否持续合作；（2）说明主要客户及其控股股东、实际控制人、主要股东、董事、监事、高级管理人员、其他核心人员与发行人及其关联方是否存在关联关系，有无交易、资金往来；（3）结合与同行业可比公司情况，补充说明发行人客户较集中的原因及合理性，是否符合行业惯例；（4）补充说明报告期各期新增客户来源、数量、对应销售金额及占当期收入占比；说明报告期主要客户增减变动的原因及合理性。请保荐机构、申报会计师核查并发表核查意见。</w:t>
      </w:r>
    </w:p>
    <w:p>
      <w:pPr>
        <w:keepNext w:val="0"/>
        <w:keepLines w:val="0"/>
        <w:pageBreakBefore w:val="0"/>
        <w:widowControl/>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460" w:lineRule="exact"/>
        <w:ind w:firstLine="560" w:firstLineChars="200"/>
        <w:textAlignment w:val="auto"/>
        <w:outlineLvl w:val="9"/>
        <w:rPr>
          <w:rFonts w:ascii="Times New Roman" w:hAnsi="Times New Roman" w:eastAsia="宋体" w:cs="Times New Roman"/>
          <w:sz w:val="28"/>
          <w:szCs w:val="28"/>
          <w:highlight w:val="none"/>
        </w:rPr>
      </w:pPr>
      <w:r>
        <w:rPr>
          <w:rFonts w:hint="default" w:ascii="Times New Roman" w:hAnsi="Times New Roman" w:cs="Times New Roman"/>
          <w:sz w:val="28"/>
          <w:szCs w:val="28"/>
          <w:highlight w:val="none"/>
        </w:rPr>
        <w:t>9</w:t>
      </w:r>
      <w:r>
        <w:rPr>
          <w:rFonts w:hint="default" w:ascii="Times New Roman" w:hAnsi="Times New Roman" w:eastAsia="宋体" w:cs="Times New Roman"/>
          <w:sz w:val="28"/>
          <w:szCs w:val="28"/>
          <w:highlight w:val="none"/>
        </w:rPr>
        <w:t>、</w:t>
      </w:r>
      <w:r>
        <w:rPr>
          <w:rFonts w:ascii="Times New Roman" w:hAnsi="Times New Roman" w:eastAsia="宋体" w:cs="Times New Roman"/>
          <w:sz w:val="28"/>
          <w:szCs w:val="28"/>
          <w:highlight w:val="none"/>
        </w:rPr>
        <w:t>报告期内，发行人主营业务成本分别为25,759.47万元、31,569.14万元和33,718.75万元。请发行人：（1）补充说明各期主要</w:t>
      </w:r>
      <w:r>
        <w:rPr>
          <w:rFonts w:hint="default" w:ascii="Times New Roman" w:hAnsi="Times New Roman" w:eastAsia="宋体" w:cs="Times New Roman"/>
          <w:sz w:val="28"/>
          <w:szCs w:val="28"/>
          <w:highlight w:val="none"/>
        </w:rPr>
        <w:t>通信资源</w:t>
      </w:r>
      <w:r>
        <w:rPr>
          <w:rFonts w:ascii="Times New Roman" w:hAnsi="Times New Roman" w:eastAsia="宋体" w:cs="Times New Roman"/>
          <w:sz w:val="28"/>
          <w:szCs w:val="28"/>
          <w:highlight w:val="none"/>
        </w:rPr>
        <w:t>的采购数量及采购单价；（2）结合与运营商签订的各主要机房机柜租赁协议中关于运营期限、续期条款、租赁价格调整机制等关键条款，列表并补充说明发行人各主要机房与运营商合作的稳定性、持续性，各类服务采购成本是否存在较大波动的风险；（3）补充说明报告期各期机柜租用服务成本、带宽采购成本、IP租用成本、专线传输服务成本、云服务采购成本采购单价与同行业可比公司、市场公开报价是否存在较大差异，补充说明发行人各主要机房的上述采购单价和同一地区的同行业可比公司上述采购单价是否存在较大差异；（4）补充说明发行人机柜采购成本的主要影响因素，合同期内是否为固定不变成本，是否与机柜用电量相关；（</w:t>
      </w:r>
      <w:r>
        <w:rPr>
          <w:rFonts w:hint="default" w:ascii="Times New Roman" w:hAnsi="Times New Roman" w:eastAsia="宋体" w:cs="Times New Roman"/>
          <w:sz w:val="28"/>
          <w:szCs w:val="28"/>
          <w:highlight w:val="none"/>
        </w:rPr>
        <w:t>5</w:t>
      </w:r>
      <w:r>
        <w:rPr>
          <w:rFonts w:ascii="Times New Roman" w:hAnsi="Times New Roman" w:eastAsia="宋体" w:cs="Times New Roman"/>
          <w:sz w:val="28"/>
          <w:szCs w:val="28"/>
          <w:highlight w:val="none"/>
        </w:rPr>
        <w:t>）补充披露报告期各期能源采购与消耗情况，是否与营业收入波动相匹配，采购单价是否波动及波动原因。请保荐机构、申报会计师对上述事项进行核查并发表明确意见。</w:t>
      </w:r>
    </w:p>
    <w:p>
      <w:pPr>
        <w:keepNext w:val="0"/>
        <w:keepLines w:val="0"/>
        <w:pageBreakBefore w:val="0"/>
        <w:widowControl/>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460" w:lineRule="exact"/>
        <w:ind w:firstLine="560" w:firstLineChars="200"/>
        <w:textAlignment w:val="auto"/>
        <w:outlineLvl w:val="9"/>
        <w:rPr>
          <w:rFonts w:hint="default" w:ascii="Times New Roman" w:hAnsi="Times New Roman" w:eastAsia="宋体" w:cs="Times New Roman"/>
          <w:sz w:val="28"/>
          <w:szCs w:val="28"/>
          <w:highlight w:val="none"/>
        </w:rPr>
      </w:pPr>
      <w:r>
        <w:rPr>
          <w:rFonts w:hint="default" w:ascii="Times New Roman" w:hAnsi="Times New Roman" w:cs="Times New Roman"/>
          <w:sz w:val="28"/>
          <w:szCs w:val="28"/>
          <w:highlight w:val="none"/>
        </w:rPr>
        <w:t>10</w:t>
      </w:r>
      <w:r>
        <w:rPr>
          <w:rFonts w:hint="default" w:ascii="Times New Roman" w:hAnsi="Times New Roman" w:eastAsia="宋体" w:cs="Times New Roman"/>
          <w:sz w:val="28"/>
          <w:szCs w:val="28"/>
          <w:highlight w:val="none"/>
        </w:rPr>
        <w:t>、</w:t>
      </w:r>
      <w:r>
        <w:rPr>
          <w:rFonts w:ascii="Times New Roman" w:hAnsi="Times New Roman" w:eastAsia="宋体" w:cs="Times New Roman"/>
          <w:sz w:val="28"/>
          <w:szCs w:val="28"/>
          <w:highlight w:val="none"/>
        </w:rPr>
        <w:t>报告期内，发行人向前五大供应商的采购额占</w:t>
      </w:r>
      <w:r>
        <w:rPr>
          <w:rFonts w:hint="default" w:ascii="Times New Roman" w:hAnsi="Times New Roman" w:eastAsia="宋体" w:cs="Times New Roman"/>
          <w:sz w:val="28"/>
          <w:szCs w:val="28"/>
          <w:highlight w:val="none"/>
        </w:rPr>
        <w:t>主营业务成本</w:t>
      </w:r>
      <w:r>
        <w:rPr>
          <w:rFonts w:ascii="Times New Roman" w:hAnsi="Times New Roman" w:eastAsia="宋体" w:cs="Times New Roman"/>
          <w:sz w:val="28"/>
          <w:szCs w:val="28"/>
          <w:highlight w:val="none"/>
        </w:rPr>
        <w:t>的比例达到</w:t>
      </w:r>
      <w:r>
        <w:rPr>
          <w:rFonts w:hint="default" w:ascii="Times New Roman" w:hAnsi="Times New Roman" w:eastAsia="宋体" w:cs="Times New Roman"/>
          <w:sz w:val="28"/>
          <w:szCs w:val="28"/>
          <w:highlight w:val="none"/>
        </w:rPr>
        <w:t>85.56%、82.52%和79.71%</w:t>
      </w:r>
      <w:r>
        <w:rPr>
          <w:rFonts w:ascii="Times New Roman" w:hAnsi="Times New Roman" w:eastAsia="宋体" w:cs="Times New Roman"/>
          <w:sz w:val="28"/>
          <w:szCs w:val="28"/>
          <w:highlight w:val="none"/>
        </w:rPr>
        <w:t>。请发行人：（1）补充说明向主要供应商的采购明细、</w:t>
      </w:r>
      <w:r>
        <w:rPr>
          <w:rFonts w:hint="default" w:ascii="Times New Roman" w:hAnsi="Times New Roman" w:eastAsia="宋体" w:cs="Times New Roman"/>
          <w:sz w:val="28"/>
          <w:szCs w:val="28"/>
          <w:highlight w:val="none"/>
        </w:rPr>
        <w:t>各类</w:t>
      </w:r>
      <w:r>
        <w:rPr>
          <w:rFonts w:ascii="Times New Roman" w:hAnsi="Times New Roman" w:eastAsia="宋体" w:cs="Times New Roman"/>
          <w:sz w:val="28"/>
          <w:szCs w:val="28"/>
          <w:highlight w:val="none"/>
        </w:rPr>
        <w:t>服务单价、数量</w:t>
      </w:r>
      <w:r>
        <w:rPr>
          <w:rFonts w:hint="default" w:ascii="Times New Roman" w:hAnsi="Times New Roman" w:eastAsia="宋体" w:cs="Times New Roman"/>
          <w:sz w:val="28"/>
          <w:szCs w:val="28"/>
          <w:highlight w:val="none"/>
        </w:rPr>
        <w:t>、金额及占同类服务采购的比例</w:t>
      </w:r>
      <w:r>
        <w:rPr>
          <w:rFonts w:ascii="Times New Roman" w:hAnsi="Times New Roman" w:eastAsia="宋体" w:cs="Times New Roman"/>
          <w:sz w:val="28"/>
          <w:szCs w:val="28"/>
          <w:highlight w:val="none"/>
        </w:rPr>
        <w:t>，说明各期发行人向不同供应商采购同类服务的价格、同区域供应商采购同类服务的价格是否存在较大差异及差异原因；（2）补充说明报告期内主要供应商的基本情况、成立时间、注册资本、股东结构、财务经营状况、发行人采购内容、采购金额及占该供应商当期销售金额比例，列表汇总报告期各期发行人采购金额占供应商当期销售金额比例超过30%的情况，</w:t>
      </w:r>
      <w:r>
        <w:rPr>
          <w:rFonts w:hint="default" w:ascii="Times New Roman" w:hAnsi="Times New Roman" w:eastAsia="宋体" w:cs="Times New Roman"/>
          <w:sz w:val="28"/>
          <w:szCs w:val="28"/>
          <w:highlight w:val="none"/>
        </w:rPr>
        <w:t>说明</w:t>
      </w:r>
      <w:r>
        <w:rPr>
          <w:rFonts w:ascii="Times New Roman" w:hAnsi="Times New Roman" w:eastAsia="宋体" w:cs="Times New Roman"/>
          <w:sz w:val="28"/>
          <w:szCs w:val="28"/>
          <w:highlight w:val="none"/>
        </w:rPr>
        <w:t>发行人与上述供应商是否存在关联关系</w:t>
      </w:r>
      <w:r>
        <w:rPr>
          <w:rFonts w:hint="default" w:ascii="Times New Roman" w:hAnsi="Times New Roman" w:eastAsia="宋体" w:cs="Times New Roman"/>
          <w:sz w:val="28"/>
          <w:szCs w:val="28"/>
          <w:highlight w:val="none"/>
        </w:rPr>
        <w:t>、</w:t>
      </w:r>
      <w:r>
        <w:rPr>
          <w:rFonts w:ascii="Times New Roman" w:hAnsi="Times New Roman" w:eastAsia="宋体" w:cs="Times New Roman"/>
          <w:sz w:val="28"/>
          <w:szCs w:val="28"/>
          <w:highlight w:val="none"/>
        </w:rPr>
        <w:t>采购单价是否公允；（3）说明各期主要供应商变动的原因及合理性；（4）补充说明主要供应商中是否存在注册成立当年或次年即成为主要供应商（含报告期外）的情形，如存在请说明详细情况</w:t>
      </w:r>
      <w:r>
        <w:rPr>
          <w:rFonts w:hint="default" w:ascii="Times New Roman" w:hAnsi="Times New Roman" w:eastAsia="宋体" w:cs="Times New Roman"/>
          <w:sz w:val="28"/>
          <w:szCs w:val="28"/>
          <w:highlight w:val="none"/>
        </w:rPr>
        <w:t>及</w:t>
      </w:r>
      <w:r>
        <w:rPr>
          <w:rFonts w:ascii="Times New Roman" w:hAnsi="Times New Roman" w:eastAsia="宋体" w:cs="Times New Roman"/>
          <w:sz w:val="28"/>
          <w:szCs w:val="28"/>
          <w:highlight w:val="none"/>
        </w:rPr>
        <w:t>合理性；（5）说明报告期内主要供应商与发行人控股股东、董监高、其他核心人员、其他股东是否存在关联关系，是否存在为发行人代垫费用、代为承担成本或转移定价等利益输送情形。请保荐机构、申报会计师核查并发表明确意见。</w:t>
      </w:r>
    </w:p>
    <w:p>
      <w:pPr>
        <w:keepNext w:val="0"/>
        <w:keepLines w:val="0"/>
        <w:pageBreakBefore w:val="0"/>
        <w:widowControl/>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460" w:lineRule="exact"/>
        <w:ind w:firstLine="560" w:firstLineChars="200"/>
        <w:textAlignment w:val="auto"/>
        <w:outlineLvl w:val="9"/>
        <w:rPr>
          <w:rFonts w:hint="default" w:cs="宋体"/>
          <w:kern w:val="2"/>
          <w:sz w:val="28"/>
          <w:szCs w:val="20"/>
          <w:lang w:val="en-US" w:eastAsia="zh-CN"/>
        </w:rPr>
      </w:pPr>
      <w:r>
        <w:rPr>
          <w:rFonts w:hint="default" w:ascii="Times New Roman" w:hAnsi="Times New Roman" w:cs="Times New Roman"/>
          <w:sz w:val="28"/>
          <w:szCs w:val="28"/>
          <w:highlight w:val="none"/>
        </w:rPr>
        <w:t>11</w:t>
      </w:r>
      <w:r>
        <w:rPr>
          <w:rFonts w:hint="default" w:ascii="Times New Roman" w:hAnsi="Times New Roman" w:eastAsia="宋体" w:cs="Times New Roman"/>
          <w:sz w:val="28"/>
          <w:szCs w:val="28"/>
          <w:highlight w:val="none"/>
        </w:rPr>
        <w:t>、</w:t>
      </w:r>
      <w:r>
        <w:rPr>
          <w:rFonts w:ascii="Times New Roman" w:hAnsi="Times New Roman" w:eastAsia="宋体" w:cs="Times New Roman"/>
          <w:sz w:val="28"/>
          <w:szCs w:val="28"/>
          <w:highlight w:val="none"/>
        </w:rPr>
        <w:t>报告期内，发行人主营业务毛利率分别为19.87%、23.94%及26.80%，整体呈上升趋势。请发行人：（1）区分数据中心，补充披露各期不同数据中心的收入、毛利率情况，说明同一区域内的数据中心毛利率是否存在差异及差异原因；（2）结合同行业可比公司带宽租用服务毛利率波动情况，说明发行人报告期内带宽租用服务毛利率大幅增长的原因及合理性；（3）区分业务类型，补充披露发行人毛利率与可比公司是否存在较大差异，变动趋势是否一致，说明差异的原因及合理性；（4）结合公司产品的行业空间、进入壁垒、市场竞争情况等因素，说明毛利率呈上升趋势是否具备可持续性</w:t>
      </w:r>
      <w:r>
        <w:rPr>
          <w:rFonts w:hint="default" w:ascii="Times New Roman" w:hAnsi="Times New Roman" w:eastAsia="宋体" w:cs="Times New Roman"/>
          <w:sz w:val="28"/>
          <w:szCs w:val="28"/>
          <w:highlight w:val="none"/>
        </w:rPr>
        <w:t>，</w:t>
      </w:r>
      <w:r>
        <w:rPr>
          <w:rFonts w:ascii="Times New Roman" w:hAnsi="Times New Roman" w:eastAsia="宋体" w:cs="Times New Roman"/>
          <w:sz w:val="28"/>
          <w:szCs w:val="28"/>
          <w:highlight w:val="none"/>
        </w:rPr>
        <w:t>说明公司未来发展的成长空间和增长性。请保荐机构、申报会计师核查并发表核查意见。</w:t>
      </w:r>
    </w:p>
    <w:p>
      <w:pPr>
        <w:keepNext w:val="0"/>
        <w:keepLines w:val="0"/>
        <w:pageBreakBefore w:val="0"/>
        <w:widowControl w:val="0"/>
        <w:numPr>
          <w:ilvl w:val="0"/>
          <w:numId w:val="1"/>
        </w:numPr>
        <w:kinsoku/>
        <w:wordWrap/>
        <w:overflowPunct/>
        <w:topLinePunct w:val="0"/>
        <w:autoSpaceDE/>
        <w:autoSpaceDN/>
        <w:bidi w:val="0"/>
        <w:adjustRightInd/>
        <w:snapToGrid/>
        <w:spacing w:before="0" w:beforeAutospacing="0" w:after="0" w:afterAutospacing="0" w:line="460" w:lineRule="exact"/>
        <w:ind w:left="0" w:leftChars="0" w:right="0" w:rightChars="0" w:firstLine="560" w:firstLineChars="200"/>
        <w:jc w:val="both"/>
        <w:textAlignment w:val="auto"/>
        <w:outlineLvl w:val="0"/>
        <w:rPr>
          <w:rFonts w:hint="default" w:ascii="Times New Roman" w:hAnsi="Times New Roman" w:eastAsia="黑体" w:cs="Times New Roman"/>
          <w:sz w:val="28"/>
          <w:lang w:val="en-US" w:eastAsia="zh-CN"/>
        </w:rPr>
      </w:pPr>
      <w:r>
        <w:rPr>
          <w:rFonts w:hint="default" w:cs="宋体"/>
          <w:kern w:val="2"/>
          <w:sz w:val="28"/>
          <w:szCs w:val="20"/>
          <w:lang w:val="en-US" w:eastAsia="zh-CN"/>
        </w:rPr>
        <w:t xml:space="preserve"> </w:t>
      </w:r>
      <w:r>
        <w:rPr>
          <w:rFonts w:hint="eastAsia" w:ascii="Times New Roman" w:hAnsi="Times New Roman" w:eastAsia="黑体" w:cs="Times New Roman"/>
          <w:sz w:val="28"/>
          <w:lang w:val="en-US" w:eastAsia="zh-CN"/>
        </w:rPr>
        <w:t>信息披露</w:t>
      </w:r>
      <w:r>
        <w:rPr>
          <w:rFonts w:hint="default" w:ascii="Times New Roman" w:hAnsi="Times New Roman" w:eastAsia="黑体" w:cs="Times New Roman"/>
          <w:sz w:val="28"/>
          <w:lang w:val="en-US" w:eastAsia="zh-CN"/>
        </w:rPr>
        <w:t>问题</w:t>
      </w:r>
    </w:p>
    <w:p>
      <w:pPr>
        <w:pStyle w:val="10"/>
        <w:keepNext w:val="0"/>
        <w:keepLines w:val="0"/>
        <w:pageBreakBefore w:val="0"/>
        <w:widowControl w:val="0"/>
        <w:numPr>
          <w:ilvl w:val="0"/>
          <w:numId w:val="0"/>
        </w:numPr>
        <w:kinsoku/>
        <w:wordWrap/>
        <w:overflowPunct/>
        <w:topLinePunct w:val="0"/>
        <w:autoSpaceDE/>
        <w:autoSpaceDN/>
        <w:bidi w:val="0"/>
        <w:adjustRightInd/>
        <w:snapToGrid/>
        <w:spacing w:after="0" w:line="460" w:lineRule="exact"/>
        <w:ind w:firstLine="560" w:firstLineChars="200"/>
        <w:textAlignment w:val="auto"/>
        <w:rPr>
          <w:rFonts w:hint="default" w:cs="宋体"/>
          <w:kern w:val="2"/>
          <w:sz w:val="28"/>
          <w:szCs w:val="20"/>
          <w:lang w:val="en-US" w:eastAsia="zh-CN"/>
        </w:rPr>
      </w:pPr>
      <w:r>
        <w:rPr>
          <w:rFonts w:hint="default" w:cs="宋体"/>
          <w:kern w:val="2"/>
          <w:sz w:val="28"/>
          <w:szCs w:val="20"/>
          <w:lang w:eastAsia="zh-CN"/>
        </w:rPr>
        <w:t>12、关于历史关联方。</w:t>
      </w:r>
      <w:r>
        <w:rPr>
          <w:rFonts w:hint="default" w:cs="宋体"/>
          <w:kern w:val="2"/>
          <w:sz w:val="28"/>
          <w:szCs w:val="20"/>
          <w:lang w:val="en-US" w:eastAsia="zh-CN"/>
        </w:rPr>
        <w:t>报告期内，发行人</w:t>
      </w:r>
      <w:r>
        <w:rPr>
          <w:rFonts w:hint="default" w:cs="宋体"/>
          <w:kern w:val="2"/>
          <w:sz w:val="28"/>
          <w:szCs w:val="20"/>
          <w:lang w:eastAsia="zh-CN"/>
        </w:rPr>
        <w:t>控股股东、</w:t>
      </w:r>
      <w:r>
        <w:rPr>
          <w:rFonts w:hint="default" w:cs="宋体"/>
          <w:kern w:val="2"/>
          <w:sz w:val="28"/>
          <w:szCs w:val="20"/>
          <w:lang w:val="en-US" w:eastAsia="zh-CN"/>
        </w:rPr>
        <w:t>实际控制人</w:t>
      </w:r>
      <w:r>
        <w:rPr>
          <w:rFonts w:hint="default" w:cs="宋体"/>
          <w:kern w:val="2"/>
          <w:sz w:val="28"/>
          <w:szCs w:val="20"/>
          <w:lang w:eastAsia="zh-CN"/>
        </w:rPr>
        <w:t>及其近亲属持股的多家关联公司注销</w:t>
      </w:r>
      <w:r>
        <w:rPr>
          <w:rFonts w:hint="default" w:cs="宋体"/>
          <w:kern w:val="2"/>
          <w:sz w:val="28"/>
          <w:szCs w:val="20"/>
          <w:lang w:val="en-US" w:eastAsia="zh-CN"/>
        </w:rPr>
        <w:t>。请</w:t>
      </w:r>
      <w:r>
        <w:rPr>
          <w:rFonts w:hint="default" w:cs="宋体"/>
          <w:kern w:val="2"/>
          <w:sz w:val="28"/>
          <w:szCs w:val="20"/>
          <w:lang w:eastAsia="zh-CN"/>
        </w:rPr>
        <w:t>发行人</w:t>
      </w:r>
      <w:r>
        <w:rPr>
          <w:rFonts w:hint="default" w:cs="宋体"/>
          <w:kern w:val="2"/>
          <w:sz w:val="28"/>
          <w:szCs w:val="20"/>
          <w:lang w:val="en-US" w:eastAsia="zh-CN"/>
        </w:rPr>
        <w:t>说明：相关企业注销的原因，</w:t>
      </w:r>
      <w:r>
        <w:rPr>
          <w:rFonts w:hint="default" w:cs="宋体"/>
          <w:kern w:val="2"/>
          <w:sz w:val="28"/>
          <w:szCs w:val="20"/>
          <w:lang w:eastAsia="zh-CN"/>
        </w:rPr>
        <w:t>注销前基本情况、注销前一年主要财务数据，</w:t>
      </w:r>
      <w:r>
        <w:rPr>
          <w:rFonts w:hint="default" w:cs="宋体"/>
          <w:kern w:val="2"/>
          <w:sz w:val="28"/>
          <w:szCs w:val="20"/>
          <w:lang w:val="en-US" w:eastAsia="zh-CN"/>
        </w:rPr>
        <w:t>是否存在违法违规行为，是否存在为发行人代为承担成本费用等情况，</w:t>
      </w:r>
      <w:r>
        <w:rPr>
          <w:rFonts w:hint="default" w:cs="宋体"/>
          <w:kern w:val="2"/>
          <w:sz w:val="28"/>
          <w:szCs w:val="20"/>
          <w:lang w:eastAsia="zh-CN"/>
        </w:rPr>
        <w:t>注销后资产、人员去向，</w:t>
      </w:r>
      <w:r>
        <w:rPr>
          <w:rFonts w:hint="default" w:cs="宋体"/>
          <w:kern w:val="2"/>
          <w:sz w:val="28"/>
          <w:szCs w:val="20"/>
          <w:lang w:val="en-US" w:eastAsia="zh-CN"/>
        </w:rPr>
        <w:t>上述企业实际经营的业务内容，是否曾与公司存在同业竞争或者关联交易。请保荐机构及发行人律师发表核查意见。</w:t>
      </w:r>
    </w:p>
    <w:p>
      <w:pPr>
        <w:pStyle w:val="10"/>
        <w:keepNext w:val="0"/>
        <w:keepLines w:val="0"/>
        <w:pageBreakBefore w:val="0"/>
        <w:widowControl w:val="0"/>
        <w:numPr>
          <w:ilvl w:val="0"/>
          <w:numId w:val="0"/>
        </w:numPr>
        <w:kinsoku/>
        <w:wordWrap/>
        <w:overflowPunct/>
        <w:topLinePunct w:val="0"/>
        <w:autoSpaceDE/>
        <w:autoSpaceDN/>
        <w:bidi w:val="0"/>
        <w:adjustRightInd/>
        <w:snapToGrid/>
        <w:spacing w:after="0" w:line="460" w:lineRule="exact"/>
        <w:ind w:firstLine="560" w:firstLineChars="200"/>
        <w:textAlignment w:val="auto"/>
        <w:rPr>
          <w:rFonts w:hint="default" w:cs="宋体"/>
          <w:kern w:val="2"/>
          <w:sz w:val="28"/>
          <w:szCs w:val="20"/>
          <w:lang w:val="en-US" w:eastAsia="zh-CN"/>
        </w:rPr>
      </w:pPr>
      <w:r>
        <w:rPr>
          <w:rFonts w:hint="default" w:cs="宋体"/>
          <w:kern w:val="2"/>
          <w:sz w:val="28"/>
          <w:szCs w:val="20"/>
          <w:lang w:eastAsia="zh-CN"/>
        </w:rPr>
        <w:t>13、关于广州动景。</w:t>
      </w:r>
      <w:r>
        <w:rPr>
          <w:rFonts w:hint="default" w:cs="宋体"/>
          <w:kern w:val="2"/>
          <w:sz w:val="28"/>
          <w:szCs w:val="20"/>
          <w:lang w:val="zh-TW" w:eastAsia="zh-CN"/>
        </w:rPr>
        <w:t>广州动景曾持有公司超过5%股份，而自2014年6月起，广州动景为阿里巴巴集团内企业。将阿里巴巴集团控制的且于2019年8月之前与公司发生过交易的主体视同公司关联方披露</w:t>
      </w:r>
      <w:r>
        <w:rPr>
          <w:rFonts w:hint="default" w:cs="宋体"/>
          <w:kern w:val="2"/>
          <w:sz w:val="28"/>
          <w:szCs w:val="20"/>
          <w:lang w:eastAsia="zh-CN"/>
        </w:rPr>
        <w:t>。2021年12月，广州动景将所持发行人股份全部对外转让。请发行人说明：（1）广州动景在申报前退出发行人的原因，是否为配合发行人减少关联交易安排，股份转让价格大幅低于同期交易价格的原因，广州动景及其关联方与股份受让方之间是否存在是否存在关联关系、亲属关系、委托持股或其他利益安排。（2）广州动景退出发行人后，发行人对其销售收入、单价、毛利率及交易条款是否发生不利变化，是否存在发行人与</w:t>
      </w:r>
      <w:r>
        <w:rPr>
          <w:rFonts w:hint="default" w:cs="宋体"/>
          <w:kern w:val="2"/>
          <w:sz w:val="28"/>
          <w:szCs w:val="20"/>
          <w:lang w:val="zh-TW" w:eastAsia="zh-CN"/>
        </w:rPr>
        <w:t>阿里巴巴集团内企业</w:t>
      </w:r>
      <w:r>
        <w:rPr>
          <w:rFonts w:hint="default" w:cs="宋体"/>
          <w:kern w:val="2"/>
          <w:sz w:val="28"/>
          <w:szCs w:val="20"/>
          <w:lang w:eastAsia="zh-CN"/>
        </w:rPr>
        <w:t>合作终止、客户流失等情形。请保荐机构、发行人律师、申报会计师核查并发表明确意见。</w:t>
      </w:r>
    </w:p>
    <w:p>
      <w:pPr>
        <w:pStyle w:val="10"/>
        <w:keepNext w:val="0"/>
        <w:keepLines w:val="0"/>
        <w:pageBreakBefore w:val="0"/>
        <w:widowControl w:val="0"/>
        <w:numPr>
          <w:ilvl w:val="0"/>
          <w:numId w:val="0"/>
        </w:numPr>
        <w:kinsoku/>
        <w:wordWrap/>
        <w:overflowPunct/>
        <w:topLinePunct w:val="0"/>
        <w:autoSpaceDE/>
        <w:autoSpaceDN/>
        <w:bidi w:val="0"/>
        <w:adjustRightInd/>
        <w:snapToGrid/>
        <w:spacing w:after="0" w:line="460" w:lineRule="exact"/>
        <w:ind w:firstLine="560" w:firstLineChars="200"/>
        <w:textAlignment w:val="auto"/>
        <w:rPr>
          <w:rFonts w:hint="default" w:cs="宋体"/>
          <w:kern w:val="2"/>
          <w:sz w:val="28"/>
          <w:szCs w:val="20"/>
          <w:lang w:eastAsia="zh-CN"/>
        </w:rPr>
      </w:pPr>
      <w:r>
        <w:rPr>
          <w:rFonts w:hint="default" w:cs="宋体"/>
          <w:kern w:val="2"/>
          <w:sz w:val="28"/>
          <w:szCs w:val="20"/>
          <w:lang w:eastAsia="zh-CN"/>
        </w:rPr>
        <w:t>14、关于员工持股。</w:t>
      </w:r>
      <w:r>
        <w:rPr>
          <w:rFonts w:hint="default" w:cs="宋体"/>
          <w:kern w:val="2"/>
          <w:sz w:val="28"/>
          <w:szCs w:val="20"/>
          <w:lang w:val="en-US" w:eastAsia="zh-CN"/>
        </w:rPr>
        <w:t>珠海蓝云、广州鸿云系发行人员工持股平台。请发行人</w:t>
      </w:r>
      <w:r>
        <w:rPr>
          <w:rFonts w:hint="default" w:cs="宋体"/>
          <w:kern w:val="2"/>
          <w:sz w:val="28"/>
          <w:szCs w:val="20"/>
          <w:lang w:eastAsia="zh-CN"/>
        </w:rPr>
        <w:t>说明</w:t>
      </w:r>
      <w:r>
        <w:rPr>
          <w:rFonts w:hint="default" w:cs="宋体"/>
          <w:kern w:val="2"/>
          <w:sz w:val="28"/>
          <w:szCs w:val="20"/>
          <w:lang w:val="en-US" w:eastAsia="zh-CN"/>
        </w:rPr>
        <w:t>：（1）珠海蓝云、广州鸿云在发行人的任职情况，是否存在外部投资人，未在发行人处任职的合伙人与发行人股东、董监高、客户、供应商及其股东之间的关系情况，员工持股平台合伙人与发行人股东、董监高、核心技术人员是否存在亲属关系、关联关系、委托持股关系。（2）珠海蓝云、广州鸿云合伙人在平台内部的流转、退出机制</w:t>
      </w:r>
      <w:r>
        <w:rPr>
          <w:rFonts w:hint="default" w:cs="宋体"/>
          <w:kern w:val="2"/>
          <w:sz w:val="28"/>
          <w:szCs w:val="20"/>
          <w:lang w:eastAsia="zh-CN"/>
        </w:rPr>
        <w:t>、合伙份额锁定期安排</w:t>
      </w:r>
      <w:r>
        <w:rPr>
          <w:rFonts w:hint="default" w:cs="宋体"/>
          <w:kern w:val="2"/>
          <w:sz w:val="28"/>
          <w:szCs w:val="20"/>
          <w:lang w:val="en-US" w:eastAsia="zh-CN"/>
        </w:rPr>
        <w:t>，以及股权管理机制。（3）合伙人出资款项来源及合法合规性，是否存在委托持股或其他利益安排，出资是否存在纠纷或潜在纠纷。（4）珠海蓝云、广州鸿云出资发行人及历次股权变动是否构成股份支付及判断依据。请保荐机构和发行人律师核查并发表明确意见</w:t>
      </w:r>
      <w:r>
        <w:rPr>
          <w:rFonts w:hint="default" w:cs="宋体"/>
          <w:kern w:val="2"/>
          <w:sz w:val="28"/>
          <w:szCs w:val="20"/>
          <w:lang w:eastAsia="zh-CN"/>
        </w:rPr>
        <w:t>。</w:t>
      </w:r>
    </w:p>
    <w:p>
      <w:pPr>
        <w:pStyle w:val="10"/>
        <w:keepNext w:val="0"/>
        <w:keepLines w:val="0"/>
        <w:pageBreakBefore w:val="0"/>
        <w:widowControl w:val="0"/>
        <w:numPr>
          <w:ilvl w:val="0"/>
          <w:numId w:val="0"/>
        </w:numPr>
        <w:kinsoku/>
        <w:wordWrap/>
        <w:overflowPunct/>
        <w:topLinePunct w:val="0"/>
        <w:autoSpaceDE/>
        <w:autoSpaceDN/>
        <w:bidi w:val="0"/>
        <w:adjustRightInd/>
        <w:snapToGrid/>
        <w:spacing w:after="0" w:line="460" w:lineRule="exact"/>
        <w:ind w:firstLine="560" w:firstLineChars="200"/>
        <w:textAlignment w:val="auto"/>
        <w:rPr>
          <w:rFonts w:hint="default" w:cs="宋体"/>
          <w:kern w:val="2"/>
          <w:sz w:val="28"/>
          <w:szCs w:val="20"/>
          <w:lang w:eastAsia="zh-CN"/>
        </w:rPr>
      </w:pPr>
      <w:r>
        <w:rPr>
          <w:rFonts w:hint="default" w:cs="宋体"/>
          <w:kern w:val="2"/>
          <w:sz w:val="28"/>
          <w:szCs w:val="20"/>
          <w:lang w:eastAsia="zh-CN"/>
        </w:rPr>
        <w:t>15、关于土地、房产。发行人承租房产存在出</w:t>
      </w:r>
      <w:r>
        <w:rPr>
          <w:rFonts w:hint="default" w:cs="宋体"/>
          <w:kern w:val="2"/>
          <w:sz w:val="28"/>
          <w:szCs w:val="20"/>
          <w:lang w:val="en-US" w:eastAsia="zh-CN"/>
        </w:rPr>
        <w:t>租方暂未取得不动产权证书</w:t>
      </w:r>
      <w:r>
        <w:rPr>
          <w:rFonts w:hint="default" w:cs="宋体"/>
          <w:kern w:val="2"/>
          <w:sz w:val="28"/>
          <w:szCs w:val="20"/>
          <w:lang w:eastAsia="zh-CN"/>
        </w:rPr>
        <w:t>，</w:t>
      </w:r>
      <w:r>
        <w:rPr>
          <w:rFonts w:hint="default" w:cs="宋体"/>
          <w:kern w:val="2"/>
          <w:sz w:val="28"/>
          <w:szCs w:val="20"/>
          <w:lang w:val="en-US" w:eastAsia="zh-CN"/>
        </w:rPr>
        <w:t>房屋产权证证载用途</w:t>
      </w:r>
      <w:r>
        <w:rPr>
          <w:rFonts w:hint="default" w:cs="宋体"/>
          <w:kern w:val="2"/>
          <w:sz w:val="28"/>
          <w:szCs w:val="20"/>
          <w:lang w:eastAsia="zh-CN"/>
        </w:rPr>
        <w:t>与实际不符的情形。</w:t>
      </w:r>
      <w:r>
        <w:rPr>
          <w:rFonts w:hint="default" w:cs="宋体"/>
          <w:kern w:val="2"/>
          <w:sz w:val="28"/>
          <w:szCs w:val="20"/>
          <w:lang w:val="en-US" w:eastAsia="zh-CN"/>
        </w:rPr>
        <w:t>请发行人说明：（1）发行人自有土地使用权取得过程是否合规，是否符合规划用途；自建房屋是否均已取得产权证书、是否属于合法建筑、是否可能被行政处罚、是否构成重大违法行为。（2）租赁</w:t>
      </w:r>
      <w:r>
        <w:rPr>
          <w:rFonts w:hint="default" w:cs="宋体"/>
          <w:kern w:val="2"/>
          <w:sz w:val="28"/>
          <w:szCs w:val="20"/>
          <w:lang w:eastAsia="zh-CN"/>
        </w:rPr>
        <w:t>房产</w:t>
      </w:r>
      <w:r>
        <w:rPr>
          <w:rFonts w:hint="default" w:cs="宋体"/>
          <w:kern w:val="2"/>
          <w:sz w:val="28"/>
          <w:szCs w:val="20"/>
          <w:lang w:val="en-US" w:eastAsia="zh-CN"/>
        </w:rPr>
        <w:t>是否符合土地房产用途，是否存在瑕疵，</w:t>
      </w:r>
      <w:r>
        <w:rPr>
          <w:rFonts w:hint="default" w:cs="宋体"/>
          <w:kern w:val="2"/>
          <w:sz w:val="28"/>
          <w:szCs w:val="20"/>
          <w:lang w:eastAsia="zh-CN"/>
        </w:rPr>
        <w:t>如是，说明</w:t>
      </w:r>
      <w:r>
        <w:rPr>
          <w:rFonts w:hint="default" w:cs="宋体"/>
          <w:kern w:val="2"/>
          <w:sz w:val="28"/>
          <w:szCs w:val="20"/>
          <w:lang w:val="en-US" w:eastAsia="zh-CN"/>
        </w:rPr>
        <w:t>相关瑕疵是否对发行人持续经营构成重大影响。（3）如因瑕疵不动产相关问题被处罚的责任承担主体、搬迁的费用及承担主体、有无下一步解决措施等，发行人是否存在受到行政处罚或生产经营受阻的可能，并补充披露相关风险提示。请保荐机构及发行人律师</w:t>
      </w:r>
      <w:r>
        <w:rPr>
          <w:rFonts w:hint="default" w:cs="宋体"/>
          <w:kern w:val="2"/>
          <w:sz w:val="28"/>
          <w:szCs w:val="20"/>
          <w:lang w:eastAsia="zh-CN"/>
        </w:rPr>
        <w:t>核查并</w:t>
      </w:r>
      <w:r>
        <w:rPr>
          <w:rFonts w:hint="default" w:cs="宋体"/>
          <w:kern w:val="2"/>
          <w:sz w:val="28"/>
          <w:szCs w:val="20"/>
          <w:lang w:val="en-US" w:eastAsia="zh-CN"/>
        </w:rPr>
        <w:t>发表明确意见</w:t>
      </w:r>
      <w:r>
        <w:rPr>
          <w:rFonts w:hint="default" w:cs="宋体"/>
          <w:kern w:val="2"/>
          <w:sz w:val="28"/>
          <w:szCs w:val="20"/>
          <w:lang w:eastAsia="zh-CN"/>
        </w:rPr>
        <w:t>。</w:t>
      </w:r>
    </w:p>
    <w:p>
      <w:pPr>
        <w:pStyle w:val="10"/>
        <w:keepNext w:val="0"/>
        <w:keepLines w:val="0"/>
        <w:pageBreakBefore w:val="0"/>
        <w:widowControl w:val="0"/>
        <w:numPr>
          <w:ilvl w:val="0"/>
          <w:numId w:val="0"/>
        </w:numPr>
        <w:kinsoku/>
        <w:wordWrap/>
        <w:overflowPunct/>
        <w:topLinePunct w:val="0"/>
        <w:autoSpaceDE/>
        <w:autoSpaceDN/>
        <w:bidi w:val="0"/>
        <w:adjustRightInd/>
        <w:snapToGrid/>
        <w:spacing w:after="0" w:line="460" w:lineRule="exact"/>
        <w:ind w:firstLine="560" w:firstLineChars="200"/>
        <w:textAlignment w:val="auto"/>
        <w:rPr>
          <w:rFonts w:hint="default" w:cs="宋体"/>
          <w:kern w:val="2"/>
          <w:sz w:val="28"/>
          <w:szCs w:val="20"/>
          <w:lang w:eastAsia="zh-CN"/>
        </w:rPr>
      </w:pPr>
      <w:r>
        <w:rPr>
          <w:rFonts w:hint="default" w:cs="宋体"/>
          <w:kern w:val="2"/>
          <w:sz w:val="28"/>
          <w:szCs w:val="20"/>
          <w:lang w:eastAsia="zh-CN"/>
        </w:rPr>
        <w:t>16、关于社保、公积金。请发行人：</w:t>
      </w:r>
      <w:r>
        <w:rPr>
          <w:rFonts w:hint="default" w:cs="宋体"/>
          <w:kern w:val="2"/>
          <w:sz w:val="28"/>
          <w:szCs w:val="20"/>
          <w:lang w:val="en-US" w:eastAsia="zh-CN"/>
        </w:rPr>
        <w:t>（1）说明发行人社会保险和住房公积金</w:t>
      </w:r>
      <w:r>
        <w:rPr>
          <w:rFonts w:hint="default" w:cs="宋体"/>
          <w:kern w:val="2"/>
          <w:sz w:val="28"/>
          <w:szCs w:val="20"/>
          <w:lang w:eastAsia="zh-CN"/>
        </w:rPr>
        <w:t>是否足额缴纳，如否，说明</w:t>
      </w:r>
      <w:r>
        <w:rPr>
          <w:rFonts w:hint="default" w:cs="宋体"/>
          <w:kern w:val="2"/>
          <w:sz w:val="28"/>
          <w:szCs w:val="20"/>
          <w:lang w:val="en-US" w:eastAsia="zh-CN"/>
        </w:rPr>
        <w:t>原因，如足额缴纳对经营业绩的影响</w:t>
      </w:r>
      <w:r>
        <w:rPr>
          <w:rFonts w:hint="default" w:cs="宋体"/>
          <w:kern w:val="2"/>
          <w:sz w:val="28"/>
          <w:szCs w:val="20"/>
          <w:lang w:eastAsia="zh-CN"/>
        </w:rPr>
        <w:t>及</w:t>
      </w:r>
      <w:r>
        <w:rPr>
          <w:rFonts w:hint="default" w:cs="宋体"/>
          <w:kern w:val="2"/>
          <w:sz w:val="28"/>
          <w:szCs w:val="20"/>
          <w:lang w:val="en-US" w:eastAsia="zh-CN"/>
        </w:rPr>
        <w:t>应对方案。（2）说明是否存在因违反社会保险、住房公积金相关法律法规而受到处罚的情形，是否构成重大违法行为。（3）说明发行人是否存在劳务派遣或劳务外包情况，如存在请披露具体情况及是否符合劳动法律规定。请保荐机构、发行人律师核查并发表明确意见</w:t>
      </w:r>
      <w:r>
        <w:rPr>
          <w:rFonts w:hint="default" w:cs="宋体"/>
          <w:kern w:val="2"/>
          <w:sz w:val="28"/>
          <w:szCs w:val="20"/>
          <w:lang w:eastAsia="zh-CN"/>
        </w:rPr>
        <w:t>。</w:t>
      </w:r>
    </w:p>
    <w:p>
      <w:pPr>
        <w:pStyle w:val="10"/>
        <w:keepNext w:val="0"/>
        <w:keepLines w:val="0"/>
        <w:pageBreakBefore w:val="0"/>
        <w:widowControl w:val="0"/>
        <w:kinsoku/>
        <w:wordWrap/>
        <w:overflowPunct/>
        <w:topLinePunct w:val="0"/>
        <w:autoSpaceDE/>
        <w:autoSpaceDN/>
        <w:bidi w:val="0"/>
        <w:adjustRightInd/>
        <w:snapToGrid/>
        <w:spacing w:after="0" w:line="460" w:lineRule="exact"/>
        <w:ind w:firstLine="560" w:firstLineChars="200"/>
        <w:textAlignment w:val="auto"/>
        <w:rPr>
          <w:rFonts w:hint="default" w:cs="宋体"/>
          <w:kern w:val="2"/>
          <w:sz w:val="28"/>
          <w:szCs w:val="20"/>
          <w:lang w:val="en-US" w:eastAsia="zh-CN"/>
        </w:rPr>
      </w:pPr>
      <w:r>
        <w:rPr>
          <w:rFonts w:hint="default" w:cs="宋体"/>
          <w:kern w:val="2"/>
          <w:sz w:val="28"/>
          <w:szCs w:val="20"/>
          <w:lang w:eastAsia="zh-CN"/>
        </w:rPr>
        <w:t>17、关于合规经营。请发行人：</w:t>
      </w:r>
      <w:r>
        <w:rPr>
          <w:rFonts w:hint="default" w:cs="宋体"/>
          <w:kern w:val="2"/>
          <w:sz w:val="28"/>
          <w:szCs w:val="20"/>
          <w:lang w:val="en-US" w:eastAsia="zh-CN"/>
        </w:rPr>
        <w:t>（1）</w:t>
      </w:r>
      <w:r>
        <w:rPr>
          <w:rFonts w:hint="default" w:cs="宋体"/>
          <w:kern w:val="2"/>
          <w:sz w:val="28"/>
          <w:szCs w:val="20"/>
          <w:lang w:eastAsia="zh-CN"/>
        </w:rPr>
        <w:t>说明</w:t>
      </w:r>
      <w:r>
        <w:rPr>
          <w:rFonts w:hint="default" w:cs="宋体"/>
          <w:kern w:val="2"/>
          <w:sz w:val="28"/>
          <w:szCs w:val="20"/>
          <w:lang w:val="en-US" w:eastAsia="zh-CN"/>
        </w:rPr>
        <w:t>发行人超范围经营业务</w:t>
      </w:r>
      <w:r>
        <w:rPr>
          <w:rFonts w:hint="default" w:cs="宋体"/>
          <w:kern w:val="2"/>
          <w:sz w:val="28"/>
          <w:szCs w:val="20"/>
          <w:lang w:eastAsia="zh-CN"/>
        </w:rPr>
        <w:t>、跨境经营业务</w:t>
      </w:r>
      <w:r>
        <w:rPr>
          <w:rFonts w:hint="default" w:cs="宋体"/>
          <w:kern w:val="2"/>
          <w:sz w:val="28"/>
          <w:szCs w:val="20"/>
          <w:lang w:val="en-US" w:eastAsia="zh-CN"/>
        </w:rPr>
        <w:t>事项具体内容、</w:t>
      </w:r>
      <w:r>
        <w:rPr>
          <w:rFonts w:hint="default" w:cs="宋体"/>
          <w:kern w:val="2"/>
          <w:sz w:val="28"/>
          <w:szCs w:val="20"/>
          <w:lang w:eastAsia="zh-CN"/>
        </w:rPr>
        <w:t>涉及的主体和业务，产生的收入和占比以及</w:t>
      </w:r>
      <w:r>
        <w:rPr>
          <w:rFonts w:hint="default" w:cs="宋体"/>
          <w:kern w:val="2"/>
          <w:sz w:val="28"/>
          <w:szCs w:val="20"/>
          <w:lang w:val="en-US" w:eastAsia="zh-CN"/>
        </w:rPr>
        <w:t>整改情况，并结合相关法律法规对违法行为的情节、性质、责任规定以及主管机关认定意见说明是否</w:t>
      </w:r>
      <w:r>
        <w:rPr>
          <w:rFonts w:hint="default" w:cs="宋体"/>
          <w:kern w:val="2"/>
          <w:sz w:val="28"/>
          <w:szCs w:val="20"/>
          <w:lang w:eastAsia="zh-CN"/>
        </w:rPr>
        <w:t>存在受到行政处罚的风险，是否</w:t>
      </w:r>
      <w:r>
        <w:rPr>
          <w:rFonts w:hint="default" w:cs="宋体"/>
          <w:kern w:val="2"/>
          <w:sz w:val="28"/>
          <w:szCs w:val="20"/>
          <w:lang w:val="en-US" w:eastAsia="zh-CN"/>
        </w:rPr>
        <w:t>属于重大违法违规，是否构成本次发行上市障碍</w:t>
      </w:r>
      <w:r>
        <w:rPr>
          <w:rFonts w:hint="default" w:cs="宋体"/>
          <w:kern w:val="2"/>
          <w:sz w:val="28"/>
          <w:szCs w:val="20"/>
          <w:lang w:eastAsia="zh-CN"/>
        </w:rPr>
        <w:t>，并完善相关风险揭示。</w:t>
      </w:r>
      <w:r>
        <w:rPr>
          <w:rFonts w:hint="default" w:cs="宋体"/>
          <w:kern w:val="2"/>
          <w:sz w:val="28"/>
          <w:szCs w:val="20"/>
          <w:lang w:val="en-US" w:eastAsia="zh-CN"/>
        </w:rPr>
        <w:t>（2）按照《首发业务若干问题解答》相关规定说明报告期内发行人、控股股东、实际控制人是否存在重大违法违规行为，是否对发行上市构成障碍。（3）</w:t>
      </w:r>
      <w:r>
        <w:rPr>
          <w:rFonts w:hint="default" w:cs="宋体"/>
          <w:kern w:val="2"/>
          <w:sz w:val="28"/>
          <w:szCs w:val="20"/>
          <w:lang w:eastAsia="zh-CN"/>
        </w:rPr>
        <w:t>说明</w:t>
      </w:r>
      <w:r>
        <w:rPr>
          <w:rFonts w:hint="default" w:cs="宋体"/>
          <w:kern w:val="2"/>
          <w:sz w:val="28"/>
          <w:szCs w:val="20"/>
          <w:lang w:val="en-US" w:eastAsia="zh-CN"/>
        </w:rPr>
        <w:t>报告期内发行人是否发生产品</w:t>
      </w:r>
      <w:r>
        <w:rPr>
          <w:rFonts w:hint="default" w:cs="宋体"/>
          <w:kern w:val="2"/>
          <w:sz w:val="28"/>
          <w:szCs w:val="20"/>
          <w:lang w:eastAsia="zh-CN"/>
        </w:rPr>
        <w:t>/服务</w:t>
      </w:r>
      <w:r>
        <w:rPr>
          <w:rFonts w:hint="default" w:cs="宋体"/>
          <w:kern w:val="2"/>
          <w:sz w:val="28"/>
          <w:szCs w:val="20"/>
          <w:lang w:val="en-US" w:eastAsia="zh-CN"/>
        </w:rPr>
        <w:t>质量事故或纠纷，是否因产品质量</w:t>
      </w:r>
      <w:r>
        <w:rPr>
          <w:rFonts w:hint="default" w:cs="宋体"/>
          <w:kern w:val="2"/>
          <w:sz w:val="28"/>
          <w:szCs w:val="20"/>
          <w:lang w:eastAsia="zh-CN"/>
        </w:rPr>
        <w:t>/服务</w:t>
      </w:r>
      <w:r>
        <w:rPr>
          <w:rFonts w:hint="default" w:cs="宋体"/>
          <w:kern w:val="2"/>
          <w:sz w:val="28"/>
          <w:szCs w:val="20"/>
          <w:lang w:val="en-US" w:eastAsia="zh-CN"/>
        </w:rPr>
        <w:t>问题受到主管部门处罚或调查，本次申报报告期内发行人的产品</w:t>
      </w:r>
      <w:r>
        <w:rPr>
          <w:rFonts w:hint="default" w:cs="宋体"/>
          <w:kern w:val="2"/>
          <w:sz w:val="28"/>
          <w:szCs w:val="20"/>
          <w:lang w:eastAsia="zh-CN"/>
        </w:rPr>
        <w:t>/服务</w:t>
      </w:r>
      <w:r>
        <w:rPr>
          <w:rFonts w:hint="default" w:cs="宋体"/>
          <w:kern w:val="2"/>
          <w:sz w:val="28"/>
          <w:szCs w:val="20"/>
          <w:lang w:val="en-US" w:eastAsia="zh-CN"/>
        </w:rPr>
        <w:t>质量安全相关检查、处罚、纠纷等情况是否已真实、准确、完整披露，相关风险揭示是否充分。（4）</w:t>
      </w:r>
      <w:r>
        <w:rPr>
          <w:rFonts w:hint="default" w:cs="宋体"/>
          <w:kern w:val="2"/>
          <w:sz w:val="28"/>
          <w:szCs w:val="20"/>
          <w:lang w:eastAsia="zh-CN"/>
        </w:rPr>
        <w:t>说明</w:t>
      </w:r>
      <w:r>
        <w:rPr>
          <w:rFonts w:hint="default" w:cs="宋体"/>
          <w:kern w:val="2"/>
          <w:sz w:val="28"/>
          <w:szCs w:val="20"/>
          <w:lang w:val="en-US" w:eastAsia="zh-CN"/>
        </w:rPr>
        <w:t>发行人是否已建立完善的安全生产管理制度，以及安全生产管理制度的有效性和执行情况，报告期内发行人是否发生安全生产事故，如有，说明具体情况，是否存在纠纷或处罚。（5）</w:t>
      </w:r>
      <w:r>
        <w:rPr>
          <w:rFonts w:hint="default" w:cs="宋体"/>
          <w:kern w:val="2"/>
          <w:sz w:val="28"/>
          <w:szCs w:val="20"/>
          <w:lang w:eastAsia="zh-CN"/>
        </w:rPr>
        <w:t>说明</w:t>
      </w:r>
      <w:r>
        <w:rPr>
          <w:rFonts w:hint="default" w:cs="宋体"/>
          <w:kern w:val="2"/>
          <w:sz w:val="28"/>
          <w:szCs w:val="20"/>
          <w:lang w:val="en-US" w:eastAsia="zh-CN"/>
        </w:rPr>
        <w:t>发行人及控股股东、实际控制人、董监高、主要业务人员是否曾因商业贿赂而受到处罚，是否存在涉及前述各类人员行贿事实的裁判文书或正处于调查取证阶段的案件，若有，是否可能对本次发行构成重大不利影响，是否导致发行人不满足发行条件。请保荐机构和发行人律师核查并发表明确意见。</w:t>
      </w:r>
    </w:p>
    <w:p>
      <w:pPr>
        <w:pStyle w:val="10"/>
        <w:keepNext w:val="0"/>
        <w:keepLines w:val="0"/>
        <w:pageBreakBefore w:val="0"/>
        <w:widowControl w:val="0"/>
        <w:kinsoku/>
        <w:wordWrap/>
        <w:overflowPunct/>
        <w:topLinePunct w:val="0"/>
        <w:autoSpaceDE/>
        <w:autoSpaceDN/>
        <w:bidi w:val="0"/>
        <w:adjustRightInd/>
        <w:snapToGrid/>
        <w:spacing w:after="0" w:line="460" w:lineRule="exact"/>
        <w:ind w:firstLine="560" w:firstLineChars="200"/>
        <w:textAlignment w:val="auto"/>
        <w:rPr>
          <w:rFonts w:hint="default" w:cs="宋体"/>
          <w:kern w:val="2"/>
          <w:sz w:val="28"/>
          <w:szCs w:val="20"/>
          <w:lang w:eastAsia="zh-CN"/>
        </w:rPr>
      </w:pPr>
      <w:r>
        <w:rPr>
          <w:rFonts w:hint="default" w:cs="宋体"/>
          <w:kern w:val="2"/>
          <w:sz w:val="28"/>
          <w:szCs w:val="20"/>
          <w:lang w:eastAsia="zh-CN"/>
        </w:rPr>
        <w:t>18、关于业务资质。</w:t>
      </w:r>
      <w:r>
        <w:rPr>
          <w:rFonts w:hint="default" w:cs="宋体"/>
          <w:kern w:val="2"/>
          <w:sz w:val="28"/>
          <w:szCs w:val="20"/>
          <w:lang w:val="en-US" w:eastAsia="zh-CN"/>
        </w:rPr>
        <w:t>请发行人说明：</w:t>
      </w:r>
      <w:r>
        <w:rPr>
          <w:rFonts w:hint="default" w:cs="宋体"/>
          <w:kern w:val="2"/>
          <w:sz w:val="28"/>
          <w:szCs w:val="20"/>
          <w:lang w:eastAsia="zh-CN"/>
        </w:rPr>
        <w:t>（1）</w:t>
      </w:r>
      <w:r>
        <w:rPr>
          <w:rFonts w:hint="default" w:cs="宋体"/>
          <w:kern w:val="2"/>
          <w:sz w:val="28"/>
          <w:szCs w:val="20"/>
          <w:lang w:val="en-US" w:eastAsia="zh-CN"/>
        </w:rPr>
        <w:t>发行人从事相关生产经营及境外销售是否已取得全部相关资质、许可、认证，报告期内发行人是否持续符合拥有该等资质、许可、认证所需的条件，相关资质、认证、许可的有效期及是否覆盖报告期，是否存在超越许可范围从事生产经营的情形，是否存在受到行政处罚的法律风险。</w:t>
      </w:r>
      <w:r>
        <w:rPr>
          <w:rFonts w:hint="default" w:cs="宋体"/>
          <w:kern w:val="2"/>
          <w:sz w:val="28"/>
          <w:szCs w:val="20"/>
          <w:lang w:eastAsia="zh-CN"/>
        </w:rPr>
        <w:t>（2）发行人在业务开展过程中是否可以获取客户相关商业信息、商业秘密，是否掌握大量个人信息，关于信息系统安全管理制度、个人信息保护管理制度是否健全有效，报告期内是否发生过相关泄密、信息系统故障事故，是否存在随意收集、违法获取、过度使用、泄露个人信息或非法买卖个人信息等情形，是否存在受到行政处罚的风险</w:t>
      </w:r>
      <w:r>
        <w:rPr>
          <w:rFonts w:hint="default" w:cs="宋体"/>
          <w:kern w:val="2"/>
          <w:sz w:val="28"/>
          <w:szCs w:val="20"/>
          <w:lang w:val="en-US" w:eastAsia="zh-CN"/>
        </w:rPr>
        <w:t>。（</w:t>
      </w:r>
      <w:r>
        <w:rPr>
          <w:rFonts w:hint="default" w:cs="宋体"/>
          <w:kern w:val="2"/>
          <w:sz w:val="28"/>
          <w:szCs w:val="20"/>
          <w:lang w:eastAsia="zh-CN"/>
        </w:rPr>
        <w:t>3</w:t>
      </w:r>
      <w:r>
        <w:rPr>
          <w:rFonts w:hint="default" w:cs="宋体"/>
          <w:kern w:val="2"/>
          <w:sz w:val="28"/>
          <w:szCs w:val="20"/>
          <w:lang w:val="en-US" w:eastAsia="zh-CN"/>
        </w:rPr>
        <w:t>）</w:t>
      </w:r>
      <w:r>
        <w:rPr>
          <w:rFonts w:hint="default" w:cs="宋体"/>
          <w:kern w:val="2"/>
          <w:sz w:val="28"/>
          <w:szCs w:val="20"/>
          <w:lang w:eastAsia="zh-CN"/>
        </w:rPr>
        <w:t>生产经营是否符合《</w:t>
      </w:r>
      <w:r>
        <w:rPr>
          <w:rFonts w:hint="default" w:cs="宋体"/>
          <w:kern w:val="2"/>
          <w:sz w:val="28"/>
          <w:szCs w:val="20"/>
          <w:lang w:val="en-US" w:eastAsia="zh-CN"/>
        </w:rPr>
        <w:t>网络安全法</w:t>
      </w:r>
      <w:r>
        <w:rPr>
          <w:rFonts w:hint="default" w:cs="宋体"/>
          <w:kern w:val="2"/>
          <w:sz w:val="28"/>
          <w:szCs w:val="20"/>
          <w:lang w:eastAsia="zh-CN"/>
        </w:rPr>
        <w:t>》《</w:t>
      </w:r>
      <w:r>
        <w:rPr>
          <w:rFonts w:hint="default" w:cs="宋体"/>
          <w:kern w:val="2"/>
          <w:sz w:val="28"/>
          <w:szCs w:val="20"/>
          <w:lang w:val="en-US" w:eastAsia="zh-CN"/>
        </w:rPr>
        <w:t>数据安全法</w:t>
      </w:r>
      <w:r>
        <w:rPr>
          <w:rFonts w:hint="default" w:cs="宋体"/>
          <w:kern w:val="2"/>
          <w:sz w:val="28"/>
          <w:szCs w:val="20"/>
          <w:lang w:eastAsia="zh-CN"/>
        </w:rPr>
        <w:t>》《</w:t>
      </w:r>
      <w:r>
        <w:rPr>
          <w:rFonts w:hint="default" w:cs="宋体"/>
          <w:kern w:val="2"/>
          <w:sz w:val="28"/>
          <w:szCs w:val="20"/>
          <w:lang w:val="en-US" w:eastAsia="zh-CN"/>
        </w:rPr>
        <w:t>个人信息保护法</w:t>
      </w:r>
      <w:r>
        <w:rPr>
          <w:rFonts w:hint="default" w:cs="宋体"/>
          <w:kern w:val="2"/>
          <w:sz w:val="28"/>
          <w:szCs w:val="20"/>
          <w:lang w:eastAsia="zh-CN"/>
        </w:rPr>
        <w:t>》</w:t>
      </w:r>
      <w:r>
        <w:rPr>
          <w:rFonts w:hint="default" w:cs="宋体"/>
          <w:kern w:val="2"/>
          <w:sz w:val="28"/>
          <w:szCs w:val="20"/>
          <w:lang w:val="en-US" w:eastAsia="zh-CN"/>
        </w:rPr>
        <w:t>《网络数据安全管理条例（征求意见稿）》</w:t>
      </w:r>
      <w:r>
        <w:rPr>
          <w:rFonts w:hint="default" w:cs="宋体"/>
          <w:kern w:val="2"/>
          <w:sz w:val="28"/>
          <w:szCs w:val="20"/>
          <w:lang w:eastAsia="zh-CN"/>
        </w:rPr>
        <w:t>等相关规定，是否应履行网络安全审核，是否存在纠纷或潜在纠纷，相关风险是否充分揭示。</w:t>
      </w:r>
    </w:p>
    <w:p>
      <w:pPr>
        <w:pStyle w:val="10"/>
        <w:keepNext w:val="0"/>
        <w:keepLines w:val="0"/>
        <w:pageBreakBefore w:val="0"/>
        <w:widowControl w:val="0"/>
        <w:kinsoku/>
        <w:wordWrap/>
        <w:overflowPunct/>
        <w:topLinePunct w:val="0"/>
        <w:autoSpaceDE/>
        <w:autoSpaceDN/>
        <w:bidi w:val="0"/>
        <w:adjustRightInd/>
        <w:snapToGrid/>
        <w:spacing w:after="0" w:line="460" w:lineRule="exact"/>
        <w:ind w:firstLine="560" w:firstLineChars="200"/>
        <w:textAlignment w:val="auto"/>
        <w:rPr>
          <w:rFonts w:hint="default" w:cs="宋体"/>
          <w:kern w:val="2"/>
          <w:sz w:val="28"/>
          <w:szCs w:val="20"/>
          <w:lang w:eastAsia="zh-CN"/>
        </w:rPr>
      </w:pPr>
      <w:r>
        <w:rPr>
          <w:rFonts w:hint="default" w:cs="宋体"/>
          <w:kern w:val="2"/>
          <w:sz w:val="28"/>
          <w:szCs w:val="20"/>
          <w:lang w:eastAsia="zh-CN"/>
        </w:rPr>
        <w:t>19、关于行业政策。一线城市在政策层面对数据中心建设进行了较为严格的限制和管理。请发行人：（1）根据发行人主要生产经营地对数据中心产业调控政策的具体内容，说明发行人数据中心生产经营、新建和扩建以及本次募投项目是否符合产业政策要求，是否存在违法违规情形。（2）说明未来数据中心限制和调控政策是否可能进一步趋严，发行人相关数据中心是否面临停工停业、技术改造升级从而导致业绩下滑的风险，对发行人持续经营能力是否构成重大不利影响，并完善相关风险揭示。</w:t>
      </w:r>
      <w:r>
        <w:rPr>
          <w:rFonts w:hint="default" w:cs="宋体"/>
          <w:kern w:val="2"/>
          <w:sz w:val="28"/>
          <w:szCs w:val="20"/>
          <w:lang w:val="en-US" w:eastAsia="zh-CN"/>
        </w:rPr>
        <w:t>请保荐机构和发行人律师核查并发表明确意见</w:t>
      </w:r>
      <w:r>
        <w:rPr>
          <w:rFonts w:hint="default" w:cs="宋体"/>
          <w:kern w:val="2"/>
          <w:sz w:val="28"/>
          <w:szCs w:val="20"/>
          <w:lang w:eastAsia="zh-CN"/>
        </w:rPr>
        <w:t>。</w:t>
      </w:r>
    </w:p>
    <w:p>
      <w:pPr>
        <w:pStyle w:val="10"/>
        <w:keepNext w:val="0"/>
        <w:keepLines w:val="0"/>
        <w:pageBreakBefore w:val="0"/>
        <w:widowControl w:val="0"/>
        <w:kinsoku/>
        <w:wordWrap/>
        <w:overflowPunct/>
        <w:topLinePunct w:val="0"/>
        <w:autoSpaceDE/>
        <w:autoSpaceDN/>
        <w:bidi w:val="0"/>
        <w:adjustRightInd/>
        <w:snapToGrid/>
        <w:spacing w:after="0" w:line="460" w:lineRule="exact"/>
        <w:ind w:firstLine="560" w:firstLineChars="200"/>
        <w:textAlignment w:val="auto"/>
        <w:rPr>
          <w:rFonts w:hint="default" w:cs="宋体"/>
          <w:kern w:val="2"/>
          <w:sz w:val="28"/>
          <w:szCs w:val="20"/>
          <w:lang w:eastAsia="zh-CN"/>
        </w:rPr>
      </w:pPr>
      <w:r>
        <w:rPr>
          <w:rFonts w:hint="default" w:cs="宋体"/>
          <w:kern w:val="2"/>
          <w:sz w:val="28"/>
          <w:szCs w:val="20"/>
          <w:lang w:eastAsia="zh-CN"/>
        </w:rPr>
        <w:t>20、关于诉讼、仲裁。请发行人说明：报告期内发行人及控股股东、实际控制人、董事、监事、高级管理人员及核心技术人员是否存在未披露的诉讼、仲裁事项，如有，相关诉讼、仲裁的案件受理情况和基本案情，诉讼或仲裁请求，判决、裁决结果及执行情况，诉讼或仲裁事项对发行人的影响等。请保荐机构、发行人律师核查并发表意见。</w:t>
      </w:r>
    </w:p>
    <w:p>
      <w:pPr>
        <w:pStyle w:val="10"/>
        <w:keepNext w:val="0"/>
        <w:keepLines w:val="0"/>
        <w:pageBreakBefore w:val="0"/>
        <w:widowControl w:val="0"/>
        <w:kinsoku/>
        <w:wordWrap/>
        <w:overflowPunct/>
        <w:topLinePunct w:val="0"/>
        <w:autoSpaceDE/>
        <w:autoSpaceDN/>
        <w:bidi w:val="0"/>
        <w:adjustRightInd/>
        <w:snapToGrid/>
        <w:spacing w:after="0" w:line="460" w:lineRule="exact"/>
        <w:ind w:firstLine="560" w:firstLineChars="200"/>
        <w:textAlignment w:val="auto"/>
        <w:rPr>
          <w:rFonts w:hint="default" w:cs="宋体"/>
          <w:kern w:val="2"/>
          <w:sz w:val="28"/>
          <w:szCs w:val="20"/>
          <w:lang w:eastAsia="zh-CN"/>
        </w:rPr>
      </w:pPr>
      <w:r>
        <w:rPr>
          <w:rFonts w:hint="default" w:cs="宋体"/>
          <w:kern w:val="2"/>
          <w:sz w:val="28"/>
          <w:szCs w:val="20"/>
          <w:lang w:eastAsia="zh-CN"/>
        </w:rPr>
        <w:t>21、关于知识产权。发行人存在受让取得专利权情形。请发行人说明：（1）发行人受让取得知识产权的转让方、转让时间、转让价格及其公允性，受让取得的知识产权是否系发行人生产经营主要资产，发行人与转让方是否存在权属纠纷，如系来自于控股股东、实际控制人，请按照《首发业务若干问题解答》进行全面分析论证。（2）发行人是否存在使用他人知识产权的情形，如存在，请说明是否构成侵权行为及对发行人的影响。（3）发行人许可他人使用知识产权的情况、原因及商业合理性，是否存在相关利益安排，是否存在争议或纠纷。（4）发行人是否存在知识产权的侵权纠纷，如存在，具体情况，对发行人的影响。（5）相关知识产权管理的内部控制制度是否建立健全并有效运行，保护范围是否覆盖公司全部产品。请保荐机构和发行人律师核查并发表明确意见</w:t>
      </w:r>
      <w:r>
        <w:rPr>
          <w:rFonts w:hint="default" w:cs="宋体"/>
          <w:kern w:val="2"/>
          <w:sz w:val="28"/>
          <w:szCs w:val="20"/>
          <w:lang w:val="en-US" w:eastAsia="zh-CN"/>
        </w:rPr>
        <w:t>。</w:t>
      </w:r>
    </w:p>
    <w:p>
      <w:pPr>
        <w:pStyle w:val="10"/>
        <w:keepNext w:val="0"/>
        <w:keepLines w:val="0"/>
        <w:pageBreakBefore w:val="0"/>
        <w:kinsoku/>
        <w:wordWrap/>
        <w:overflowPunct/>
        <w:topLinePunct w:val="0"/>
        <w:autoSpaceDE/>
        <w:autoSpaceDN/>
        <w:bidi w:val="0"/>
        <w:adjustRightInd/>
        <w:snapToGrid/>
        <w:spacing w:after="0" w:line="460" w:lineRule="exact"/>
        <w:ind w:firstLine="560" w:firstLineChars="200"/>
        <w:textAlignment w:val="auto"/>
        <w:rPr>
          <w:rFonts w:hint="default" w:cs="宋体"/>
          <w:kern w:val="2"/>
          <w:sz w:val="28"/>
          <w:szCs w:val="20"/>
          <w:lang w:val="en-US" w:eastAsia="zh-CN"/>
        </w:rPr>
      </w:pPr>
      <w:r>
        <w:rPr>
          <w:rFonts w:hint="default" w:cs="宋体"/>
          <w:kern w:val="2"/>
          <w:sz w:val="28"/>
          <w:szCs w:val="20"/>
          <w:lang w:eastAsia="zh-CN"/>
        </w:rPr>
        <w:t>22、关于董监高。</w:t>
      </w:r>
      <w:r>
        <w:rPr>
          <w:rFonts w:hint="default" w:cs="宋体"/>
          <w:kern w:val="2"/>
          <w:sz w:val="28"/>
          <w:szCs w:val="20"/>
          <w:lang w:val="en-US" w:eastAsia="zh-CN"/>
        </w:rPr>
        <w:t>请发行人：（1）</w:t>
      </w:r>
      <w:r>
        <w:rPr>
          <w:rFonts w:hint="default" w:cs="宋体"/>
          <w:kern w:val="2"/>
          <w:sz w:val="28"/>
          <w:szCs w:val="20"/>
          <w:lang w:eastAsia="zh-CN"/>
        </w:rPr>
        <w:t>说明</w:t>
      </w:r>
      <w:r>
        <w:rPr>
          <w:rFonts w:hint="default" w:cs="宋体"/>
          <w:kern w:val="2"/>
          <w:sz w:val="28"/>
          <w:szCs w:val="20"/>
          <w:lang w:val="en-US" w:eastAsia="zh-CN"/>
        </w:rPr>
        <w:t>董事、监事、高级管理人员任职是否具备任职资格，独立董事任职是否符合党政领导干部在企业兼职（任职）的相关规定。（2）结合发行人董事、高级管理人员、监事、核心技术人员的履历，说明是否有人员曾任职于竞争对手；如有，是否存在竞业禁止协议，其在发行人任职期间的研究项目、申请的专利是否与原工作内容相关，是否侵犯原单位知识产权，是否存在纠纷或潜在纠纷。（3）</w:t>
      </w:r>
      <w:r>
        <w:rPr>
          <w:rFonts w:hint="default" w:cs="宋体"/>
          <w:kern w:val="2"/>
          <w:sz w:val="28"/>
          <w:szCs w:val="20"/>
          <w:lang w:eastAsia="zh-CN"/>
        </w:rPr>
        <w:t>说明</w:t>
      </w:r>
      <w:r>
        <w:rPr>
          <w:rFonts w:hint="default" w:cs="宋体"/>
          <w:kern w:val="2"/>
          <w:sz w:val="28"/>
          <w:szCs w:val="20"/>
          <w:lang w:val="en-US" w:eastAsia="zh-CN"/>
        </w:rPr>
        <w:t>发行人最近3年董事、监事、高管发生变化情况、原因，最近3年内董事、监事、高级管理人员的变动是否构成重大变化，是否构成发行上市障碍。请保荐机构和发行人律师进行核查并发表明确意见。</w:t>
      </w:r>
    </w:p>
    <w:p>
      <w:pPr>
        <w:pStyle w:val="10"/>
        <w:keepNext w:val="0"/>
        <w:keepLines w:val="0"/>
        <w:pageBreakBefore w:val="0"/>
        <w:kinsoku/>
        <w:wordWrap/>
        <w:overflowPunct/>
        <w:topLinePunct w:val="0"/>
        <w:autoSpaceDE/>
        <w:autoSpaceDN/>
        <w:bidi w:val="0"/>
        <w:adjustRightInd/>
        <w:snapToGrid/>
        <w:spacing w:after="0" w:line="460" w:lineRule="exact"/>
        <w:ind w:firstLine="560" w:firstLineChars="200"/>
        <w:textAlignment w:val="auto"/>
        <w:rPr>
          <w:rFonts w:hint="default" w:cs="宋体"/>
          <w:kern w:val="2"/>
          <w:sz w:val="28"/>
          <w:szCs w:val="20"/>
          <w:lang w:eastAsia="zh-CN"/>
        </w:rPr>
      </w:pPr>
      <w:r>
        <w:rPr>
          <w:rFonts w:hint="default" w:cs="宋体"/>
          <w:kern w:val="2"/>
          <w:sz w:val="28"/>
          <w:szCs w:val="20"/>
          <w:lang w:eastAsia="zh-CN"/>
        </w:rPr>
        <w:t>23、关于新三板挂牌。2016年3月14日，发行人的股票在股转系统挂牌公开转让，自2021年4月29日起终止在全国中小企业股份转让系统挂牌。请发行人说明：（1）股份在新三板挂牌期间的交易情况，发行人股东中是否存在三类股东、是否存在股东超200人情形，挂牌期间的所有公开披露信息与本次申请文件和财务报告披露的内容是否存在实质性差异，如有，请列示对照表予以解释说明。（2）挂牌后在董事会或股东大会决策、股份交易、信息披露、增发股份等方面的合法合规性，是否履行必要的程序，是否存在违法违规情形，是否构成本次发行上市的法律障碍。（3）发行人终止挂牌的原因，是否履行必要的程序。对于异议股东回购股份是否履行相关程序，是否损害发行人或异议股东方合法权益，是否存在纠纷或潜在纠纷，是否还存在未回购的异议股东。请保荐机构及发行人律师对上述问题核查并发表明确意见。</w:t>
      </w:r>
    </w:p>
    <w:p>
      <w:pPr>
        <w:pStyle w:val="10"/>
        <w:keepNext w:val="0"/>
        <w:keepLines w:val="0"/>
        <w:pageBreakBefore w:val="0"/>
        <w:kinsoku/>
        <w:wordWrap/>
        <w:overflowPunct/>
        <w:topLinePunct w:val="0"/>
        <w:autoSpaceDE/>
        <w:autoSpaceDN/>
        <w:bidi w:val="0"/>
        <w:adjustRightInd/>
        <w:snapToGrid/>
        <w:spacing w:after="0" w:line="460" w:lineRule="exact"/>
        <w:ind w:firstLine="560" w:firstLineChars="200"/>
        <w:textAlignment w:val="auto"/>
        <w:rPr>
          <w:rFonts w:hint="default" w:cs="宋体"/>
          <w:kern w:val="2"/>
          <w:sz w:val="28"/>
          <w:szCs w:val="20"/>
          <w:lang w:eastAsia="zh-CN"/>
        </w:rPr>
      </w:pPr>
      <w:r>
        <w:rPr>
          <w:rFonts w:hint="default" w:cs="宋体"/>
          <w:kern w:val="2"/>
          <w:sz w:val="28"/>
          <w:szCs w:val="20"/>
          <w:lang w:eastAsia="zh-CN"/>
        </w:rPr>
        <w:t>24、关于募集资金运用。本次募集资金在扣除发行费用后拟用于尚航华东云基地二期数据中心项目、补充流动资金。请发行人：（1）说明募投项目是否均已取得相关备案及环保批准文件，是否已取得募投用地，如未取得，披露募投用地的计划、进展，是否存在重大不确定性，并完善相关风险提示。（2）结合宏观市场环境、下游市场需求、行业竞争态势、市场开拓，说明本次募投项目实施的必要性及合理性，募投项目新增产能对应客户及与客户销售规模的匹配性，是否存在新增产能无法消化的风险。（3）结合账面可用货币资金、现金流变动、报告期内现金分红等情况说明补充流动资金的具体用途、合理性、必要性。请保荐机构、发行人律师核查并发表意见。</w:t>
      </w:r>
    </w:p>
    <w:p>
      <w:pPr>
        <w:keepNext w:val="0"/>
        <w:keepLines w:val="0"/>
        <w:pageBreakBefore w:val="0"/>
        <w:widowControl/>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460" w:lineRule="exact"/>
        <w:ind w:firstLine="560" w:firstLineChars="200"/>
        <w:textAlignment w:val="auto"/>
        <w:outlineLvl w:val="9"/>
        <w:rPr>
          <w:rFonts w:ascii="Times New Roman" w:hAnsi="Times New Roman" w:eastAsia="宋体" w:cs="Times New Roman"/>
          <w:sz w:val="28"/>
          <w:szCs w:val="28"/>
          <w:highlight w:val="none"/>
        </w:rPr>
      </w:pPr>
      <w:r>
        <w:rPr>
          <w:rFonts w:hint="default" w:ascii="Times New Roman" w:hAnsi="Times New Roman" w:cs="Times New Roman"/>
          <w:sz w:val="28"/>
          <w:szCs w:val="28"/>
          <w:highlight w:val="none"/>
        </w:rPr>
        <w:t>25</w:t>
      </w:r>
      <w:r>
        <w:rPr>
          <w:rFonts w:hint="default" w:ascii="Times New Roman" w:hAnsi="Times New Roman" w:eastAsia="宋体" w:cs="Times New Roman"/>
          <w:sz w:val="28"/>
          <w:szCs w:val="28"/>
          <w:highlight w:val="none"/>
        </w:rPr>
        <w:t>、</w:t>
      </w:r>
      <w:r>
        <w:rPr>
          <w:rFonts w:ascii="Times New Roman" w:hAnsi="Times New Roman" w:eastAsia="宋体" w:cs="Times New Roman"/>
          <w:sz w:val="28"/>
          <w:szCs w:val="28"/>
          <w:highlight w:val="none"/>
        </w:rPr>
        <w:t>报告期内，发行人的期间费用金额分别为3,868.79万元、4,518.96万元和4,846.24万元。请发行人：（1）结合销售人员、管理人员、研发人员的人数变动、平均工资水平、薪酬政策等，说明职工薪酬变动的合理性；比较说明发行人不同职级平均薪酬水平与同行业可比公司、当地平均工资水平的差异；（2）补充说明销售费用、管理费用中职工薪酬福利较高、主营业务成本中人工工资较低的合理性，与同行业可比公司是否一致；（3）补充说明销售费用中业务招待费的明细构成、交易对手方的基本情况及确认依据；（4）补充说明报告期内管理费用中咨询服务费的主要内容及明细情况。请保荐机构、申报会计师核查并发表核查意见。</w:t>
      </w:r>
    </w:p>
    <w:p>
      <w:pPr>
        <w:keepNext w:val="0"/>
        <w:keepLines w:val="0"/>
        <w:pageBreakBefore w:val="0"/>
        <w:widowControl/>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460" w:lineRule="exact"/>
        <w:ind w:firstLine="560" w:firstLineChars="200"/>
        <w:textAlignment w:val="auto"/>
        <w:outlineLvl w:val="9"/>
        <w:rPr>
          <w:rFonts w:ascii="Times New Roman" w:hAnsi="Times New Roman" w:eastAsia="宋体" w:cs="Times New Roman"/>
          <w:sz w:val="28"/>
          <w:szCs w:val="28"/>
          <w:highlight w:val="none"/>
        </w:rPr>
      </w:pPr>
      <w:r>
        <w:rPr>
          <w:rFonts w:hint="default" w:ascii="Times New Roman" w:hAnsi="Times New Roman" w:cs="Times New Roman"/>
          <w:sz w:val="28"/>
          <w:szCs w:val="28"/>
          <w:highlight w:val="none"/>
        </w:rPr>
        <w:t>26</w:t>
      </w:r>
      <w:r>
        <w:rPr>
          <w:rFonts w:hint="default" w:ascii="Times New Roman" w:hAnsi="Times New Roman" w:eastAsia="宋体" w:cs="Times New Roman"/>
          <w:sz w:val="28"/>
          <w:szCs w:val="28"/>
          <w:highlight w:val="none"/>
        </w:rPr>
        <w:t>、</w:t>
      </w:r>
      <w:r>
        <w:rPr>
          <w:rFonts w:ascii="Times New Roman" w:hAnsi="Times New Roman" w:eastAsia="宋体" w:cs="Times New Roman"/>
          <w:sz w:val="28"/>
          <w:szCs w:val="28"/>
          <w:highlight w:val="none"/>
        </w:rPr>
        <w:t>报告期各期，经营活动产生的现金流量净额分别为9,861.55万元、8,366.38万元和8,357.45万元。请发行人：（1）结合行业情况、发行人业务特征、结算政策等，说明报告期内经营活动产生的现金流量净额波动的原因，并分析其与当期净利润的差异原因及合理性，说明是否符合行业特征；（2）说明投资活动产生的现金流量净额和筹资活动产生的现金流量净额在报告期内波动较大的原因，以及与资产负债表、利润表中相关项目的勾稽关系是否相符。请保荐机构、会计师核查上述事项，并发表明确意见。</w:t>
      </w:r>
    </w:p>
    <w:p>
      <w:pPr>
        <w:keepNext w:val="0"/>
        <w:keepLines w:val="0"/>
        <w:pageBreakBefore w:val="0"/>
        <w:widowControl/>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460" w:lineRule="exact"/>
        <w:ind w:firstLine="560" w:firstLineChars="200"/>
        <w:textAlignment w:val="auto"/>
        <w:outlineLvl w:val="9"/>
        <w:rPr>
          <w:rFonts w:ascii="Times New Roman" w:hAnsi="Times New Roman" w:eastAsia="宋体" w:cs="Times New Roman"/>
          <w:sz w:val="28"/>
          <w:szCs w:val="28"/>
          <w:highlight w:val="none"/>
        </w:rPr>
      </w:pPr>
      <w:r>
        <w:rPr>
          <w:rFonts w:hint="default" w:ascii="Times New Roman" w:hAnsi="Times New Roman" w:cs="Times New Roman"/>
          <w:sz w:val="28"/>
          <w:szCs w:val="28"/>
          <w:highlight w:val="none"/>
        </w:rPr>
        <w:t>27</w:t>
      </w:r>
      <w:r>
        <w:rPr>
          <w:rFonts w:hint="default" w:ascii="Times New Roman" w:hAnsi="Times New Roman" w:eastAsia="宋体" w:cs="Times New Roman"/>
          <w:sz w:val="28"/>
          <w:szCs w:val="28"/>
          <w:highlight w:val="none"/>
        </w:rPr>
        <w:t>、</w:t>
      </w:r>
      <w:r>
        <w:rPr>
          <w:rFonts w:ascii="Times New Roman" w:hAnsi="Times New Roman" w:eastAsia="宋体" w:cs="Times New Roman"/>
          <w:sz w:val="28"/>
          <w:szCs w:val="28"/>
          <w:highlight w:val="none"/>
        </w:rPr>
        <w:t>报告期内，发行人关联销售的金额分别为12,556.30万元、12,658.22万元、9,406.41万元，分别占当期主营业务收入的比例为39.06%、30.50%和20.42%，关联采购的金额分别为185.40万元、3,907.92万元和4,438.14万元，分别占当期主营业务成本的比例为0.72%、12.38%和13.16%。请发行人：（1）补充披露报告期内发行人向广州津虹、虎牙科技、广州华多、虎牙信息的关联销售金额较大的原因及必要性，说明发行人向其销售金额占其采购同类商品的比例，并说明报告期内关联销售金额波动较大的原因及合理性；（2）补充说明报告期内向怀来云交换采购IDC资源的原因及必要性，说明发行人向其采购金额占采购同类产品的比例，发行人是否对怀来云交换存在重大依赖；（3）补充说明报告期内公司向关联方销售的产品类型、数量、收费标准/单价及金额，与向独立第三方销售的同类型产品进行对比分析，说明关联销售价格的公允性和关联销售的必要性；（4）补充说明报告期内公司向关联方采购的原材料类型、数量、单价及金额，与向独立第三方采购的同类型产品进行对比分析，说明关联采购价格的公允性和关联采购的必要性；（5）补充说明上述关联交易是否影响发行人的经营独立性，是否存在通过关联交易调节发行人收入利润或成本费用的情形；（6）补充说明公司前任董事会秘书洪铨言及其配偶赵伟锋于2018年9月由发行人处借款合计116万元的原因、资金来源、资金流向及资金用途，说明是否存在通过发行人高管进行体外支付的情形；（7）怀来云交换、亿安天下为发行人保留2,800个机柜10年独家运营权，说明发行人支付的机柜预留费是否公允；（8）补充说明报告期内发行人与广州动景的业务往来情况及具体金额，广州动景是否通过降低持股比例后转让股权的方式降低关联交易金额。请保荐机构、申报会计师对上述问题进行核查，并说明是否存在关联方为发行人承担各类成本费用、对发行人进行利益输送或存在其他利益安排的情形，并说明上述核查过程并发表明确意见。</w:t>
      </w:r>
    </w:p>
    <w:p>
      <w:pPr>
        <w:keepNext w:val="0"/>
        <w:keepLines w:val="0"/>
        <w:pageBreakBefore w:val="0"/>
        <w:widowControl/>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460" w:lineRule="exact"/>
        <w:ind w:firstLine="560" w:firstLineChars="200"/>
        <w:textAlignment w:val="auto"/>
        <w:outlineLvl w:val="9"/>
        <w:rPr>
          <w:rFonts w:ascii="Times New Roman" w:hAnsi="Times New Roman" w:eastAsia="宋体" w:cs="Times New Roman"/>
          <w:sz w:val="28"/>
          <w:szCs w:val="28"/>
          <w:highlight w:val="none"/>
        </w:rPr>
      </w:pPr>
      <w:r>
        <w:rPr>
          <w:rFonts w:hint="default" w:ascii="Times New Roman" w:hAnsi="Times New Roman" w:cs="Times New Roman"/>
          <w:sz w:val="28"/>
          <w:szCs w:val="28"/>
          <w:highlight w:val="none"/>
        </w:rPr>
        <w:t>28</w:t>
      </w:r>
      <w:r>
        <w:rPr>
          <w:rFonts w:hint="default" w:ascii="Times New Roman" w:hAnsi="Times New Roman" w:eastAsia="宋体" w:cs="Times New Roman"/>
          <w:sz w:val="28"/>
          <w:szCs w:val="28"/>
          <w:highlight w:val="none"/>
        </w:rPr>
        <w:t>、</w:t>
      </w:r>
      <w:r>
        <w:rPr>
          <w:rFonts w:ascii="Times New Roman" w:hAnsi="Times New Roman" w:eastAsia="宋体" w:cs="Times New Roman"/>
          <w:sz w:val="28"/>
          <w:szCs w:val="28"/>
          <w:highlight w:val="none"/>
        </w:rPr>
        <w:t>请发行人补充说明报告期内是否存在现金交易、第三方回款、转贷、开具或使用无真实交易背景的票据、个人账户收款、以内部凭证作为会计核算原始凭证、与控股股东共用财务系统、财务人员等情形，如存在，请补充披露具体情形，是否符合行业特征，是否符合相关规则要求，是否制定针对性的内部控制制定并执行有效，相关财务不规范情形是否整改。请保荐机构、申报会计师根据《首发业务若干问题解答》核查上述事项，并对上述事项及发行人财务规范性、内控有效性发表明确意见。</w:t>
      </w:r>
    </w:p>
    <w:p>
      <w:pPr>
        <w:keepNext w:val="0"/>
        <w:keepLines w:val="0"/>
        <w:pageBreakBefore w:val="0"/>
        <w:widowControl/>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460" w:lineRule="exact"/>
        <w:ind w:firstLine="560" w:firstLineChars="200"/>
        <w:textAlignment w:val="auto"/>
        <w:outlineLvl w:val="9"/>
        <w:rPr>
          <w:rFonts w:ascii="Times New Roman" w:hAnsi="Times New Roman" w:eastAsia="宋体" w:cs="Times New Roman"/>
          <w:sz w:val="28"/>
          <w:szCs w:val="28"/>
          <w:highlight w:val="none"/>
        </w:rPr>
      </w:pPr>
      <w:r>
        <w:rPr>
          <w:rFonts w:hint="default" w:ascii="Times New Roman" w:hAnsi="Times New Roman" w:cs="Times New Roman"/>
          <w:sz w:val="28"/>
          <w:szCs w:val="28"/>
          <w:highlight w:val="none"/>
        </w:rPr>
        <w:t>29</w:t>
      </w:r>
      <w:r>
        <w:rPr>
          <w:rFonts w:hint="default" w:ascii="Times New Roman" w:hAnsi="Times New Roman" w:eastAsia="宋体" w:cs="Times New Roman"/>
          <w:sz w:val="28"/>
          <w:szCs w:val="28"/>
          <w:highlight w:val="none"/>
        </w:rPr>
        <w:t>、</w:t>
      </w:r>
      <w:r>
        <w:rPr>
          <w:rFonts w:ascii="Times New Roman" w:hAnsi="Times New Roman" w:eastAsia="宋体" w:cs="Times New Roman"/>
          <w:sz w:val="28"/>
          <w:szCs w:val="28"/>
          <w:highlight w:val="none"/>
        </w:rPr>
        <w:t>发行人经历多次增资和股权转让。请发行人说明：（1）历次增资或股权转让的背景，增资或股权转让对象中发行人的任职情况；报告期内历次增资或股权转让的价格、定价依据及公允性，对应上年及股权变动当年的市盈率；相邻增资或股权转让价格是否存在重大差异，并说明各次价格存在较大差异的原因；（2）历次增资或股权转让是否适用《企业会计准则—股份支付》的情形，如适用，请说明股份支付相关权益工具公允价值的计量方法和结果是否合理，各期股份支付费用的金额和确认方式，会计处理是否恰当。请保荐机构、申报会计师对上述事项进行核查，并发表明确意见。</w:t>
      </w:r>
    </w:p>
    <w:p>
      <w:pPr>
        <w:keepNext w:val="0"/>
        <w:keepLines w:val="0"/>
        <w:pageBreakBefore w:val="0"/>
        <w:widowControl/>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460" w:lineRule="exact"/>
        <w:ind w:firstLine="560" w:firstLineChars="200"/>
        <w:textAlignment w:val="auto"/>
        <w:outlineLvl w:val="9"/>
        <w:rPr>
          <w:rFonts w:ascii="Times New Roman" w:hAnsi="Times New Roman" w:eastAsia="宋体" w:cs="Times New Roman"/>
          <w:sz w:val="28"/>
          <w:szCs w:val="28"/>
          <w:highlight w:val="none"/>
        </w:rPr>
      </w:pPr>
      <w:r>
        <w:rPr>
          <w:rFonts w:hint="default" w:ascii="Times New Roman" w:hAnsi="Times New Roman" w:cs="Times New Roman"/>
          <w:sz w:val="28"/>
          <w:szCs w:val="28"/>
          <w:highlight w:val="none"/>
        </w:rPr>
        <w:t>30</w:t>
      </w:r>
      <w:r>
        <w:rPr>
          <w:rFonts w:hint="default" w:ascii="Times New Roman" w:hAnsi="Times New Roman" w:eastAsia="宋体" w:cs="Times New Roman"/>
          <w:sz w:val="28"/>
          <w:szCs w:val="28"/>
          <w:highlight w:val="none"/>
        </w:rPr>
        <w:t>、</w:t>
      </w:r>
      <w:r>
        <w:rPr>
          <w:rFonts w:ascii="Times New Roman" w:hAnsi="Times New Roman" w:eastAsia="宋体" w:cs="Times New Roman"/>
          <w:sz w:val="28"/>
          <w:szCs w:val="28"/>
          <w:highlight w:val="none"/>
        </w:rPr>
        <w:t>2016年3月，发行人在全国中小企业股份转让系统挂牌，2021年4月终止挂牌。请发行人：（1）说明在新三板挂牌期间股权转让的原因，入股价格及其公允性，相关股东是否与发行人及其关联方，发行人的主要客户供应商存在关联关系；（2）说明在新三板挂牌期间的所有公开披露信息与本次申请文件和财务报告的差异情况，请以对照表形式予以解释说明。请保荐机构和申报会计师核查并发表明确意见。</w:t>
      </w:r>
    </w:p>
    <w:p>
      <w:pPr>
        <w:keepNext w:val="0"/>
        <w:keepLines w:val="0"/>
        <w:pageBreakBefore w:val="0"/>
        <w:widowControl/>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460" w:lineRule="exact"/>
        <w:ind w:firstLine="560" w:firstLineChars="200"/>
        <w:textAlignment w:val="auto"/>
        <w:outlineLvl w:val="9"/>
        <w:rPr>
          <w:rFonts w:hint="default" w:ascii="Times New Roman" w:hAnsi="Times New Roman" w:eastAsia="宋体" w:cs="Times New Roman"/>
          <w:sz w:val="28"/>
          <w:szCs w:val="28"/>
          <w:highlight w:val="none"/>
        </w:rPr>
      </w:pPr>
      <w:r>
        <w:rPr>
          <w:rFonts w:hint="default" w:ascii="Times New Roman" w:hAnsi="Times New Roman" w:cs="Times New Roman"/>
          <w:sz w:val="28"/>
          <w:szCs w:val="28"/>
          <w:highlight w:val="none"/>
        </w:rPr>
        <w:t>31</w:t>
      </w:r>
      <w:r>
        <w:rPr>
          <w:rFonts w:hint="default" w:ascii="Times New Roman" w:hAnsi="Times New Roman" w:eastAsia="宋体" w:cs="Times New Roman"/>
          <w:sz w:val="28"/>
          <w:szCs w:val="28"/>
          <w:highlight w:val="none"/>
        </w:rPr>
        <w:t>、</w:t>
      </w:r>
      <w:r>
        <w:rPr>
          <w:rFonts w:ascii="Times New Roman" w:hAnsi="Times New Roman" w:eastAsia="宋体" w:cs="Times New Roman"/>
          <w:sz w:val="28"/>
          <w:szCs w:val="28"/>
          <w:highlight w:val="none"/>
        </w:rPr>
        <w:t>关于对赌协议。请发行人：（1）说明历次对赌中，发行人是否作为股权回购等对赌条款的当事人，是否承担股权回购义务；（2）说明对赌条款解除情况，论证在对赌回购条款完全解除前，相关投资事项作为权益工具核算的合规性，是否符合会计准则中权益工具“无条件地避免以交付现金或其他金融资产来履行分配义务”的规定，是否符合监管指引会计类第1号的要求，是否应当作为金融负债列报。请保荐机构、发行人律师、申报会计师对上述事项进行核查，并发表意见。</w:t>
      </w:r>
    </w:p>
    <w:p>
      <w:pPr>
        <w:keepNext w:val="0"/>
        <w:keepLines w:val="0"/>
        <w:pageBreakBefore w:val="0"/>
        <w:widowControl/>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460" w:lineRule="exact"/>
        <w:ind w:firstLine="560" w:firstLineChars="200"/>
        <w:textAlignment w:val="auto"/>
        <w:outlineLvl w:val="9"/>
        <w:rPr>
          <w:rFonts w:ascii="Times New Roman" w:hAnsi="Times New Roman" w:eastAsia="宋体" w:cs="Times New Roman"/>
          <w:sz w:val="28"/>
          <w:szCs w:val="28"/>
          <w:highlight w:val="none"/>
        </w:rPr>
      </w:pPr>
      <w:r>
        <w:rPr>
          <w:rFonts w:hint="default" w:ascii="Times New Roman" w:hAnsi="Times New Roman" w:cs="Times New Roman"/>
          <w:sz w:val="28"/>
          <w:szCs w:val="28"/>
          <w:highlight w:val="none"/>
        </w:rPr>
        <w:t>32</w:t>
      </w:r>
      <w:r>
        <w:rPr>
          <w:rFonts w:hint="default" w:ascii="Times New Roman" w:hAnsi="Times New Roman" w:eastAsia="宋体" w:cs="Times New Roman"/>
          <w:sz w:val="28"/>
          <w:szCs w:val="28"/>
          <w:highlight w:val="none"/>
        </w:rPr>
        <w:t>、</w:t>
      </w:r>
      <w:r>
        <w:rPr>
          <w:rFonts w:ascii="Times New Roman" w:hAnsi="Times New Roman" w:eastAsia="宋体" w:cs="Times New Roman"/>
          <w:sz w:val="28"/>
          <w:szCs w:val="28"/>
          <w:highlight w:val="none"/>
        </w:rPr>
        <w:t>发行人享受多项税收优惠政策。请发行人：（1）补充披露报告期内所享受税收优惠的金额及其占当期净利润的比例；计算说明税收优惠金额的准确性，与相关会计科目的勾稽关系；（2）说明发行人享受上述税收优惠政策的稳定性和持续性，发行人经营成果是否对税收优惠存在依赖。请保荐机构、申报会计师核查上述事项，并发表明确意见。</w:t>
      </w:r>
    </w:p>
    <w:p>
      <w:pPr>
        <w:keepNext w:val="0"/>
        <w:keepLines w:val="0"/>
        <w:pageBreakBefore w:val="0"/>
        <w:widowControl/>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460" w:lineRule="exact"/>
        <w:ind w:firstLine="560" w:firstLineChars="200"/>
        <w:textAlignment w:val="auto"/>
        <w:outlineLvl w:val="9"/>
        <w:rPr>
          <w:rFonts w:hint="default" w:ascii="Times New Roman" w:hAnsi="Times New Roman" w:eastAsia="宋体" w:cs="Times New Roman"/>
          <w:sz w:val="28"/>
          <w:szCs w:val="28"/>
          <w:highlight w:val="none"/>
          <w:lang w:val="en-US"/>
        </w:rPr>
      </w:pPr>
      <w:r>
        <w:rPr>
          <w:rFonts w:hint="default" w:ascii="Times New Roman" w:hAnsi="Times New Roman" w:cs="Times New Roman"/>
          <w:sz w:val="28"/>
          <w:szCs w:val="28"/>
          <w:highlight w:val="none"/>
        </w:rPr>
        <w:t>33</w:t>
      </w:r>
      <w:r>
        <w:rPr>
          <w:rFonts w:hint="default" w:ascii="Times New Roman" w:hAnsi="Times New Roman" w:eastAsia="宋体" w:cs="Times New Roman"/>
          <w:sz w:val="28"/>
          <w:szCs w:val="28"/>
          <w:highlight w:val="none"/>
        </w:rPr>
        <w:t>、</w:t>
      </w:r>
      <w:r>
        <w:rPr>
          <w:rFonts w:ascii="Times New Roman" w:hAnsi="Times New Roman" w:eastAsia="宋体" w:cs="Times New Roman"/>
          <w:sz w:val="28"/>
          <w:szCs w:val="28"/>
          <w:highlight w:val="none"/>
        </w:rPr>
        <w:t>报告期各期末，发行人货币资金余额分别为12,001.47万元、13,601.66万元及6,323.74万元。请发行人：（1）说明报告期各期货币资金余额波动的原因及合理性，是否与业务开展情况相匹配；（2）补充说明货币资金是否存在受限情形，并详细披露具体的受限情形、金额；（3）说明发行人货币资金的管理制度和内控制度以及是否执行有效。请保荐机构、申报会计师就上述事项发表核查意见，并说明对发行人货币资金真实性的核查方法和过程，是否发现异常现金收支的情形。</w:t>
      </w:r>
    </w:p>
    <w:p>
      <w:pPr>
        <w:keepNext w:val="0"/>
        <w:keepLines w:val="0"/>
        <w:pageBreakBefore w:val="0"/>
        <w:widowControl/>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460" w:lineRule="exact"/>
        <w:ind w:firstLine="560" w:firstLineChars="200"/>
        <w:textAlignment w:val="auto"/>
        <w:outlineLvl w:val="9"/>
        <w:rPr>
          <w:rFonts w:ascii="Times New Roman" w:hAnsi="Times New Roman" w:eastAsia="宋体" w:cs="Times New Roman"/>
          <w:sz w:val="28"/>
          <w:szCs w:val="28"/>
          <w:highlight w:val="none"/>
        </w:rPr>
      </w:pPr>
      <w:r>
        <w:rPr>
          <w:rFonts w:hint="default" w:ascii="Times New Roman" w:hAnsi="Times New Roman" w:cs="Times New Roman"/>
          <w:sz w:val="28"/>
          <w:szCs w:val="28"/>
          <w:highlight w:val="none"/>
        </w:rPr>
        <w:t>34</w:t>
      </w:r>
      <w:r>
        <w:rPr>
          <w:rFonts w:hint="default" w:ascii="Times New Roman" w:hAnsi="Times New Roman" w:eastAsia="宋体" w:cs="Times New Roman"/>
          <w:sz w:val="28"/>
          <w:szCs w:val="28"/>
          <w:highlight w:val="none"/>
        </w:rPr>
        <w:t>、</w:t>
      </w:r>
      <w:r>
        <w:rPr>
          <w:rFonts w:ascii="Times New Roman" w:hAnsi="Times New Roman" w:eastAsia="宋体" w:cs="Times New Roman"/>
          <w:sz w:val="28"/>
          <w:szCs w:val="28"/>
          <w:highlight w:val="none"/>
        </w:rPr>
        <w:t>报告期各期末，发行人应收账款余额分别为4,002.64万元、4,299.12万元及6,603.36万元。请发行人：（1）结合销售规模、信用政策、结算周期等因素，说明报告期内应收账款余额变动的原因及合理性，是否存在放宽信用政策增加收入的情形；（2）说明报告期内应收账款余额前五名客户与主要客户的匹配性；（3）说明报告期内对不同客户或同一客户信用政策是否存在差异，与同行业或该客户的其他同类供应商是否一致，是否存在对其他客户延长账期等放宽信用政策的情形；（4）结合业务流程和收入确认、收款周期等因素，说明应收账款余额及其周转率变动的原因、与同行业各公司存在差异的具体原因；（5）说明各期末应收账款的期后回款金额及比例，并分析回款比例的变动情况；（6）说明报告期内应收账款是否存在逾期情况，如有，逾期原因及时间；应收账款账龄与可比公司是否存在差异及原因，坏账实际计提比例与可比公司是否差异及原因，结合上述情况分析发行人坏账/信用损失计提是否充分。请保荐机构、会计师对上述事项进行核查，说明核查方法、范围、证据、结论，并发表明确意见。</w:t>
      </w:r>
    </w:p>
    <w:p>
      <w:pPr>
        <w:keepNext w:val="0"/>
        <w:keepLines w:val="0"/>
        <w:pageBreakBefore w:val="0"/>
        <w:widowControl/>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460" w:lineRule="exact"/>
        <w:ind w:firstLine="560" w:firstLineChars="200"/>
        <w:textAlignment w:val="auto"/>
        <w:outlineLvl w:val="9"/>
        <w:rPr>
          <w:rFonts w:ascii="Times New Roman" w:hAnsi="Times New Roman" w:eastAsia="宋体" w:cs="Times New Roman"/>
          <w:sz w:val="28"/>
          <w:szCs w:val="28"/>
          <w:highlight w:val="none"/>
        </w:rPr>
      </w:pPr>
      <w:r>
        <w:rPr>
          <w:rFonts w:hint="default" w:ascii="Times New Roman" w:hAnsi="Times New Roman" w:cs="Times New Roman"/>
          <w:sz w:val="28"/>
          <w:szCs w:val="28"/>
          <w:highlight w:val="none"/>
        </w:rPr>
        <w:t>35</w:t>
      </w:r>
      <w:r>
        <w:rPr>
          <w:rFonts w:hint="default" w:ascii="Times New Roman" w:hAnsi="Times New Roman" w:eastAsia="宋体" w:cs="Times New Roman"/>
          <w:sz w:val="28"/>
          <w:szCs w:val="28"/>
          <w:highlight w:val="none"/>
        </w:rPr>
        <w:t>、</w:t>
      </w:r>
      <w:r>
        <w:rPr>
          <w:rFonts w:ascii="Times New Roman" w:hAnsi="Times New Roman" w:eastAsia="宋体" w:cs="Times New Roman"/>
          <w:sz w:val="28"/>
          <w:szCs w:val="28"/>
          <w:highlight w:val="none"/>
        </w:rPr>
        <w:t>报告期各期末，发行人长期股权投资账面价值金额为1,491.70万元、1,929.31万元及2,202.23万元。请发行人结合报告期内怀来云交换的财务数据及经营情况，说明上述投资是否存在减值迹象、减值准备计提是否充分。请保荐机构、申报会计师对上述问题进行核查并发表意见。</w:t>
      </w:r>
    </w:p>
    <w:p>
      <w:pPr>
        <w:keepNext w:val="0"/>
        <w:keepLines w:val="0"/>
        <w:pageBreakBefore w:val="0"/>
        <w:widowControl/>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460" w:lineRule="exact"/>
        <w:ind w:firstLine="560" w:firstLineChars="200"/>
        <w:textAlignment w:val="auto"/>
        <w:outlineLvl w:val="9"/>
        <w:rPr>
          <w:rFonts w:ascii="Times New Roman" w:hAnsi="Times New Roman" w:eastAsia="宋体" w:cs="Times New Roman"/>
          <w:sz w:val="28"/>
          <w:szCs w:val="28"/>
          <w:highlight w:val="none"/>
        </w:rPr>
      </w:pPr>
      <w:r>
        <w:rPr>
          <w:rFonts w:hint="default" w:ascii="Times New Roman" w:hAnsi="Times New Roman" w:cs="Times New Roman"/>
          <w:sz w:val="28"/>
          <w:szCs w:val="28"/>
          <w:highlight w:val="none"/>
        </w:rPr>
        <w:t>36</w:t>
      </w:r>
      <w:r>
        <w:rPr>
          <w:rFonts w:hint="default" w:ascii="Times New Roman" w:hAnsi="Times New Roman" w:eastAsia="宋体" w:cs="Times New Roman"/>
          <w:sz w:val="28"/>
          <w:szCs w:val="28"/>
          <w:highlight w:val="none"/>
        </w:rPr>
        <w:t>、</w:t>
      </w:r>
      <w:r>
        <w:rPr>
          <w:rFonts w:ascii="Times New Roman" w:hAnsi="Times New Roman" w:eastAsia="宋体" w:cs="Times New Roman"/>
          <w:sz w:val="28"/>
          <w:szCs w:val="28"/>
          <w:highlight w:val="none"/>
        </w:rPr>
        <w:t>报告期各期末，发行人投资性房地产金额分别为5,507.86万元、5,343.49万元及5,193.32万元。请发行人补充说明上述房屋确认为投资性房地产的依据、初始计量情况、后续计量情况、折旧年限、计提折旧情况、相关会计处理是否符合《企业会计准则》的规定，租金的会计处理，是否发生减值。请保荐机构、申报会计师对上述问题进行核查并发表意见。</w:t>
      </w:r>
    </w:p>
    <w:p>
      <w:pPr>
        <w:keepNext w:val="0"/>
        <w:keepLines w:val="0"/>
        <w:pageBreakBefore w:val="0"/>
        <w:widowControl/>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460" w:lineRule="exact"/>
        <w:ind w:firstLine="560" w:firstLineChars="200"/>
        <w:textAlignment w:val="auto"/>
        <w:outlineLvl w:val="9"/>
        <w:rPr>
          <w:rFonts w:ascii="Times New Roman" w:hAnsi="Times New Roman" w:eastAsia="宋体" w:cs="Times New Roman"/>
          <w:sz w:val="28"/>
          <w:szCs w:val="28"/>
          <w:highlight w:val="none"/>
        </w:rPr>
      </w:pPr>
      <w:r>
        <w:rPr>
          <w:rFonts w:hint="default" w:ascii="Times New Roman" w:hAnsi="Times New Roman" w:cs="Times New Roman"/>
          <w:sz w:val="28"/>
          <w:szCs w:val="28"/>
          <w:highlight w:val="none"/>
        </w:rPr>
        <w:t>37</w:t>
      </w:r>
      <w:r>
        <w:rPr>
          <w:rFonts w:hint="default" w:ascii="Times New Roman" w:hAnsi="Times New Roman" w:eastAsia="宋体" w:cs="Times New Roman"/>
          <w:sz w:val="28"/>
          <w:szCs w:val="28"/>
          <w:highlight w:val="none"/>
        </w:rPr>
        <w:t>、</w:t>
      </w:r>
      <w:r>
        <w:rPr>
          <w:rFonts w:ascii="Times New Roman" w:hAnsi="Times New Roman" w:eastAsia="宋体" w:cs="Times New Roman"/>
          <w:sz w:val="28"/>
          <w:szCs w:val="28"/>
          <w:highlight w:val="none"/>
        </w:rPr>
        <w:t>关于固定资产与在建工程。请发行人：（1）以表格形式补充披露各类别固定资产各期增减变动情况；（2）补充说明主要房屋及建筑物、机器设备的基本情况，包括但不限于主要明细构成、入账时间、取得方式、数量、价值、折旧年限及年折旧率，说明折旧年限及年折旧率是否合理及与同行业可比公司的比较情况；（3）说明报告期内固定资产减值测算的过程和计算方法，如何判断减值迹象，报告期内未对固定资产计提减值的原因及合理性；（4）补充说明报告期内主要在建工程的具体情况，包括但不限于项目内容、开工与竣工时间、投资规模、各期投入资金、转入固定资产的时间、金额，相关会计核算是否准确，并说明在建工程转入固定资产的依据、是否及时；说明各期在建工程各主要项目增加的具体成本构成，相关资产价格与市场一般水平的比较情况；（5）结合在建工程总投资和未来转固情况、目前主要产品的产能利用率情况等，补充说明对发行人产能、折旧摊销的影响，未来产能消化情况。</w:t>
      </w:r>
    </w:p>
    <w:p>
      <w:pPr>
        <w:keepNext w:val="0"/>
        <w:keepLines w:val="0"/>
        <w:pageBreakBefore w:val="0"/>
        <w:widowControl/>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460" w:lineRule="exact"/>
        <w:ind w:firstLine="560" w:firstLineChars="200"/>
        <w:textAlignment w:val="auto"/>
        <w:outlineLvl w:val="9"/>
        <w:rPr>
          <w:rFonts w:ascii="Times New Roman" w:hAnsi="Times New Roman" w:eastAsia="宋体" w:cs="Times New Roman"/>
          <w:sz w:val="28"/>
          <w:szCs w:val="28"/>
          <w:highlight w:val="none"/>
        </w:rPr>
      </w:pPr>
      <w:r>
        <w:rPr>
          <w:rFonts w:ascii="Times New Roman" w:hAnsi="Times New Roman" w:eastAsia="宋体" w:cs="Times New Roman"/>
          <w:sz w:val="28"/>
          <w:szCs w:val="28"/>
          <w:highlight w:val="none"/>
        </w:rPr>
        <w:t>请保荐机构、申报会计师就前述事项发表明确意见，并详细说明报告期固定资产和在建工程的监盘程序、监盘比例及监盘结果，说明监盘过程中如何辨别固定资产的真实性、可使用性，是否具有相关的专业能力，说明对在建工程转固金额和时点进行确认和核查的具体程序。</w:t>
      </w:r>
    </w:p>
    <w:p>
      <w:pPr>
        <w:keepNext w:val="0"/>
        <w:keepLines w:val="0"/>
        <w:pageBreakBefore w:val="0"/>
        <w:widowControl/>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460" w:lineRule="exact"/>
        <w:ind w:firstLine="560" w:firstLineChars="200"/>
        <w:textAlignment w:val="auto"/>
        <w:outlineLvl w:val="9"/>
        <w:rPr>
          <w:rFonts w:ascii="Times New Roman" w:hAnsi="Times New Roman" w:eastAsia="宋体" w:cs="Times New Roman"/>
          <w:sz w:val="28"/>
          <w:szCs w:val="28"/>
          <w:highlight w:val="none"/>
        </w:rPr>
      </w:pPr>
      <w:r>
        <w:rPr>
          <w:rFonts w:hint="default" w:ascii="Times New Roman" w:hAnsi="Times New Roman" w:cs="Times New Roman"/>
          <w:sz w:val="28"/>
          <w:szCs w:val="28"/>
          <w:highlight w:val="none"/>
        </w:rPr>
        <w:t>38</w:t>
      </w:r>
      <w:r>
        <w:rPr>
          <w:rFonts w:hint="default" w:ascii="Times New Roman" w:hAnsi="Times New Roman" w:eastAsia="宋体" w:cs="Times New Roman"/>
          <w:sz w:val="28"/>
          <w:szCs w:val="28"/>
          <w:highlight w:val="none"/>
        </w:rPr>
        <w:t>、</w:t>
      </w:r>
      <w:r>
        <w:rPr>
          <w:rFonts w:ascii="Times New Roman" w:hAnsi="Times New Roman" w:eastAsia="宋体" w:cs="Times New Roman"/>
          <w:sz w:val="28"/>
          <w:szCs w:val="28"/>
          <w:highlight w:val="none"/>
        </w:rPr>
        <w:t>报告期各期末，公司长期待摊费用价值分别为2,189.53万元、1,975.29万元及1,031.51万元。请发行人：（1）补充披露长期待摊费用的明细构成、具体账龄及摊销情况；（2）补充说明长期待摊费用的摊销政策，并说明其是否谨慎、合理；长期待摊费用的归集是否包含与该项目无关的支出、是否存在费用支出资本化的情形，是否符合《企业会计准则》的规定。请保荐机构、申报会计师对上述事项进行核查，并发表意见。</w:t>
      </w:r>
    </w:p>
    <w:p>
      <w:pPr>
        <w:keepNext w:val="0"/>
        <w:keepLines w:val="0"/>
        <w:pageBreakBefore w:val="0"/>
        <w:widowControl/>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460" w:lineRule="exact"/>
        <w:ind w:firstLine="560" w:firstLineChars="200"/>
        <w:textAlignment w:val="auto"/>
        <w:outlineLvl w:val="9"/>
        <w:rPr>
          <w:rFonts w:hint="default" w:ascii="Times New Roman" w:hAnsi="Times New Roman" w:eastAsia="楷体" w:cs="Times New Roman"/>
          <w:sz w:val="28"/>
          <w:szCs w:val="28"/>
        </w:rPr>
      </w:pPr>
      <w:r>
        <w:rPr>
          <w:rFonts w:hint="default" w:ascii="Times New Roman" w:hAnsi="Times New Roman" w:cs="Times New Roman"/>
          <w:sz w:val="28"/>
          <w:szCs w:val="28"/>
          <w:highlight w:val="none"/>
        </w:rPr>
        <w:t>39</w:t>
      </w:r>
      <w:r>
        <w:rPr>
          <w:rFonts w:hint="default" w:ascii="Times New Roman" w:hAnsi="Times New Roman" w:eastAsia="宋体" w:cs="Times New Roman"/>
          <w:sz w:val="28"/>
          <w:szCs w:val="28"/>
          <w:highlight w:val="none"/>
        </w:rPr>
        <w:t>、</w:t>
      </w:r>
      <w:r>
        <w:rPr>
          <w:rFonts w:ascii="Times New Roman" w:hAnsi="Times New Roman" w:eastAsia="宋体" w:cs="Times New Roman"/>
          <w:sz w:val="28"/>
          <w:szCs w:val="28"/>
          <w:highlight w:val="none"/>
        </w:rPr>
        <w:t>报告期各期末，发行人应付账款余额分别为2,314.94万元、1,922.30万元及8,192.70万元。请发行人：（1）补充说明应付资源款的采购内容、支付对象、采购金额；（2）按款项性质列示各期末应付账款账龄情况，说明存在账龄1年以上的应付款项的原因，是否存在超过信用期的应付账款及未付原因。请保荐机构、申报会计师核查并发表明确意见。</w:t>
      </w:r>
    </w:p>
    <w:p>
      <w:pPr>
        <w:keepNext w:val="0"/>
        <w:keepLines w:val="0"/>
        <w:pageBreakBefore w:val="0"/>
        <w:widowControl w:val="0"/>
        <w:numPr>
          <w:ilvl w:val="0"/>
          <w:numId w:val="1"/>
        </w:numPr>
        <w:kinsoku/>
        <w:wordWrap/>
        <w:overflowPunct/>
        <w:topLinePunct w:val="0"/>
        <w:bidi w:val="0"/>
        <w:snapToGrid/>
        <w:spacing w:before="0" w:beforeLines="0" w:beforeAutospacing="0" w:after="0" w:afterLines="0" w:afterAutospacing="0" w:line="480" w:lineRule="exact"/>
        <w:ind w:left="0" w:leftChars="0" w:right="0" w:rightChars="0" w:firstLine="560" w:firstLineChars="200"/>
        <w:jc w:val="both"/>
        <w:textAlignment w:val="auto"/>
        <w:outlineLvl w:val="0"/>
        <w:rPr>
          <w:rFonts w:hint="eastAsia" w:ascii="Times New Roman" w:hAnsi="Times New Roman" w:eastAsia="黑体" w:cs="Times New Roman"/>
          <w:sz w:val="28"/>
          <w:lang w:val="en-US" w:eastAsia="zh-CN"/>
        </w:rPr>
      </w:pPr>
      <w:r>
        <w:rPr>
          <w:rFonts w:hint="eastAsia" w:ascii="Times New Roman" w:hAnsi="Times New Roman" w:eastAsia="黑体" w:cs="Times New Roman"/>
          <w:sz w:val="28"/>
          <w:lang w:val="en-US" w:eastAsia="zh-CN"/>
        </w:rPr>
        <w:t>与财务会计资料相关的问题</w:t>
      </w:r>
    </w:p>
    <w:p>
      <w:pPr>
        <w:keepNext w:val="0"/>
        <w:keepLines w:val="0"/>
        <w:pageBreakBefore w:val="0"/>
        <w:widowControl/>
        <w:numPr>
          <w:ilvl w:val="0"/>
          <w:numId w:val="0"/>
        </w:numPr>
        <w:pBdr>
          <w:top w:val="none" w:color="auto" w:sz="0" w:space="0"/>
          <w:left w:val="none" w:color="auto" w:sz="0" w:space="0"/>
          <w:bottom w:val="none" w:color="auto" w:sz="0" w:space="0"/>
          <w:right w:val="none" w:color="auto" w:sz="0" w:space="0"/>
          <w:between w:val="none" w:color="auto" w:sz="0" w:space="0"/>
        </w:pBdr>
        <w:shd w:val="clear"/>
        <w:kinsoku/>
        <w:wordWrap/>
        <w:overflowPunct/>
        <w:topLinePunct w:val="0"/>
        <w:autoSpaceDE/>
        <w:autoSpaceDN/>
        <w:bidi w:val="0"/>
        <w:adjustRightInd/>
        <w:snapToGrid/>
        <w:spacing w:before="0" w:after="0" w:line="460" w:lineRule="exact"/>
        <w:ind w:left="0" w:leftChars="0" w:right="0" w:rightChars="0" w:firstLine="560" w:firstLineChars="200"/>
        <w:textAlignment w:val="auto"/>
        <w:outlineLvl w:val="9"/>
        <w:rPr>
          <w:rFonts w:hint="default" w:ascii="Times New Roman" w:hAnsi="Times New Roman" w:eastAsia="宋体" w:cs="Times New Roman"/>
          <w:b w:val="0"/>
          <w:sz w:val="28"/>
          <w:szCs w:val="28"/>
          <w:highlight w:val="none"/>
        </w:rPr>
      </w:pPr>
      <w:r>
        <w:rPr>
          <w:rFonts w:hint="default" w:ascii="Times New Roman" w:hAnsi="Times New Roman" w:cs="Times New Roman"/>
          <w:sz w:val="28"/>
          <w:szCs w:val="28"/>
          <w:highlight w:val="none"/>
        </w:rPr>
        <w:t>40</w:t>
      </w:r>
      <w:r>
        <w:rPr>
          <w:rFonts w:hint="default" w:ascii="Times New Roman" w:hAnsi="Times New Roman" w:eastAsia="宋体" w:cs="Times New Roman"/>
          <w:sz w:val="28"/>
          <w:szCs w:val="28"/>
          <w:highlight w:val="none"/>
        </w:rPr>
        <w:t>、</w:t>
      </w:r>
      <w:r>
        <w:rPr>
          <w:rFonts w:hint="default" w:ascii="Times New Roman" w:hAnsi="Times New Roman" w:eastAsia="宋体" w:cs="Times New Roman"/>
          <w:sz w:val="28"/>
          <w:szCs w:val="28"/>
          <w:highlight w:val="none"/>
          <w:lang w:val="en-US" w:eastAsia="zh-CN"/>
        </w:rPr>
        <w:t>请保荐机构和发行人律师专项说明就申请文件所申报的原始财务报表是否为发行人当年实际向税务局报送的报表所履行的核查程序及取得的证据，保荐机构和申报会计师专项说明申请文件所申报的原始财务报表所列示的收入及净利润数据与当年的增值税纳税申报表及年度所得税纳税申报表之间的差异，若有重大差异，应专项说明原因；</w:t>
      </w:r>
      <w:r>
        <w:rPr>
          <w:rFonts w:hint="default" w:ascii="Times New Roman" w:hAnsi="Times New Roman" w:eastAsia="宋体" w:cs="Times New Roman"/>
          <w:sz w:val="28"/>
          <w:szCs w:val="28"/>
          <w:highlight w:val="none"/>
        </w:rPr>
        <w:t>请发行人说明对原始财务报表的调整情</w:t>
      </w:r>
      <w:r>
        <w:rPr>
          <w:rFonts w:hint="default" w:ascii="Times New Roman" w:hAnsi="Times New Roman" w:eastAsia="宋体" w:cs="Times New Roman"/>
          <w:sz w:val="28"/>
          <w:szCs w:val="28"/>
          <w:highlight w:val="none"/>
          <w:lang w:val="en-US" w:eastAsia="zh-CN"/>
        </w:rPr>
        <w:t>况，包括对涉及差异调整的具体事项、内容和理由予以逐项说明，并说明相关项目截止性或重分类调整、差错更正的原因、依据及其合规性，重点说明对损益的影响、涉及纳税义务的处理与履行情况。请保荐</w:t>
      </w:r>
      <w:r>
        <w:rPr>
          <w:rFonts w:hint="default" w:ascii="Times New Roman" w:hAnsi="Times New Roman" w:eastAsia="宋体" w:cs="Times New Roman"/>
          <w:sz w:val="28"/>
          <w:szCs w:val="28"/>
          <w:highlight w:val="none"/>
        </w:rPr>
        <w:t>机构和申报会计师核查调整是否符合企业会计准则的规定。</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460" w:lineRule="exact"/>
        <w:ind w:firstLine="560" w:firstLineChars="200"/>
        <w:textAlignment w:val="auto"/>
        <w:outlineLvl w:val="9"/>
        <w:rPr>
          <w:rFonts w:hint="default" w:ascii="Times New Roman" w:hAnsi="Times New Roman" w:eastAsia="宋体" w:cs="Times New Roman"/>
          <w:b w:val="0"/>
          <w:sz w:val="28"/>
          <w:szCs w:val="28"/>
          <w:highlight w:val="none"/>
        </w:rPr>
      </w:pPr>
      <w:r>
        <w:rPr>
          <w:rFonts w:hint="default" w:ascii="Times New Roman" w:hAnsi="Times New Roman" w:cs="Times New Roman"/>
          <w:b w:val="0"/>
          <w:sz w:val="28"/>
          <w:szCs w:val="28"/>
          <w:highlight w:val="none"/>
        </w:rPr>
        <w:t>41</w:t>
      </w:r>
      <w:r>
        <w:rPr>
          <w:rFonts w:hint="default" w:ascii="Times New Roman" w:hAnsi="Times New Roman" w:eastAsia="宋体" w:cs="Times New Roman"/>
          <w:b w:val="0"/>
          <w:sz w:val="28"/>
          <w:szCs w:val="28"/>
          <w:highlight w:val="none"/>
        </w:rPr>
        <w:t>、请发行人说明财务报表项目比较数据变动幅度达30%以上的情况及原因是否已恰当披露。请保荐机构、申报会计师发表核查意见。</w:t>
      </w:r>
    </w:p>
    <w:p>
      <w:pPr>
        <w:keepNext w:val="0"/>
        <w:keepLines w:val="0"/>
        <w:pageBreakBefore w:val="0"/>
        <w:widowControl w:val="0"/>
        <w:numPr>
          <w:ilvl w:val="0"/>
          <w:numId w:val="1"/>
        </w:numPr>
        <w:kinsoku/>
        <w:wordWrap/>
        <w:overflowPunct/>
        <w:topLinePunct w:val="0"/>
        <w:bidi w:val="0"/>
        <w:snapToGrid/>
        <w:spacing w:before="0" w:beforeLines="0" w:beforeAutospacing="0" w:after="0" w:afterLines="0" w:afterAutospacing="0" w:line="480" w:lineRule="exact"/>
        <w:ind w:left="0" w:leftChars="0" w:right="0" w:rightChars="0" w:firstLine="560" w:firstLineChars="200"/>
        <w:jc w:val="both"/>
        <w:textAlignment w:val="auto"/>
        <w:outlineLvl w:val="0"/>
        <w:rPr>
          <w:rFonts w:hint="eastAsia" w:ascii="Times New Roman" w:hAnsi="Times New Roman" w:eastAsia="黑体" w:cs="Times New Roman"/>
          <w:sz w:val="28"/>
          <w:lang w:val="en-US" w:eastAsia="zh-CN"/>
        </w:rPr>
      </w:pPr>
      <w:r>
        <w:rPr>
          <w:rFonts w:hint="eastAsia" w:ascii="Times New Roman" w:hAnsi="Times New Roman" w:eastAsia="黑体" w:cs="Times New Roman"/>
          <w:sz w:val="28"/>
          <w:lang w:val="en-US" w:eastAsia="zh-CN"/>
        </w:rPr>
        <w:t>其他问题</w:t>
      </w:r>
    </w:p>
    <w:p>
      <w:pPr>
        <w:keepNext w:val="0"/>
        <w:keepLines w:val="0"/>
        <w:pageBreakBefore w:val="0"/>
        <w:widowControl/>
        <w:numPr>
          <w:ilvl w:val="0"/>
          <w:numId w:val="0"/>
        </w:numPr>
        <w:pBdr>
          <w:top w:val="none" w:color="auto" w:sz="0" w:space="0"/>
          <w:left w:val="none" w:color="auto" w:sz="0" w:space="0"/>
          <w:bottom w:val="none" w:color="auto" w:sz="0" w:space="0"/>
          <w:right w:val="none" w:color="auto" w:sz="0" w:space="0"/>
          <w:between w:val="none" w:color="auto" w:sz="0" w:space="0"/>
        </w:pBdr>
        <w:shd w:val="clear"/>
        <w:kinsoku/>
        <w:wordWrap/>
        <w:overflowPunct/>
        <w:topLinePunct w:val="0"/>
        <w:autoSpaceDE/>
        <w:autoSpaceDN/>
        <w:bidi w:val="0"/>
        <w:adjustRightInd/>
        <w:snapToGrid/>
        <w:spacing w:before="0" w:after="0" w:line="460" w:lineRule="exact"/>
        <w:ind w:left="0" w:leftChars="0" w:right="0" w:rightChars="0" w:firstLine="560" w:firstLineChars="200"/>
        <w:textAlignment w:val="auto"/>
        <w:outlineLvl w:val="9"/>
        <w:rPr>
          <w:rFonts w:hint="default" w:ascii="Times New Roman" w:hAnsi="Times New Roman" w:eastAsia="宋体" w:cs="Times New Roman"/>
          <w:sz w:val="28"/>
          <w:szCs w:val="28"/>
          <w:highlight w:val="none"/>
          <w:lang w:val="en-US" w:eastAsia="zh-CN"/>
        </w:rPr>
      </w:pPr>
      <w:r>
        <w:rPr>
          <w:rFonts w:hint="default" w:ascii="Times New Roman" w:hAnsi="Times New Roman" w:cs="Times New Roman"/>
          <w:sz w:val="28"/>
          <w:szCs w:val="28"/>
          <w:highlight w:val="none"/>
          <w:lang w:eastAsia="zh-CN"/>
        </w:rPr>
        <w:t>42</w:t>
      </w:r>
      <w:r>
        <w:rPr>
          <w:rFonts w:hint="default" w:ascii="Times New Roman" w:hAnsi="Times New Roman" w:eastAsia="宋体" w:cs="Times New Roman"/>
          <w:sz w:val="28"/>
          <w:szCs w:val="28"/>
          <w:highlight w:val="none"/>
          <w:lang w:eastAsia="zh-CN"/>
        </w:rPr>
        <w:t>、</w:t>
      </w:r>
      <w:r>
        <w:rPr>
          <w:rFonts w:hint="default" w:ascii="Times New Roman" w:hAnsi="Times New Roman" w:eastAsia="宋体" w:cs="Times New Roman"/>
          <w:sz w:val="28"/>
          <w:szCs w:val="28"/>
          <w:highlight w:val="none"/>
          <w:lang w:val="en-US" w:eastAsia="zh-CN"/>
        </w:rPr>
        <w:t>请发行人、保荐机构及会计师每次报送申报材料时，对申报材料中修正或增加的信息进行特殊标识，并对修正或增加的信息作出书面说明。</w:t>
      </w:r>
    </w:p>
    <w:p>
      <w:pPr>
        <w:keepNext w:val="0"/>
        <w:keepLines w:val="0"/>
        <w:pageBreakBefore w:val="0"/>
        <w:widowControl/>
        <w:numPr>
          <w:ilvl w:val="0"/>
          <w:numId w:val="0"/>
        </w:numPr>
        <w:pBdr>
          <w:top w:val="none" w:color="auto" w:sz="0" w:space="0"/>
          <w:left w:val="none" w:color="auto" w:sz="0" w:space="0"/>
          <w:bottom w:val="none" w:color="auto" w:sz="0" w:space="0"/>
          <w:right w:val="none" w:color="auto" w:sz="0" w:space="0"/>
          <w:between w:val="none" w:color="auto" w:sz="0" w:space="0"/>
        </w:pBdr>
        <w:shd w:val="clear"/>
        <w:kinsoku/>
        <w:wordWrap/>
        <w:overflowPunct/>
        <w:topLinePunct w:val="0"/>
        <w:autoSpaceDE/>
        <w:autoSpaceDN/>
        <w:bidi w:val="0"/>
        <w:adjustRightInd/>
        <w:snapToGrid/>
        <w:spacing w:before="0" w:after="0" w:line="460" w:lineRule="exact"/>
        <w:ind w:left="0" w:leftChars="0" w:right="0" w:rightChars="0" w:firstLine="560" w:firstLineChars="200"/>
        <w:jc w:val="left"/>
        <w:textAlignment w:val="auto"/>
        <w:outlineLvl w:val="9"/>
        <w:rPr>
          <w:rFonts w:hint="default" w:ascii="Times New Roman" w:hAnsi="Times New Roman" w:eastAsia="宋体" w:cs="Times New Roman"/>
          <w:sz w:val="28"/>
          <w:szCs w:val="28"/>
          <w:highlight w:val="none"/>
          <w:lang w:eastAsia="zh-CN"/>
        </w:rPr>
      </w:pPr>
      <w:r>
        <w:rPr>
          <w:rFonts w:hint="default" w:ascii="Times New Roman" w:hAnsi="Times New Roman" w:cs="Times New Roman"/>
          <w:sz w:val="28"/>
          <w:szCs w:val="28"/>
          <w:highlight w:val="none"/>
          <w:lang w:eastAsia="zh-CN"/>
        </w:rPr>
        <w:t>43</w:t>
      </w:r>
      <w:r>
        <w:rPr>
          <w:rFonts w:hint="default" w:ascii="Times New Roman" w:hAnsi="Times New Roman" w:eastAsia="宋体" w:cs="Times New Roman"/>
          <w:sz w:val="28"/>
          <w:szCs w:val="28"/>
          <w:highlight w:val="none"/>
          <w:lang w:eastAsia="zh-CN"/>
        </w:rPr>
        <w:t>、</w:t>
      </w:r>
      <w:r>
        <w:rPr>
          <w:rFonts w:hint="default" w:ascii="Times New Roman" w:hAnsi="Times New Roman" w:eastAsia="宋体" w:cs="Times New Roman"/>
          <w:i w:val="0"/>
          <w:caps w:val="0"/>
          <w:spacing w:val="0"/>
          <w:kern w:val="2"/>
          <w:sz w:val="28"/>
          <w:szCs w:val="28"/>
          <w:highlight w:val="none"/>
          <w:lang w:val="en-US" w:eastAsia="zh-CN" w:bidi="ar"/>
        </w:rPr>
        <w:t>请发行人、中介机构回复反馈意见时注意区分信息披露问题和分析说明问题，如认为补充说明内容对投资者价值判断有重大影响的，请在招股说明书中予以补充披露。根据反馈意见对招股说明书进行补充披露时不应引用反馈意见问题作为标题，并注意使用事实描述性语言，保证内容简明扼要、通俗易懂。请保荐机构督促发行人按要求进行信息披露，并说明核查方法、过程和结论。</w:t>
      </w:r>
    </w:p>
    <w:p>
      <w:pPr>
        <w:pStyle w:val="10"/>
        <w:spacing w:after="0" w:line="460" w:lineRule="exact"/>
        <w:ind w:firstLine="560" w:firstLineChars="200"/>
        <w:rPr>
          <w:rFonts w:hint="default" w:cs="宋体"/>
          <w:kern w:val="2"/>
          <w:sz w:val="28"/>
          <w:szCs w:val="20"/>
          <w:lang w:eastAsia="zh-CN"/>
        </w:rPr>
      </w:pPr>
    </w:p>
    <w:p>
      <w:pPr>
        <w:pStyle w:val="10"/>
        <w:spacing w:after="0" w:line="460" w:lineRule="exact"/>
        <w:ind w:firstLine="560" w:firstLineChars="200"/>
        <w:rPr>
          <w:rFonts w:hint="default" w:cs="宋体"/>
          <w:kern w:val="2"/>
          <w:sz w:val="28"/>
          <w:szCs w:val="20"/>
          <w:lang w:eastAsia="zh-CN"/>
        </w:rPr>
      </w:pPr>
    </w:p>
    <w:p>
      <w:pPr>
        <w:pStyle w:val="10"/>
        <w:spacing w:after="0" w:line="460" w:lineRule="exact"/>
        <w:ind w:firstLine="560" w:firstLineChars="200"/>
        <w:rPr>
          <w:rFonts w:hint="default" w:ascii="宋体" w:hAnsi="宋体" w:eastAsia="宋体" w:cs="宋体"/>
          <w:kern w:val="2"/>
          <w:sz w:val="28"/>
          <w:szCs w:val="20"/>
          <w:lang w:val="en-US" w:eastAsia="zh-CN"/>
        </w:rPr>
      </w:pPr>
    </w:p>
    <w:p>
      <w:pPr>
        <w:pStyle w:val="10"/>
        <w:spacing w:after="0" w:line="460" w:lineRule="exact"/>
        <w:ind w:firstLine="560" w:firstLineChars="200"/>
        <w:rPr>
          <w:rFonts w:hint="default" w:ascii="宋体" w:hAnsi="宋体" w:eastAsia="宋体" w:cs="宋体"/>
          <w:kern w:val="2"/>
          <w:sz w:val="28"/>
          <w:szCs w:val="20"/>
          <w:lang w:val="en-US" w:eastAsia="zh-CN"/>
        </w:rPr>
      </w:pPr>
    </w:p>
    <w:p>
      <w:pPr>
        <w:pStyle w:val="10"/>
        <w:spacing w:after="0" w:line="460" w:lineRule="exact"/>
        <w:ind w:firstLine="560" w:firstLineChars="200"/>
        <w:rPr>
          <w:rFonts w:hint="default" w:ascii="宋体" w:hAnsi="宋体" w:eastAsia="宋体" w:cs="宋体"/>
          <w:kern w:val="2"/>
          <w:sz w:val="28"/>
          <w:szCs w:val="20"/>
          <w:lang w:val="en-US" w:eastAsia="zh-CN"/>
        </w:rPr>
      </w:pPr>
    </w:p>
    <w:p>
      <w:pPr>
        <w:pStyle w:val="10"/>
        <w:spacing w:after="0" w:line="460" w:lineRule="exact"/>
        <w:ind w:firstLine="560" w:firstLineChars="200"/>
        <w:rPr>
          <w:rFonts w:hint="default" w:ascii="宋体" w:hAnsi="宋体" w:eastAsia="宋体" w:cs="宋体"/>
          <w:kern w:val="2"/>
          <w:sz w:val="28"/>
          <w:szCs w:val="20"/>
          <w:lang w:val="en-US" w:eastAsia="zh-CN"/>
        </w:rPr>
      </w:pPr>
    </w:p>
    <w:p>
      <w:pPr>
        <w:pStyle w:val="10"/>
        <w:spacing w:after="0" w:line="460" w:lineRule="exact"/>
        <w:ind w:firstLine="560" w:firstLineChars="200"/>
        <w:rPr>
          <w:rFonts w:hint="default" w:ascii="宋体" w:hAnsi="宋体" w:eastAsia="宋体" w:cs="宋体"/>
          <w:kern w:val="2"/>
          <w:sz w:val="28"/>
          <w:szCs w:val="20"/>
          <w:lang w:val="en-US" w:eastAsia="zh-CN"/>
        </w:rPr>
      </w:pPr>
    </w:p>
    <w:p>
      <w:pPr>
        <w:pStyle w:val="10"/>
        <w:spacing w:after="0" w:line="460" w:lineRule="exact"/>
        <w:ind w:firstLine="560" w:firstLineChars="200"/>
        <w:rPr>
          <w:rFonts w:hint="default" w:ascii="宋体" w:hAnsi="宋体" w:eastAsia="宋体" w:cs="宋体"/>
          <w:kern w:val="2"/>
          <w:sz w:val="28"/>
          <w:szCs w:val="20"/>
          <w:lang w:val="en-US" w:eastAsia="zh-CN"/>
        </w:rPr>
      </w:pPr>
    </w:p>
    <w:p>
      <w:pPr>
        <w:pStyle w:val="10"/>
        <w:spacing w:after="0" w:line="460" w:lineRule="exact"/>
        <w:ind w:firstLine="560" w:firstLineChars="200"/>
        <w:rPr>
          <w:rFonts w:hint="default" w:ascii="宋体" w:hAnsi="宋体" w:eastAsia="宋体" w:cs="宋体"/>
          <w:kern w:val="2"/>
          <w:sz w:val="28"/>
          <w:szCs w:val="20"/>
          <w:lang w:val="en-US" w:eastAsia="zh-CN"/>
        </w:rPr>
      </w:pPr>
    </w:p>
    <w:p>
      <w:pPr>
        <w:pStyle w:val="10"/>
        <w:spacing w:after="0" w:line="460" w:lineRule="exact"/>
        <w:ind w:firstLine="560" w:firstLineChars="200"/>
        <w:rPr>
          <w:rFonts w:hint="default" w:ascii="宋体" w:hAnsi="宋体" w:eastAsia="宋体" w:cs="宋体"/>
          <w:kern w:val="2"/>
          <w:sz w:val="28"/>
          <w:szCs w:val="20"/>
          <w:lang w:val="en-US" w:eastAsia="zh-CN"/>
        </w:rPr>
      </w:pPr>
    </w:p>
    <w:p>
      <w:pPr>
        <w:pStyle w:val="10"/>
        <w:spacing w:after="0" w:line="460" w:lineRule="exact"/>
        <w:ind w:firstLine="560" w:firstLineChars="200"/>
        <w:rPr>
          <w:rFonts w:hint="default" w:ascii="宋体" w:hAnsi="宋体" w:eastAsia="宋体" w:cs="宋体"/>
          <w:kern w:val="2"/>
          <w:sz w:val="28"/>
          <w:szCs w:val="20"/>
          <w:lang w:val="en-US" w:eastAsia="zh-CN"/>
        </w:rPr>
      </w:pPr>
    </w:p>
    <w:p>
      <w:bookmarkStart w:id="2" w:name="_GoBack"/>
      <w:bookmarkEnd w:id="2"/>
    </w:p>
    <w:sectPr>
      <w:footerReference r:id="rId5" w:type="first"/>
      <w:footerReference r:id="rId3" w:type="default"/>
      <w:footerReference r:id="rId4" w:type="even"/>
      <w:pgSz w:w="11906" w:h="16838"/>
      <w:pgMar w:top="1474" w:right="1797" w:bottom="1418" w:left="1797" w:header="851" w:footer="992" w:gutter="0"/>
      <w:pgNumType w:fmt="decimal"/>
      <w:cols w:space="720" w:num="1"/>
      <w:titlePg/>
      <w:docGrid w:type="lines" w:linePitch="381"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Wingdings 3"/>
    <w:panose1 w:val="05050102010706020507"/>
    <w:charset w:val="02"/>
    <w:family w:val="roman"/>
    <w:pitch w:val="default"/>
    <w:sig w:usb0="00000000" w:usb1="00000000" w:usb2="00000000" w:usb3="00000000" w:csb0="80000000" w:csb1="00000000"/>
  </w:font>
  <w:font w:name="Calibri">
    <w:altName w:val="微软雅黑"/>
    <w:panose1 w:val="020F0502020204030204"/>
    <w:charset w:val="00"/>
    <w:family w:val="swiss"/>
    <w:pitch w:val="default"/>
    <w:sig w:usb0="00000000" w:usb1="00000000" w:usb2="00000001" w:usb3="00000000" w:csb0="0000019F" w:csb1="00000000"/>
  </w:font>
  <w:font w:name="楷体_GB2312">
    <w:panose1 w:val="02010609030101010101"/>
    <w:charset w:val="86"/>
    <w:family w:val="modern"/>
    <w:pitch w:val="default"/>
    <w:sig w:usb0="00000001" w:usb1="080E0000" w:usb2="00000000" w:usb3="00000000" w:csb0="00040000" w:csb1="00000000"/>
  </w:font>
  <w:font w:name="华文中宋">
    <w:altName w:val="汉仪中宋简"/>
    <w:panose1 w:val="02010600040101010101"/>
    <w:charset w:val="86"/>
    <w:family w:val="auto"/>
    <w:pitch w:val="default"/>
    <w:sig w:usb0="00000000" w:usb1="00000000" w:usb2="00000000" w:usb3="00000000" w:csb0="0004009F" w:csb1="DFD70000"/>
  </w:font>
  <w:font w:name="楷体">
    <w:panose1 w:val="02010609060101010101"/>
    <w:charset w:val="86"/>
    <w:family w:val="modern"/>
    <w:pitch w:val="default"/>
    <w:sig w:usb0="800002BF" w:usb1="38CF7CFA" w:usb2="00000016" w:usb3="00000000" w:csb0="00040001" w:csb1="00000000"/>
  </w:font>
  <w:font w:name="汉仪中宋简">
    <w:panose1 w:val="02010600000101010101"/>
    <w:charset w:val="86"/>
    <w:family w:val="auto"/>
    <w:pitch w:val="default"/>
    <w:sig w:usb0="00000001" w:usb1="080E0800" w:usb2="00000002" w:usb3="00000000" w:csb0="00040000" w:csb1="00000000"/>
  </w:font>
  <w:font w:name="微软雅黑">
    <w:panose1 w:val="020B0503020204020204"/>
    <w:charset w:val="86"/>
    <w:family w:val="auto"/>
    <w:pitch w:val="default"/>
    <w:sig w:usb0="80000287" w:usb1="280F3C52" w:usb2="00000016" w:usb3="00000000" w:csb0="0004001F" w:csb1="00000000"/>
  </w:font>
  <w:font w:name="Wingdings 3">
    <w:panose1 w:val="05040102010807070707"/>
    <w:charset w:val="00"/>
    <w:family w:val="auto"/>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right="360"/>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15875">
                        <a:noFill/>
                      </a:ln>
                    </wps:spPr>
                    <wps:txbx>
                      <w:txbxContent>
                        <w:p>
                          <w:pPr>
                            <w:pStyle w:val="3"/>
                          </w:pPr>
                          <w:r>
                            <w:fldChar w:fldCharType="begin"/>
                          </w:r>
                          <w:r>
                            <w:instrText xml:space="preserve"> PAGE  \* MERGEFORMAT </w:instrText>
                          </w:r>
                          <w:r>
                            <w:fldChar w:fldCharType="separate"/>
                          </w:r>
                          <w:r>
                            <w:t>2</w:t>
                          </w:r>
                          <w:r>
                            <w:fldChar w:fldCharType="end"/>
                          </w:r>
                        </w:p>
                      </w:txbxContent>
                    </wps:txbx>
                    <wps:bodyPr wrap="none" lIns="0" tIns="0" rIns="0" bIns="0" upright="fals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FgAAAGRycy9QSwECFAAUAAAACACHTuJAaGmCS9MAAAAFAQAADwAAAAAAAAABACAAAAA4AAAA&#10;ZHJzL2Rvd25yZXYueG1sUEsBAhQAFAAAAAgAh07iQL359729AQAAXAMAAA4AAAAAAAAAAQAgAAAA&#10;OAEAAGRycy9lMm9Eb2MueG1sUEsFBgAAAAAGAAYAWQEAAGcFAAAAAA==&#10;">
              <v:fill on="f" focussize="0,0"/>
              <v:stroke on="f" weight="1.25pt"/>
              <v:imagedata o:title=""/>
              <o:lock v:ext="edit" aspectratio="f"/>
              <v:textbox inset="0mm,0mm,0mm,0mm" style="mso-fit-shape-to-text:t;">
                <w:txbxContent>
                  <w:p>
                    <w:pPr>
                      <w:pStyle w:val="3"/>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center" w:y="1"/>
      <w:rPr>
        <w:rStyle w:val="8"/>
      </w:rPr>
    </w:pPr>
    <w:r>
      <w:fldChar w:fldCharType="begin"/>
    </w:r>
    <w:r>
      <w:rPr>
        <w:rStyle w:val="8"/>
      </w:rPr>
      <w:instrText xml:space="preserve">PAGE  </w:instrText>
    </w:r>
    <w:r>
      <w:fldChar w:fldCharType="separate"/>
    </w:r>
    <w:r>
      <w:fldChar w:fldCharType="end"/>
    </w:r>
  </w:p>
  <w:p>
    <w:pPr>
      <w:pStyle w:val="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15875">
                        <a:noFill/>
                      </a:ln>
                    </wps:spPr>
                    <wps:txbx>
                      <w:txbxContent>
                        <w:p>
                          <w:pPr>
                            <w:pStyle w:val="3"/>
                          </w:pPr>
                          <w:r>
                            <w:fldChar w:fldCharType="begin"/>
                          </w:r>
                          <w:r>
                            <w:instrText xml:space="preserve"> PAGE  \* MERGEFORMAT </w:instrText>
                          </w:r>
                          <w:r>
                            <w:fldChar w:fldCharType="separate"/>
                          </w:r>
                          <w:r>
                            <w:t>1</w:t>
                          </w:r>
                          <w:r>
                            <w:fldChar w:fldCharType="end"/>
                          </w:r>
                        </w:p>
                      </w:txbxContent>
                    </wps:txbx>
                    <wps:bodyPr wrap="none" lIns="0" tIns="0" rIns="0" bIns="0" upright="fals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BYAAABkcnMvUEsBAhQAFAAAAAgAh07iQGhpgkvTAAAABQEAAA8AAAAAAAAAAQAgAAAAOAAA&#10;AGRycy9kb3ducmV2LnhtbFBLAQIUABQAAAAIAIdO4kBBqCXevgEAAFwDAAAOAAAAAAAAAAEAIAAA&#10;ADgBAABkcnMvZTJvRG9jLnhtbFBLBQYAAAAABgAGAFkBAABoBQAAAAA=&#10;">
              <v:fill on="f" focussize="0,0"/>
              <v:stroke on="f" weight="1.25pt"/>
              <v:imagedata o:title=""/>
              <o:lock v:ext="edit" aspectratio="f"/>
              <v:textbox inset="0mm,0mm,0mm,0mm" style="mso-fit-shape-to-text:t;">
                <w:txbxContent>
                  <w:p>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CEF8945"/>
    <w:multiLevelType w:val="singleLevel"/>
    <w:tmpl w:val="5CEF8945"/>
    <w:lvl w:ilvl="0" w:tentative="0">
      <w:start w:val="1"/>
      <w:numFmt w:val="chineseCounting"/>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false"/>
  <w:bordersDoNotSurroundFooter w:val="false"/>
  <w:documentProtection w:enforcement="0"/>
  <w:defaultTabStop w:val="420"/>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BkZGQ2M2I2ZDNiMGFlYzM0ZmNjYmY5NGEzNTEzZjkifQ=="/>
  </w:docVars>
  <w:rsids>
    <w:rsidRoot w:val="27C800C3"/>
    <w:rsid w:val="0D592CA7"/>
    <w:rsid w:val="1DE7A82F"/>
    <w:rsid w:val="26A13CE2"/>
    <w:rsid w:val="27C800C3"/>
    <w:rsid w:val="33FC23A1"/>
    <w:rsid w:val="37B7FDD9"/>
    <w:rsid w:val="3B652498"/>
    <w:rsid w:val="5FEF4870"/>
    <w:rsid w:val="6E06D07B"/>
    <w:rsid w:val="73F87E1C"/>
    <w:rsid w:val="899D4535"/>
    <w:rsid w:val="A7DD2653"/>
    <w:rsid w:val="E71B17B6"/>
    <w:rsid w:val="F1FF7208"/>
    <w:rsid w:val="F7FF9418"/>
    <w:rsid w:val="FAE784FF"/>
    <w:rsid w:val="FBBFF6B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8"/>
      <w:lang w:val="en-US" w:eastAsia="zh-CN"/>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First Indent 2"/>
    <w:next w:val="1"/>
    <w:unhideWhenUsed/>
    <w:qFormat/>
    <w:uiPriority w:val="99"/>
    <w:pPr>
      <w:widowControl w:val="0"/>
      <w:spacing w:after="120"/>
      <w:ind w:left="420" w:leftChars="200" w:firstLine="420"/>
      <w:jc w:val="both"/>
    </w:pPr>
    <w:rPr>
      <w:rFonts w:ascii="Times New Roman" w:hAnsi="Times New Roman" w:eastAsia="宋体" w:cs="Times New Roman"/>
      <w:kern w:val="2"/>
      <w:sz w:val="21"/>
      <w:szCs w:val="24"/>
      <w:lang w:val="en-US" w:eastAsia="zh-CN" w:bidi="ar-SA"/>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rFonts w:ascii="Times New Roman" w:hAnsi="Times New Roman"/>
      <w:sz w:val="18"/>
    </w:rPr>
  </w:style>
  <w:style w:type="paragraph" w:styleId="5">
    <w:name w:val="toc 2"/>
    <w:next w:val="1"/>
    <w:qFormat/>
    <w:uiPriority w:val="0"/>
    <w:pPr>
      <w:widowControl/>
      <w:topLinePunct/>
      <w:spacing w:line="360" w:lineRule="auto"/>
      <w:ind w:left="240"/>
      <w:jc w:val="left"/>
    </w:pPr>
    <w:rPr>
      <w:rFonts w:ascii="Times New Roman" w:hAnsi="Times New Roman" w:eastAsia="宋体" w:cs="Times New Roman"/>
      <w:smallCaps/>
      <w:kern w:val="0"/>
      <w:sz w:val="20"/>
      <w:lang w:val="en-US" w:eastAsia="zh-CN" w:bidi="ar-SA"/>
    </w:rPr>
  </w:style>
  <w:style w:type="character" w:styleId="8">
    <w:name w:val="page number"/>
    <w:basedOn w:val="7"/>
    <w:qFormat/>
    <w:uiPriority w:val="0"/>
  </w:style>
  <w:style w:type="paragraph" w:customStyle="1" w:styleId="9">
    <w:name w:val="缺省文本"/>
    <w:basedOn w:val="1"/>
    <w:qFormat/>
    <w:uiPriority w:val="0"/>
    <w:pPr>
      <w:tabs>
        <w:tab w:val="left" w:pos="639"/>
        <w:tab w:val="center" w:pos="5670"/>
        <w:tab w:val="right" w:pos="7655"/>
      </w:tabs>
      <w:spacing w:before="80" w:beforeLines="0" w:beforeAutospacing="0" w:after="120" w:afterLines="0" w:afterAutospacing="0" w:line="360" w:lineRule="atLeast"/>
      <w:outlineLvl w:val="7"/>
    </w:pPr>
    <w:rPr>
      <w:rFonts w:eastAsia="楷体_GB2312"/>
      <w:spacing w:val="4"/>
      <w:kern w:val="28"/>
    </w:rPr>
  </w:style>
  <w:style w:type="paragraph" w:customStyle="1" w:styleId="10">
    <w:name w:val="Body text|1"/>
    <w:basedOn w:val="1"/>
    <w:qFormat/>
    <w:uiPriority w:val="0"/>
    <w:pPr>
      <w:spacing w:after="120" w:line="446" w:lineRule="auto"/>
      <w:ind w:firstLine="400"/>
    </w:pPr>
    <w:rPr>
      <w:rFonts w:ascii="宋体" w:hAnsi="宋体" w:eastAsia="宋体" w:cs="宋体"/>
      <w:sz w:val="22"/>
      <w:szCs w:val="22"/>
      <w:lang w:val="zh-TW" w:eastAsia="zh-TW" w:bidi="zh-TW"/>
    </w:rPr>
  </w:style>
  <w:style w:type="paragraph" w:customStyle="1" w:styleId="11">
    <w:name w:val=" Char Char Char Char"/>
    <w:basedOn w:val="1"/>
    <w:qFormat/>
    <w:uiPriority w:val="0"/>
    <w:pPr>
      <w:widowControl/>
      <w:spacing w:after="160" w:afterLines="0" w:line="240" w:lineRule="exact"/>
      <w:jc w:val="left"/>
    </w:pPr>
  </w:style>
  <w:style w:type="paragraph" w:customStyle="1" w:styleId="12">
    <w:name w:val=" Char1 Char Char Char"/>
    <w:basedOn w:val="1"/>
    <w:qFormat/>
    <w:uiPriority w:val="0"/>
    <w:pPr>
      <w:widowControl/>
      <w:spacing w:after="160" w:afterLines="0" w:afterAutospacing="0" w:line="240" w:lineRule="exact"/>
      <w:jc w:val="left"/>
    </w:p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6351</Words>
  <Characters>6422</Characters>
  <Lines>0</Lines>
  <Paragraphs>0</Paragraphs>
  <TotalTime>1</TotalTime>
  <ScaleCrop>false</ScaleCrop>
  <LinksUpToDate>false</LinksUpToDate>
  <CharactersWithSpaces>6425</CharactersWithSpaces>
  <Application>WPS Office_11.8.2.9849_F1E327BC-269C-435d-A152-05C5408002CA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2022-08-28T17:30:00Z</dcterms:created>
  <dc:creator>jqqin</dc:creator>
  <cp:lastModifiedBy>殷明明</cp:lastModifiedBy>
  <dcterms:modified xsi:type="dcterms:W3CDTF">2023-01-05T10:48:01Z</dcterms:modified>
  <dc:title>浙江中天东方氟硅材料股份有限公司首次公开发行股票申请文件反馈意见</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2052-11.8.2.9849</vt:lpwstr>
  </property>
  <property fmtid="{D5CDD505-2E9C-101B-9397-08002B2CF9AE}" pid="3" name="ICV">
    <vt:lpwstr>D7A9777A926C46C6B524F22C7AE44FC0</vt:lpwstr>
  </property>
</Properties>
</file>