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adjustRightInd w:val="0"/>
        <w:snapToGrid/>
        <w:spacing w:line="480" w:lineRule="exact"/>
        <w:ind w:left="0" w:leftChars="0" w:right="0" w:rightChars="0"/>
        <w:jc w:val="center"/>
        <w:textAlignment w:val="auto"/>
        <w:outlineLvl w:val="0"/>
        <w:rPr>
          <w:rFonts w:hint="default" w:ascii="Times New Roman" w:hAnsi="Times New Roman" w:eastAsia="华文中宋" w:cs="Times New Roman"/>
          <w:b/>
          <w:sz w:val="36"/>
          <w:szCs w:val="36"/>
          <w:lang w:eastAsia="zh-CN"/>
        </w:rPr>
      </w:pPr>
      <w:r>
        <w:rPr>
          <w:rFonts w:hint="default" w:ascii="Times New Roman" w:hAnsi="Times New Roman" w:eastAsia="华文中宋" w:cs="Times New Roman"/>
          <w:b/>
          <w:sz w:val="36"/>
          <w:szCs w:val="36"/>
          <w:lang w:eastAsia="zh-CN"/>
        </w:rPr>
        <w:t>富岭科技股份有限公司首次公开发行股票</w:t>
      </w:r>
    </w:p>
    <w:p>
      <w:pPr>
        <w:keepNext w:val="0"/>
        <w:keepLines w:val="0"/>
        <w:pageBreakBefore w:val="0"/>
        <w:widowControl w:val="0"/>
        <w:kinsoku/>
        <w:wordWrap/>
        <w:overflowPunct/>
        <w:topLinePunct w:val="0"/>
        <w:bidi w:val="0"/>
        <w:adjustRightInd w:val="0"/>
        <w:snapToGrid/>
        <w:spacing w:line="480" w:lineRule="exact"/>
        <w:ind w:left="0" w:leftChars="0" w:right="0" w:rightChars="0"/>
        <w:jc w:val="center"/>
        <w:textAlignment w:val="auto"/>
        <w:outlineLvl w:val="0"/>
        <w:rPr>
          <w:rFonts w:hint="default" w:ascii="Times New Roman" w:hAnsi="Times New Roman" w:eastAsia="华文中宋" w:cs="Times New Roman"/>
          <w:b/>
          <w:sz w:val="36"/>
          <w:szCs w:val="36"/>
        </w:rPr>
      </w:pPr>
      <w:r>
        <w:rPr>
          <w:rFonts w:hint="default" w:ascii="Times New Roman" w:hAnsi="Times New Roman" w:eastAsia="华文中宋" w:cs="Times New Roman"/>
          <w:b/>
          <w:sz w:val="36"/>
          <w:szCs w:val="36"/>
        </w:rPr>
        <w:t>申请文件反馈意见</w:t>
      </w:r>
    </w:p>
    <w:p>
      <w:pPr>
        <w:pStyle w:val="9"/>
        <w:keepNext w:val="0"/>
        <w:keepLines w:val="0"/>
        <w:pageBreakBefore w:val="0"/>
        <w:widowControl w:val="0"/>
        <w:tabs>
          <w:tab w:val="left" w:pos="1080"/>
        </w:tabs>
        <w:kinsoku/>
        <w:wordWrap/>
        <w:overflowPunct/>
        <w:topLinePunct w:val="0"/>
        <w:bidi w:val="0"/>
        <w:snapToGrid/>
        <w:spacing w:line="480" w:lineRule="exact"/>
        <w:ind w:left="0" w:leftChars="0" w:right="0" w:rightChars="0"/>
        <w:textAlignment w:val="auto"/>
        <w:rPr>
          <w:rFonts w:hint="default" w:ascii="Times New Roman" w:hAnsi="Times New Roman" w:eastAsia="宋体" w:cs="Times New Roman"/>
          <w:spacing w:val="0"/>
          <w:kern w:val="2"/>
        </w:rPr>
      </w:pPr>
      <w:r>
        <w:rPr>
          <w:rFonts w:hint="default" w:ascii="Times New Roman" w:hAnsi="Times New Roman" w:eastAsia="宋体" w:cs="Times New Roman"/>
          <w:spacing w:val="0"/>
          <w:kern w:val="2"/>
          <w:lang w:eastAsia="zh-CN"/>
        </w:rPr>
        <w:t>东兴证券股份有限公司：</w:t>
      </w:r>
    </w:p>
    <w:p>
      <w:pPr>
        <w:keepNext w:val="0"/>
        <w:keepLines w:val="0"/>
        <w:pageBreakBefore w:val="0"/>
        <w:widowControl w:val="0"/>
        <w:kinsoku/>
        <w:wordWrap/>
        <w:overflowPunct/>
        <w:topLinePunct w:val="0"/>
        <w:autoSpaceDE/>
        <w:autoSpaceDN/>
        <w:bidi w:val="0"/>
        <w:adjustRightInd/>
        <w:snapToGrid/>
        <w:spacing w:line="480" w:lineRule="exact"/>
        <w:ind w:firstLine="560"/>
        <w:textAlignment w:val="auto"/>
        <w:rPr>
          <w:rFonts w:hint="default" w:ascii="Times New Roman" w:hAnsi="Times New Roman" w:eastAsia="宋体" w:cs="Times New Roman"/>
          <w:spacing w:val="0"/>
          <w:kern w:val="2"/>
        </w:rPr>
      </w:pPr>
      <w:r>
        <w:rPr>
          <w:rFonts w:hint="default" w:ascii="Times New Roman" w:hAnsi="Times New Roman" w:eastAsia="宋体" w:cs="Times New Roman"/>
          <w:spacing w:val="0"/>
          <w:kern w:val="2"/>
        </w:rPr>
        <w:t>现对你公司推荐的</w:t>
      </w:r>
      <w:r>
        <w:rPr>
          <w:rFonts w:hint="default" w:ascii="Times New Roman" w:hAnsi="Times New Roman" w:cs="Times New Roman"/>
          <w:spacing w:val="0"/>
          <w:kern w:val="2"/>
        </w:rPr>
        <w:t>富岭</w:t>
      </w:r>
      <w:r>
        <w:rPr>
          <w:rFonts w:hint="default" w:ascii="Times New Roman" w:hAnsi="Times New Roman" w:eastAsia="宋体" w:cs="Times New Roman"/>
          <w:spacing w:val="0"/>
          <w:kern w:val="2"/>
        </w:rPr>
        <w:t>科技股份有限公司（以下简称</w:t>
      </w:r>
      <w:r>
        <w:rPr>
          <w:rFonts w:hint="eastAsia" w:ascii="宋体" w:hAnsi="宋体" w:eastAsia="宋体" w:cs="宋体"/>
          <w:spacing w:val="0"/>
          <w:kern w:val="2"/>
        </w:rPr>
        <w:t>“公司”或“发行人”</w:t>
      </w:r>
      <w:r>
        <w:rPr>
          <w:rFonts w:hint="default" w:ascii="Times New Roman" w:hAnsi="Times New Roman" w:eastAsia="宋体" w:cs="Times New Roman"/>
          <w:spacing w:val="0"/>
          <w:kern w:val="2"/>
        </w:rPr>
        <w:t>）</w:t>
      </w:r>
      <w:r>
        <w:rPr>
          <w:rFonts w:hint="default" w:ascii="Times New Roman" w:hAnsi="Times New Roman" w:eastAsia="宋体" w:cs="Times New Roman"/>
          <w:spacing w:val="0"/>
          <w:kern w:val="2"/>
          <w:lang w:eastAsia="zh-CN"/>
        </w:rPr>
        <w:t>首次公开发行股票</w:t>
      </w:r>
      <w:r>
        <w:rPr>
          <w:rFonts w:hint="default" w:ascii="Times New Roman" w:hAnsi="Times New Roman" w:eastAsia="宋体" w:cs="Times New Roman"/>
          <w:spacing w:val="0"/>
          <w:kern w:val="2"/>
        </w:rPr>
        <w:t>申请文件提出反馈意见，请你们在</w:t>
      </w:r>
      <w:r>
        <w:rPr>
          <w:rFonts w:hint="default" w:ascii="Times New Roman" w:hAnsi="Times New Roman" w:eastAsia="宋体" w:cs="Times New Roman"/>
          <w:spacing w:val="0"/>
          <w:kern w:val="2"/>
          <w:lang w:eastAsia="zh-CN"/>
        </w:rPr>
        <w:t>30</w:t>
      </w:r>
      <w:r>
        <w:rPr>
          <w:rFonts w:hint="default" w:ascii="Times New Roman" w:hAnsi="Times New Roman" w:eastAsia="宋体" w:cs="Times New Roman"/>
          <w:spacing w:val="0"/>
          <w:kern w:val="2"/>
        </w:rPr>
        <w:t>日内对下列问题逐项落实并提供书面回复和电子文档。若涉及对招股说明书的修改，请以楷体加粗标明。我会收到你们的回复后，将根据情况决定是否再次向你们发出反馈意见。如在30日内不能提供书面回复，请</w:t>
      </w:r>
      <w:r>
        <w:rPr>
          <w:rFonts w:hint="default" w:ascii="Times New Roman" w:hAnsi="Times New Roman" w:eastAsia="宋体" w:cs="Times New Roman"/>
          <w:b/>
          <w:bCs/>
          <w:spacing w:val="0"/>
          <w:kern w:val="2"/>
        </w:rPr>
        <w:t>提前10个工作日</w:t>
      </w:r>
      <w:r>
        <w:rPr>
          <w:rFonts w:hint="default" w:ascii="Times New Roman" w:hAnsi="Times New Roman" w:eastAsia="宋体" w:cs="Times New Roman"/>
          <w:spacing w:val="0"/>
          <w:kern w:val="2"/>
        </w:rPr>
        <w:t>向我会提交延期回复申请。如未能按期提交反馈意见，我会将予终止审查。若对本反馈意见有任何问题，请致电我会审核人员。</w:t>
      </w:r>
    </w:p>
    <w:p>
      <w:pPr>
        <w:keepNext w:val="0"/>
        <w:keepLines w:val="0"/>
        <w:pageBreakBefore w:val="0"/>
        <w:widowControl w:val="0"/>
        <w:numPr>
          <w:ilvl w:val="0"/>
          <w:numId w:val="1"/>
        </w:numPr>
        <w:kinsoku/>
        <w:wordWrap/>
        <w:overflowPunct/>
        <w:topLinePunct w:val="0"/>
        <w:bidi w:val="0"/>
        <w:snapToGrid/>
        <w:spacing w:before="0" w:beforeLines="0" w:beforeAutospacing="0" w:after="0" w:afterLines="0" w:afterAutospacing="0" w:line="480" w:lineRule="exact"/>
        <w:ind w:left="0" w:leftChars="0" w:right="0" w:rightChars="0" w:firstLine="560" w:firstLineChars="200"/>
        <w:jc w:val="both"/>
        <w:textAlignment w:val="auto"/>
        <w:outlineLvl w:val="0"/>
        <w:rPr>
          <w:rFonts w:hint="default" w:ascii="Times New Roman" w:hAnsi="Times New Roman" w:eastAsia="黑体" w:cs="Times New Roman"/>
          <w:sz w:val="28"/>
          <w:lang w:val="en-US" w:eastAsia="zh-CN"/>
        </w:rPr>
      </w:pPr>
      <w:r>
        <w:rPr>
          <w:rFonts w:hint="default" w:ascii="Times New Roman" w:hAnsi="Times New Roman" w:eastAsia="黑体" w:cs="Times New Roman"/>
          <w:sz w:val="28"/>
          <w:lang w:val="en-US" w:eastAsia="zh-CN"/>
        </w:rPr>
        <w:t>规范性问题</w:t>
      </w:r>
    </w:p>
    <w:p>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lang w:val="en-US" w:eastAsia="zh-CN"/>
        </w:rPr>
      </w:pPr>
      <w:r>
        <w:rPr>
          <w:rFonts w:hint="default" w:ascii="宋体" w:hAnsi="宋体" w:cs="宋体"/>
          <w:lang w:eastAsia="zh-CN"/>
        </w:rPr>
        <w:t>关于历史沿革。</w:t>
      </w:r>
      <w:r>
        <w:rPr>
          <w:rFonts w:hint="eastAsia" w:ascii="宋体" w:hAnsi="宋体" w:eastAsia="宋体" w:cs="宋体"/>
          <w:lang w:val="en-US" w:eastAsia="zh-CN"/>
        </w:rPr>
        <w:t>发行人历史上存在股份代持。沪盛公司、全信控股曾代松门塑料厂持有股份。请发行人说明：（1）历史上股份代持的原因，是否存在代持规避相关法律法规，上述代持是否彻底清理，清理过程是否符合法律法规的规定，是否双方真实意思表示，是否存在纠纷或潜在纠纷。（2）松门塑料厂、全信控股、沪盛公司的历史沿革，历次股权变动是否符合当时有效的法律、法规及规范性文件规定，是否涉及国有企业、集体企业改制或资产处置，相关程序是否存在瑕疵，是否造成国有、集体资产流失。（3）历史上发行人设立及存续期间是否存在不规范事项，如有则请补充披露具体内容、后续处理方式，以及是否受到过行政处罚或存在被处罚风险，是否构成重大违法行为及本次发行的法律障碍，是否存在纠纷或潜在纠纷。（4）历次增资及股权转让的原因，增资或股权转让价格，定价依据、公允性和合理性；股权转让是否真实，有关股权变动是否为双方真实意思表示，是否存在争议或潜在纠纷，是否存在委托持股、利益输送或其他利益安排。（5）发行人历次出资、增/减资、股权转让的资金来源、合法性，是否存在出资不实、抽逃资本等情况。（6）发行人直接和间接股东与发行人其他股东、董事、监事、高级管理人员、本次发行中介机构及其负责人、高级管理人员、经办人员是否存在亲属关系、关联关系、委托持股、信托持股或其他利益输送安排，是否具备法律、法规规定的股东资格。请保荐机构及发行人律师对上述问题核查并发表明确意见。</w:t>
      </w:r>
    </w:p>
    <w:p>
      <w:pPr>
        <w:pStyle w:val="10"/>
        <w:spacing w:after="0" w:line="460" w:lineRule="exact"/>
        <w:ind w:firstLine="560" w:firstLineChars="200"/>
        <w:rPr>
          <w:rFonts w:hint="eastAsia" w:ascii="宋体" w:hAnsi="宋体" w:eastAsia="宋体" w:cs="宋体"/>
          <w:kern w:val="2"/>
          <w:sz w:val="28"/>
          <w:szCs w:val="20"/>
          <w:lang w:val="en-US" w:eastAsia="zh-CN"/>
        </w:rPr>
      </w:pPr>
      <w:r>
        <w:rPr>
          <w:rFonts w:hint="default" w:cs="宋体"/>
          <w:kern w:val="2"/>
          <w:sz w:val="28"/>
          <w:szCs w:val="20"/>
          <w:lang w:eastAsia="zh-CN"/>
        </w:rPr>
        <w:t>2、关于私有化退市。</w:t>
      </w:r>
      <w:r>
        <w:rPr>
          <w:rFonts w:hint="eastAsia" w:ascii="宋体" w:hAnsi="宋体" w:eastAsia="宋体" w:cs="宋体"/>
          <w:kern w:val="2"/>
          <w:sz w:val="28"/>
          <w:szCs w:val="20"/>
          <w:lang w:val="en-US" w:eastAsia="zh-CN"/>
        </w:rPr>
        <w:t>富岭环球于2015年11月在纳斯达克实现境外上市。2020年，通过设立ParentCo、MergerCo等境外主体实现富岭环球私有化退市。请发行人</w:t>
      </w:r>
      <w:r>
        <w:rPr>
          <w:rFonts w:hint="default" w:cs="宋体"/>
          <w:kern w:val="2"/>
          <w:sz w:val="28"/>
          <w:szCs w:val="20"/>
          <w:lang w:eastAsia="zh-CN"/>
        </w:rPr>
        <w:t>说明</w:t>
      </w:r>
      <w:r>
        <w:rPr>
          <w:rFonts w:hint="eastAsia" w:ascii="宋体" w:hAnsi="宋体" w:eastAsia="宋体" w:cs="宋体"/>
          <w:kern w:val="2"/>
          <w:sz w:val="28"/>
          <w:szCs w:val="20"/>
          <w:lang w:val="en-US" w:eastAsia="zh-CN"/>
        </w:rPr>
        <w:t>：（1）发行人历史沿革中涉及股权变动、资产重组、私有化等行为是否符合境外投资、外商投资、返程投资、外汇管理等方面法律法规监管要求，是否存在违法违规情形，是否存在被相关有权机关行政处罚的风险，是否存在纠纷或潜在纠纷。（2）富岭环球私有化退市履行程序的合法合规性及完备性，私有化过程中是否存在异议股东，是否存在纠纷或潜在纠纷。（3）历次融资、股权转让、分红涉及的外汇资金跨境调动情况，是否属于返程投资并应办理外汇登记及变更登记等手续，是否符合外汇管理法律法规。（4）发行人及其控股股东</w:t>
      </w:r>
      <w:r>
        <w:rPr>
          <w:rFonts w:hint="default" w:cs="宋体"/>
          <w:kern w:val="2"/>
          <w:sz w:val="28"/>
          <w:szCs w:val="20"/>
          <w:lang w:eastAsia="zh-CN"/>
        </w:rPr>
        <w:t>、实际控制人</w:t>
      </w:r>
      <w:r>
        <w:rPr>
          <w:rFonts w:hint="eastAsia" w:ascii="宋体" w:hAnsi="宋体" w:eastAsia="宋体" w:cs="宋体"/>
          <w:kern w:val="2"/>
          <w:sz w:val="28"/>
          <w:szCs w:val="20"/>
          <w:lang w:val="en-US" w:eastAsia="zh-CN"/>
        </w:rPr>
        <w:t>在红筹架构搭建、存续及私有化退市过程中是否存在违法违规情形，是否存在行政处罚风险。（5）报告期内各年度境外股东的经营情况、主要财务数据、是否存在重大违法违规，相关股东（含已注销公司）是否存在为发行人承担成本费用的情形，是否存在委托持股或其他利益安排。（6）私有化对价及相关费用的资金来源，是否存在第三方提供借款的情形，资金来源是否合法合规。请保荐机构及发行人律师对上述问题核查并发表明确意见。</w:t>
      </w:r>
    </w:p>
    <w:p>
      <w:pPr>
        <w:pStyle w:val="10"/>
        <w:spacing w:after="0" w:line="460" w:lineRule="exact"/>
        <w:ind w:firstLine="560" w:firstLineChars="200"/>
        <w:rPr>
          <w:rFonts w:hint="eastAsia" w:ascii="宋体" w:hAnsi="宋体" w:eastAsia="宋体" w:cs="宋体"/>
          <w:kern w:val="2"/>
          <w:sz w:val="28"/>
          <w:szCs w:val="20"/>
          <w:lang w:val="en-US" w:eastAsia="zh-CN"/>
        </w:rPr>
      </w:pPr>
      <w:r>
        <w:rPr>
          <w:rFonts w:hint="default" w:cs="宋体"/>
          <w:kern w:val="2"/>
          <w:sz w:val="28"/>
          <w:szCs w:val="20"/>
          <w:lang w:eastAsia="zh-CN"/>
        </w:rPr>
        <w:t>3、关于实际控制人。</w:t>
      </w:r>
      <w:r>
        <w:rPr>
          <w:rFonts w:hint="eastAsia" w:ascii="宋体" w:hAnsi="宋体" w:eastAsia="宋体" w:cs="宋体"/>
          <w:kern w:val="2"/>
          <w:sz w:val="28"/>
          <w:szCs w:val="20"/>
          <w:lang w:val="en-US" w:eastAsia="zh-CN"/>
        </w:rPr>
        <w:t>公司实际控制人为江桂兰、胡乾母子。朱素娟和江金学、江晗语系母子和母女关系，江金学和江晗语系江桂兰的侄子和侄女，江桂富和潘春领系江桂兰的弟弟和弟媳，朱素娟、江金学、江晗语、江桂富、潘春领均间接持有发行人股份，朱素娟为发行人董事。请发行人：（1）结合控股股东的历史沿革，江桂兰、胡乾最近3年在发行人及控股股东的任职情况、在经营决策中发挥的具体作用、直接</w:t>
      </w:r>
      <w:r>
        <w:rPr>
          <w:rFonts w:hint="default" w:cs="宋体"/>
          <w:kern w:val="2"/>
          <w:sz w:val="28"/>
          <w:szCs w:val="20"/>
          <w:lang w:eastAsia="zh-CN"/>
        </w:rPr>
        <w:t>/</w:t>
      </w:r>
      <w:r>
        <w:rPr>
          <w:rFonts w:hint="eastAsia" w:ascii="宋体" w:hAnsi="宋体" w:eastAsia="宋体" w:cs="宋体"/>
          <w:kern w:val="2"/>
          <w:sz w:val="28"/>
          <w:szCs w:val="20"/>
          <w:lang w:val="en-US" w:eastAsia="zh-CN"/>
        </w:rPr>
        <w:t>间接持有发行人股份数量及占比的变动情况，以及报告期内发行人及控股股东的公司治理、三会运作及决策情况、经营管理的实际运作情况等，说明江桂兰、胡乾能否对控股股东及发行人实施有效控制，最近3年发行人实际控制人是否发生变更及其依据。（2）朱素娟、江金学、江晗语、江桂富、潘春领及其控制的企业是否存在与发行人利益冲突的情形、是否存在与发行人及其子公司从事相同或相似业务的情形，是否存在未将朱素娟、江金学、江晗语、江桂富、潘春领认定为共同实际控制人以规避同业竞争</w:t>
      </w:r>
      <w:r>
        <w:rPr>
          <w:rFonts w:hint="default" w:cs="宋体"/>
          <w:kern w:val="2"/>
          <w:sz w:val="28"/>
          <w:szCs w:val="20"/>
          <w:lang w:eastAsia="zh-CN"/>
        </w:rPr>
        <w:t>、</w:t>
      </w:r>
      <w:r>
        <w:rPr>
          <w:rFonts w:hint="eastAsia" w:ascii="宋体" w:hAnsi="宋体" w:eastAsia="宋体" w:cs="宋体"/>
          <w:kern w:val="2"/>
          <w:sz w:val="28"/>
          <w:szCs w:val="20"/>
          <w:lang w:val="en-US" w:eastAsia="zh-CN"/>
        </w:rPr>
        <w:t>关联交易</w:t>
      </w:r>
      <w:r>
        <w:rPr>
          <w:rFonts w:hint="default" w:cs="宋体"/>
          <w:kern w:val="2"/>
          <w:sz w:val="28"/>
          <w:szCs w:val="20"/>
          <w:lang w:eastAsia="zh-CN"/>
        </w:rPr>
        <w:t>、股份锁定期</w:t>
      </w:r>
      <w:r>
        <w:rPr>
          <w:rFonts w:hint="eastAsia" w:ascii="宋体" w:hAnsi="宋体" w:eastAsia="宋体" w:cs="宋体"/>
          <w:kern w:val="2"/>
          <w:sz w:val="28"/>
          <w:szCs w:val="20"/>
          <w:lang w:val="en-US" w:eastAsia="zh-CN"/>
        </w:rPr>
        <w:t>监管要求的情形。请保荐机构及发行人律师对上述问题核查并发表明确意见。</w:t>
      </w:r>
    </w:p>
    <w:p>
      <w:pPr>
        <w:pStyle w:val="10"/>
        <w:spacing w:after="0" w:line="460" w:lineRule="exact"/>
        <w:ind w:firstLine="560" w:firstLineChars="200"/>
        <w:rPr>
          <w:rFonts w:hint="default" w:ascii="宋体" w:hAnsi="宋体" w:eastAsia="宋体" w:cs="宋体"/>
          <w:kern w:val="2"/>
          <w:sz w:val="28"/>
          <w:szCs w:val="20"/>
          <w:lang w:eastAsia="zh-CN"/>
        </w:rPr>
      </w:pPr>
      <w:r>
        <w:rPr>
          <w:rFonts w:hint="default" w:cs="宋体"/>
          <w:kern w:val="2"/>
          <w:sz w:val="28"/>
          <w:szCs w:val="20"/>
          <w:lang w:eastAsia="zh-CN"/>
        </w:rPr>
        <w:t>4、关于同业竞争。请发行人：</w:t>
      </w:r>
      <w:r>
        <w:rPr>
          <w:rFonts w:hint="default" w:cs="宋体"/>
          <w:kern w:val="2"/>
          <w:sz w:val="28"/>
          <w:szCs w:val="20"/>
          <w:lang w:val="en-US" w:eastAsia="zh-CN"/>
        </w:rPr>
        <w:t>（1）逐一补充</w:t>
      </w:r>
      <w:r>
        <w:rPr>
          <w:rFonts w:hint="default" w:cs="宋体"/>
          <w:kern w:val="2"/>
          <w:sz w:val="28"/>
          <w:szCs w:val="20"/>
          <w:lang w:eastAsia="zh-CN"/>
        </w:rPr>
        <w:t>说明</w:t>
      </w:r>
      <w:r>
        <w:rPr>
          <w:rFonts w:hint="default" w:cs="宋体"/>
          <w:kern w:val="2"/>
          <w:sz w:val="28"/>
          <w:szCs w:val="20"/>
          <w:lang w:val="en-US" w:eastAsia="zh-CN"/>
        </w:rPr>
        <w:t>实际控制人、控股股东及其近亲属（包括朱素娟、江金学、江晗语、江桂富、潘春领等）全资或控股的企业，进一步说明是否存在与公司利益冲突的情形、是否存在与公司及其子公司从事相同或相似业务的情形，如存在，请说明对公司独立性的影响。（2）认定不存在同业竞争关系时，是否已经审慎核查并完整地披露发行人控股股东、实际控制人及其近亲属直接或间接控制的全部关联企业。（3）上述企业的实际经营业务，说明是否简单依据经营范围对同业竞争做出判断，是否仅以经营区域、细分产品、细分市场的不同来认定不构成同业竞争。（4）上述企业的历史沿革、资产、人员、业务和技术等方面与发行人的关系，采购销售渠道、客户、供应商等方面是否影响发行人的独立性。请保荐机构、发行人律师核查并发表意见。</w:t>
      </w:r>
    </w:p>
    <w:p>
      <w:pPr>
        <w:pStyle w:val="10"/>
        <w:spacing w:after="0" w:line="460" w:lineRule="exact"/>
        <w:ind w:firstLine="560" w:firstLineChars="200"/>
        <w:rPr>
          <w:rFonts w:hint="eastAsia" w:cs="宋体"/>
          <w:kern w:val="2"/>
          <w:sz w:val="28"/>
          <w:szCs w:val="20"/>
          <w:lang w:val="en-US" w:eastAsia="zh-CN"/>
        </w:rPr>
      </w:pPr>
      <w:r>
        <w:rPr>
          <w:rFonts w:hint="default" w:cs="宋体"/>
          <w:kern w:val="2"/>
          <w:sz w:val="28"/>
          <w:szCs w:val="20"/>
          <w:lang w:eastAsia="zh-CN"/>
        </w:rPr>
        <w:t>5、关于关联交易</w:t>
      </w:r>
      <w:r>
        <w:rPr>
          <w:rFonts w:hint="eastAsia" w:cs="宋体"/>
          <w:kern w:val="2"/>
          <w:sz w:val="28"/>
          <w:szCs w:val="20"/>
          <w:lang w:val="en-US" w:eastAsia="zh-CN"/>
        </w:rPr>
        <w:t>。报告期内发行人关联方存在资金拆借情形。请发行人说明：（1）发行人是否按照《公司法》《企业会计准则》《上市公司信息披露管理办法》及其他相关规定完整、准确地披露关联方关系及交易。（2）关联方资金占用情况，是否已彻底整改，相关内控制度完善情况，对本次发行上市的影响，后续如何防范资金占用情形的发生。（3）报告期关联交易的定价依据及公允性，是否存在替发行人分担成本、费用的情况，是否存在利益输送等其他利益安排。（4）发行人减少关联交易的控制措施是否有效。（5）发行人关联交易履行的审批程序，公司治理是否健全有效，是否存在未及时按规定履行必要的决策程序、后续补充确认的情况，相关会议制度、内部控制措施是否切实有效执行。（6）已终止的关联交易的原关联方的替代方式和对象，是否存在关联交易非关联化。保荐机构及发行人律师应对发行人的关联方认定，发行人关联交易信息披露的完整性，关联交易的必要性、合理性和公允性，关联交易是否影响发行人的独立性、是否可能对发行产生重大不利影响，以及是否已履行关联交易决策程序等进行充分核查并发表意见。</w:t>
      </w:r>
    </w:p>
    <w:p>
      <w:pPr>
        <w:pStyle w:val="10"/>
        <w:spacing w:after="0" w:line="460" w:lineRule="exact"/>
        <w:ind w:firstLine="560" w:firstLineChars="200"/>
        <w:rPr>
          <w:rFonts w:hint="eastAsia" w:cs="宋体"/>
          <w:kern w:val="2"/>
          <w:sz w:val="28"/>
          <w:szCs w:val="20"/>
          <w:lang w:val="en-US" w:eastAsia="zh-CN"/>
        </w:rPr>
      </w:pPr>
      <w:r>
        <w:rPr>
          <w:rFonts w:hint="default" w:cs="宋体"/>
          <w:kern w:val="2"/>
          <w:sz w:val="28"/>
          <w:szCs w:val="20"/>
          <w:lang w:eastAsia="zh-CN"/>
        </w:rPr>
        <w:t>6、</w:t>
      </w:r>
      <w:r>
        <w:rPr>
          <w:rFonts w:hint="eastAsia" w:cs="宋体"/>
          <w:kern w:val="2"/>
          <w:sz w:val="28"/>
          <w:szCs w:val="20"/>
          <w:lang w:val="en-US" w:eastAsia="zh-CN"/>
        </w:rPr>
        <w:t>报告期内，发行人主营业务收入金额分别为106,954.36万元、106,568.41万元和145,328.94万元，其中塑料餐饮具产品销售收入占比分别为95.20%、93.03%和80.57%；生物降解材料餐饮具、纸制品及其他报告期内收入增幅较大。请发行人：（1）按照塑料餐饮具、生物降解材料餐饮具和纸制品及其他的细分产品类别，说明平均销售单价、单位成本、销量、销售金额及占比、毛利率水平和主要客户构成，相关数据指标变动情况及原因、与同行业可比公司差异情况及原因分析；（2）按照交易金额分层，说明各期不同销售金额区间的客户数量、金额、占比及变动情况，各区间的新增客户中已有合作历史和完全新增客户的数量、销售金额和占比，是否存在所有新增客户均为初次合作的情形，退出客户中继续与发行人进行合作和完全终止与发行人进行合作的数量、金额和占比，是否存在客户退出后注销的情形，是否存在短期合作后又终止与发行人合作的情形；（3）说明合同条款中关于退换货、可变对价的具体约定，报告期实际退换货情况，相关会计处理及是否符合《企业会计准则》的规定；（4）结合所处行业、前述主要产品构成及客户情况、同行业可比公司等说明发行人报告期内塑料餐饮具产品收入波动、生物降解材料餐饮具和纸制品及其他收入大幅增加的原因及合理性，与同行业可比公司差异情况及原因分析；（5）说明收入的季节性特征是否符合行业惯例、期后退换货情况、是否存在跨期确认收入及年末集中确认收入的情形；（6）结合合同具体约定，详细说明收入确认政策，收入确认的凭证及外部证据，相关会计处理是否符合《企业会计准则》的规定。请保荐机构、会计师核查并发表明确意见，重点说明对发行人销售收入真实性的核查情况、核查程序、取得的外部证据、核查结论以及收入截止性测试情况、测试方法、测试金额及占比。</w:t>
      </w:r>
    </w:p>
    <w:p>
      <w:pPr>
        <w:pStyle w:val="10"/>
        <w:spacing w:after="0" w:line="460" w:lineRule="exact"/>
        <w:ind w:firstLine="560" w:firstLineChars="200"/>
        <w:rPr>
          <w:rFonts w:hint="eastAsia" w:cs="宋体"/>
          <w:kern w:val="2"/>
          <w:sz w:val="28"/>
          <w:szCs w:val="20"/>
          <w:lang w:val="en-US" w:eastAsia="zh-CN"/>
        </w:rPr>
      </w:pPr>
      <w:r>
        <w:rPr>
          <w:rFonts w:hint="default" w:cs="宋体"/>
          <w:kern w:val="2"/>
          <w:sz w:val="28"/>
          <w:szCs w:val="20"/>
          <w:lang w:eastAsia="zh-CN"/>
        </w:rPr>
        <w:t>7、</w:t>
      </w:r>
      <w:r>
        <w:rPr>
          <w:rFonts w:hint="eastAsia" w:cs="宋体"/>
          <w:kern w:val="2"/>
          <w:sz w:val="28"/>
          <w:szCs w:val="20"/>
          <w:lang w:val="en-US" w:eastAsia="zh-CN"/>
        </w:rPr>
        <w:t>报告期内，发行人外销收入占主营业务的比例分别为96.37%、92.10%和81.57%，主要销售区域为美国，境外销售主要分为FOB模式、DDP模式和境外子公司当地销售模式；中美贸易摩擦后，美国对塑料吸管、杯盖和纸杯等纸制品加征了25%的关税，发行人通过在美国、墨西哥和印度尼西亚的产能布局降低贸易摩擦对公司的影响；此外，对于塑料吸管出口，FOB模式下，额外加征关税均由客户承担，DDP模式下，额外加征的关税主要由客户承担。请发行人：（1）按照国别或者地区说明外销产品的种类、销量、销售金额及占比、对应主要客户及变动情况，不同国家或地区销售同类产品的平均单价、单位成本和毛利率情况，并说明差异的原因及合理性；（2）说明外销和内销同类产品的平均销售单价、单位成本和毛利率的差异情况及原因分析，境外销售与海关报关、出口退税等数据的匹配性；（3）说明FOB、DDP 等不同贸易方式下的收入金额及占比、运费和保险费的会计处理，对比同行业可比公司的收入确认政策，说明发行人的收入确认时点是否符合《企业会计准则》的规定；（4）说明境外销售前五名客户基本情况，包括但不限于客户名称、成立时间、经营范围、经营规模、是否终端客户，订单获取方式、合作历史、主要销售合同、结算及信用政策、退换货政策、实际退换货情况等，销售具体产品、金额及占比、毛利率、应收账款及回款情况；（5）对比发行人相关产品加征关税前后销售价格、销量、销售金额变化情况，母公司及各子公司相关产品的主要产能、产量、销售收入、单价、数量等变化情况，并结合行业竞争格局、发行人竞争优势、合同相关约定、同行业可比公司情况等说明发行人关税转嫁情况及转嫁能力的合理性、可持续性，并完善风险提示；（6）说明报告期内汇兑损益的计算过程及会计处理，汇兑损益计算是否准确，报告期内相关汇率变动趋势与发行人出口收入、发行人汇兑损益之间的匹配性。请保荐机构、会计师核查并发表明确意见，说明境外主要客户的交货方式、运费承担方式以及对发行人主要客户及对应终端客户的视频走访、实地走访及函证程序、比例、走访及函证差异情况，存在差异的分析具体原因，替代程序的具体方法、比例及差异情况。</w:t>
      </w:r>
    </w:p>
    <w:p>
      <w:pPr>
        <w:pStyle w:val="10"/>
        <w:spacing w:after="0" w:line="460" w:lineRule="exact"/>
        <w:ind w:firstLine="560" w:firstLineChars="200"/>
        <w:rPr>
          <w:rFonts w:hint="eastAsia" w:cs="宋体"/>
          <w:kern w:val="2"/>
          <w:sz w:val="28"/>
          <w:szCs w:val="20"/>
          <w:lang w:val="en-US" w:eastAsia="zh-CN"/>
        </w:rPr>
      </w:pPr>
      <w:r>
        <w:rPr>
          <w:rFonts w:hint="default" w:cs="宋体"/>
          <w:kern w:val="2"/>
          <w:sz w:val="28"/>
          <w:szCs w:val="20"/>
          <w:lang w:eastAsia="zh-CN"/>
        </w:rPr>
        <w:t>8、</w:t>
      </w:r>
      <w:r>
        <w:rPr>
          <w:rFonts w:hint="eastAsia" w:cs="宋体"/>
          <w:kern w:val="2"/>
          <w:sz w:val="28"/>
          <w:szCs w:val="20"/>
          <w:lang w:val="en-US" w:eastAsia="zh-CN"/>
        </w:rPr>
        <w:t>招股说明书披露，美国的少数州已经出台限制塑料吸管使用的法案，部分其他国家已出台的限塑政策；2020年1月16日，国家发展改革委、生态环境部印发《关于进一步加强塑料污染治理的意见》；发行人可以利用现有生产设备，既可以使用传统塑料原材料生产产品，亦可以使用生物降解材料生产产品。请发行人：（1）说明美国各州、市的限塑政策情况，受限塑政策影响的具体产品及销售情况，对比限塑政策前后发行人在地区销售情况说明限塑政策的具体影响，相关限塑政策是否存在进一步收紧的可能、其他州、市是否存在出台相关限塑政策的可能，是否会对发行人在美国地区的销售产生重大不利影响；（2）说明国内限塑政策的具体要求，发行人受国内限塑政策影响的具体产品、收入及占比，相关生产设备、模具的使用及减值情况；（3）结合其他地区限塑政策、发行人销售情况等相关限塑政策限制的各产品的销售金额和占比情况；（4）结合使用传统塑料原材料、生物降解材料的核心技术、生产工艺、机器设备、人员及资源投入等方面的差异情况，说明利用现有设备生产生物降解产品的可行性、是否涉及生产线更新改造及预计投入情况、传统塑料制品现有项目及募投项目生产线预计减值情况以及对发行人经营业绩的影响；（5）结合前述相关问题回复，进一步完善“行业政策变化风险”的相关内容。请保荐机构、会计师核查并发表明确意见。</w:t>
      </w:r>
    </w:p>
    <w:p>
      <w:pPr>
        <w:pStyle w:val="10"/>
        <w:spacing w:after="0" w:line="460" w:lineRule="exact"/>
        <w:ind w:firstLine="560" w:firstLineChars="200"/>
        <w:rPr>
          <w:rFonts w:hint="eastAsia" w:cs="宋体"/>
          <w:kern w:val="2"/>
          <w:sz w:val="28"/>
          <w:szCs w:val="20"/>
          <w:lang w:val="en-US" w:eastAsia="zh-CN"/>
        </w:rPr>
      </w:pPr>
      <w:r>
        <w:rPr>
          <w:rFonts w:hint="default" w:cs="宋体"/>
          <w:kern w:val="2"/>
          <w:sz w:val="28"/>
          <w:szCs w:val="20"/>
          <w:lang w:eastAsia="zh-CN"/>
        </w:rPr>
        <w:t>9、</w:t>
      </w:r>
      <w:r>
        <w:rPr>
          <w:rFonts w:hint="eastAsia" w:cs="宋体"/>
          <w:kern w:val="2"/>
          <w:sz w:val="28"/>
          <w:szCs w:val="20"/>
          <w:lang w:val="en-US" w:eastAsia="zh-CN"/>
        </w:rPr>
        <w:t>报告期内，发行人主要采购PP、PS、PLA及PLA改性料等原材料，主营业务成本主要由直接材料、直接人工、制造费用和运输服务费构成，其中运输费用金额及占比增幅较大，主要系受疫情影响国际海运费大幅上涨；植物源新材料成立于2019年11月，为发行人2021年第二大供应商。请发行人：（1）按具体采购内容分别列示前五名供应商的基本情况、采购数量、采购单价、采购金额、结算方式、付款周期以及与发行人及其控股股东、实际控制人、董事、监事、高级管理人员、持股5%以上股东是否存在关联关系等；（2）说明供应商的选择标准及程序、前五大供应商变动的原因及合理性，是否存在供应商依赖的情形，植物源新材料采购的必要性及价格公允性，是否存在其他供应商成立当年或次年即成为前五大供应商的情形及原因分析；（3）说明报告期各期主要原材料的采购耗用比、原材料单位成本耗用、损耗率、投入与产出的配比情况及变动原因，结合公开市场、第三方资料、可比公司同类型原材料采购单价等说明报告期各期主要原材料采购单价的公允性；说明原材料采购量和采购金额与发行人业务规模的匹配性，各材料耗用数量与各产品产量之间对应关系，报告期各期耗用能源数量与产品产量之间的对应关系；（4）结合产品定价方法和策略，说明主要原材料价格波动对产品单位成本、销售单价的具体影响，是否与供应商约定原材料锁价、价格上涨的风险承担相关条款；（5）说明不同类型产品的成本构成情况，各项业务中主要成本的核算及结转方式、成本核算的过程和控制的关键环节，举例说明成本核算的准确性、完整性。请保荐机构、会计师核查并发表明确意见。</w:t>
      </w:r>
    </w:p>
    <w:p>
      <w:pPr>
        <w:pStyle w:val="10"/>
        <w:spacing w:after="0" w:line="460" w:lineRule="exact"/>
        <w:ind w:firstLine="560" w:firstLineChars="200"/>
        <w:rPr>
          <w:rFonts w:hint="eastAsia" w:cs="宋体"/>
          <w:kern w:val="2"/>
          <w:sz w:val="28"/>
          <w:szCs w:val="20"/>
          <w:lang w:val="en-US" w:eastAsia="zh-CN"/>
        </w:rPr>
      </w:pPr>
      <w:r>
        <w:rPr>
          <w:rFonts w:hint="default" w:cs="宋体"/>
          <w:kern w:val="2"/>
          <w:sz w:val="28"/>
          <w:szCs w:val="20"/>
          <w:lang w:eastAsia="zh-CN"/>
        </w:rPr>
        <w:t>10、</w:t>
      </w:r>
      <w:r>
        <w:rPr>
          <w:rFonts w:hint="eastAsia" w:cs="宋体"/>
          <w:kern w:val="2"/>
          <w:sz w:val="28"/>
          <w:szCs w:val="20"/>
          <w:lang w:val="en-US" w:eastAsia="zh-CN"/>
        </w:rPr>
        <w:t>报告期内，发行人的主营业务毛利率分别为24.07%、20.16%和18.03%，低于同行业可比公司；其中塑料餐饮具、生物降解材料餐饮具均呈下降趋势，主要受原材料价格波动、海运费及具体产品结构等的影响。请发行人：（1）结合原材料价格、运输费用、产品结构、销售价格调整及传导机制等，量化说明发行人塑料餐饮具、生物降解材料餐饮具毛利率持续下降的原因及合理性；（2）对比同行业可比公司同类型产品售价、原材料采购价和毛利率情况，说明与同行业可比公司可比产品的毛利率变动的差异情况及原因分析；（3）说明报告期内是否存在对于个别客户销售毛利率明显高于或低于其他客户的情况，如有，请列示并说明原因。请保荐机构、会计师核查并发表明确意见。</w:t>
      </w:r>
    </w:p>
    <w:p>
      <w:pPr>
        <w:keepNext w:val="0"/>
        <w:keepLines w:val="0"/>
        <w:pageBreakBefore w:val="0"/>
        <w:widowControl w:val="0"/>
        <w:numPr>
          <w:ilvl w:val="0"/>
          <w:numId w:val="1"/>
        </w:numPr>
        <w:kinsoku/>
        <w:wordWrap/>
        <w:overflowPunct/>
        <w:topLinePunct w:val="0"/>
        <w:bidi w:val="0"/>
        <w:snapToGrid/>
        <w:spacing w:before="0" w:beforeLines="0" w:beforeAutospacing="0" w:after="0" w:afterLines="0" w:afterAutospacing="0" w:line="480" w:lineRule="exact"/>
        <w:ind w:left="0" w:leftChars="0" w:right="0" w:rightChars="0" w:firstLine="560" w:firstLineChars="200"/>
        <w:jc w:val="both"/>
        <w:textAlignment w:val="auto"/>
        <w:outlineLvl w:val="0"/>
        <w:rPr>
          <w:rFonts w:hint="default" w:ascii="Times New Roman" w:hAnsi="Times New Roman" w:eastAsia="黑体" w:cs="Times New Roman"/>
          <w:sz w:val="28"/>
          <w:lang w:val="en-US" w:eastAsia="zh-CN"/>
        </w:rPr>
      </w:pPr>
      <w:r>
        <w:rPr>
          <w:rFonts w:hint="default" w:cs="宋体"/>
          <w:kern w:val="2"/>
          <w:sz w:val="28"/>
          <w:szCs w:val="20"/>
          <w:lang w:val="en-US" w:eastAsia="zh-CN"/>
        </w:rPr>
        <w:t xml:space="preserve"> </w:t>
      </w:r>
      <w:r>
        <w:rPr>
          <w:rFonts w:hint="eastAsia" w:ascii="Times New Roman" w:hAnsi="Times New Roman" w:eastAsia="黑体" w:cs="Times New Roman"/>
          <w:sz w:val="28"/>
          <w:lang w:val="en-US" w:eastAsia="zh-CN"/>
        </w:rPr>
        <w:t>信息披露</w:t>
      </w:r>
      <w:r>
        <w:rPr>
          <w:rFonts w:hint="default" w:ascii="Times New Roman" w:hAnsi="Times New Roman" w:eastAsia="黑体" w:cs="Times New Roman"/>
          <w:sz w:val="28"/>
          <w:lang w:val="en-US" w:eastAsia="zh-CN"/>
        </w:rPr>
        <w:t>问题</w:t>
      </w:r>
    </w:p>
    <w:p>
      <w:pPr>
        <w:pStyle w:val="10"/>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11、关于</w:t>
      </w:r>
      <w:r>
        <w:rPr>
          <w:rFonts w:hint="default" w:cs="宋体"/>
          <w:kern w:val="2"/>
          <w:sz w:val="28"/>
          <w:szCs w:val="20"/>
          <w:lang w:val="en-US" w:eastAsia="zh-CN"/>
        </w:rPr>
        <w:t>员工持股平台</w:t>
      </w:r>
      <w:r>
        <w:rPr>
          <w:rFonts w:hint="default" w:cs="宋体"/>
          <w:kern w:val="2"/>
          <w:sz w:val="28"/>
          <w:szCs w:val="20"/>
          <w:lang w:eastAsia="zh-CN"/>
        </w:rPr>
        <w:t>。</w:t>
      </w:r>
      <w:r>
        <w:rPr>
          <w:rFonts w:hint="default" w:cs="宋体"/>
          <w:kern w:val="2"/>
          <w:sz w:val="28"/>
          <w:szCs w:val="20"/>
          <w:lang w:val="en-US" w:eastAsia="zh-CN"/>
        </w:rPr>
        <w:t>公司股东益升咨询为员工持股平台。请发行人</w:t>
      </w:r>
      <w:r>
        <w:rPr>
          <w:rFonts w:hint="default" w:cs="宋体"/>
          <w:kern w:val="2"/>
          <w:sz w:val="28"/>
          <w:szCs w:val="20"/>
          <w:lang w:eastAsia="zh-CN"/>
        </w:rPr>
        <w:t>说明</w:t>
      </w:r>
      <w:r>
        <w:rPr>
          <w:rFonts w:hint="default" w:cs="宋体"/>
          <w:kern w:val="2"/>
          <w:sz w:val="28"/>
          <w:szCs w:val="20"/>
          <w:lang w:val="en-US" w:eastAsia="zh-CN"/>
        </w:rPr>
        <w:t>：（1）益升咨询合伙人在发行人的任职情况，是否存在外部投资人，未在发行人处任职的合伙人与发行人股东、董监高、客户、供应商及其股东之间的关系情况，员工持股平台合伙人与发行人股东、董监高、核心技术人员是否存在亲属关系、关联关系、委托持股关系。（2）益升咨询合伙人在平台内部的流转、退出机制</w:t>
      </w:r>
      <w:r>
        <w:rPr>
          <w:rFonts w:hint="default" w:cs="宋体"/>
          <w:kern w:val="2"/>
          <w:sz w:val="28"/>
          <w:szCs w:val="20"/>
          <w:lang w:eastAsia="zh-CN"/>
        </w:rPr>
        <w:t>、合伙份额锁定期安排</w:t>
      </w:r>
      <w:r>
        <w:rPr>
          <w:rFonts w:hint="default" w:cs="宋体"/>
          <w:kern w:val="2"/>
          <w:sz w:val="28"/>
          <w:szCs w:val="20"/>
          <w:lang w:val="en-US" w:eastAsia="zh-CN"/>
        </w:rPr>
        <w:t>，以及股权管理机制。（3）合伙人出资款项来源及合法合规性，是否存在委托持股或其他利益安排，出资是否存在纠纷或潜在纠纷。（4）益升咨询出资发行人及历次股权变动是否构成股份支付及判断依据。请保荐机构和发行人律师核查并发表明确意见。</w:t>
      </w:r>
    </w:p>
    <w:p>
      <w:pPr>
        <w:pStyle w:val="10"/>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12、关于资产重组。</w:t>
      </w:r>
      <w:r>
        <w:rPr>
          <w:rFonts w:hint="default" w:cs="宋体"/>
          <w:kern w:val="2"/>
          <w:sz w:val="28"/>
          <w:szCs w:val="20"/>
          <w:lang w:val="en-US" w:eastAsia="zh-CN"/>
        </w:rPr>
        <w:t>报告期内，发行人及其子公司收购了DOMO 100%股权、格润特新材料100%股权、墨西哥富岭100%股权。请发行人：（1）说明上述被收购企业历史上出资是否到位，是否存在纠纷或潜在纠纷，是否存在委托持股或其他利益安排。（2）说明业务重组的定价依据及公允性。（3）说明相关价款实际支付情况，收购资金来源及合法性。收购墨西哥富岭无需支付对价的原因，是否存在其他利益安排，是否存在纠纷或潜在纠纷。（4）对照证券期货法律适用意见第3号、</w:t>
      </w:r>
      <w:r>
        <w:rPr>
          <w:rFonts w:hint="default" w:cs="宋体"/>
          <w:kern w:val="2"/>
          <w:sz w:val="28"/>
          <w:szCs w:val="20"/>
          <w:lang w:eastAsia="zh-CN"/>
        </w:rPr>
        <w:t>《首发业务若干问题解答》</w:t>
      </w:r>
      <w:r>
        <w:rPr>
          <w:rFonts w:hint="default" w:cs="宋体"/>
          <w:kern w:val="2"/>
          <w:sz w:val="28"/>
          <w:szCs w:val="20"/>
          <w:lang w:val="en-US" w:eastAsia="zh-CN"/>
        </w:rPr>
        <w:t>问题36规定，说明上述收购是否构成重大资产重组，是否导致主营业务变更。（5）结合业务发展历程、经营模式及销售模式补充说明发行人设立众多子公司、分公司的原因。请保荐机构和发行人律师核查并发表明确意见，并说明对盈利预测或业绩对赌情况、人员整合、公司整体运行情况、收购业务的最新发展状况的核查范围、核查程序、核查证据是否支持核查结论。</w:t>
      </w:r>
    </w:p>
    <w:p>
      <w:pPr>
        <w:pStyle w:val="10"/>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13、关于历史关联方。报告期内，发行人实际控制人曾注销多家关联公司。请发行人说明：（1）相关关联方注销的具体原因，注销前一年的主要财务数据，注销后资产、业务、人员的去向，注销程序及债务处置的合规性。（2）是否存在为发行人代为承担成本费用等情况，上述企业实际经营的业务内容，是否曾与公司存在同业竞争或者关联交易。请保荐机构及发行人律师发表核查意见。</w:t>
      </w:r>
    </w:p>
    <w:p>
      <w:pPr>
        <w:pStyle w:val="10"/>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14、关于土地、房产。发行人部分房产未取得房屋产权证。请发行人说明：（1）发行人自有土地使用权取得过程是否合规，是否符合规划用途；部分自建房屋未取得产权证书原因、是否属于合法建筑、是否可能被行政处罚、是否构成重大违法行为。（2）租赁厂房是否符合土地房产用途，是否存在瑕疵，相关瑕疵是否对发行人持续经营构成重大影响。（3）租赁境外房产是否存在瑕疵，是否履行当地法律法规要求的相关程序。请保荐机构及发行人律师根据《首发业务若干问题解答》问题18规定发表明确意见。</w:t>
      </w:r>
    </w:p>
    <w:p>
      <w:pPr>
        <w:pStyle w:val="10"/>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15、关于社保、公积金。请发行人：（1）说明发行人社会保险和住房公积金未足额缴纳的形成原因，如足额缴纳对经营业绩的影响，并揭示相关风险、披露应对方案。（2）说明是否存在因违反社会保险、住房公积金相关法律法规而受到处罚的情形，是否构成重大违法行为。（3）说明发行人是否存在劳务派遣或劳务外包情况，如存在请披露具体情况及是否符合劳动法律规定。请保荐机构、发行人律师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16、关于合规经营。</w:t>
      </w:r>
      <w:r>
        <w:rPr>
          <w:rFonts w:hint="default" w:cs="宋体"/>
          <w:kern w:val="2"/>
          <w:sz w:val="28"/>
          <w:szCs w:val="20"/>
          <w:lang w:val="en-US" w:eastAsia="zh-CN"/>
        </w:rPr>
        <w:t>报告期内，发行人曾受到多起行政处罚。请发行人：（1）说明发行人受到的行政处罚事项具体内容、处罚依据、整改情况，并结合相关法律法规对违法行为的情节、性质、责任规定以及主管机关认定意见说明是否是否属于重大违法违规，境外律师认为相关处罚不属于重大违法行为的依据及合理性，是否构成本次发行上市障碍。（2）按照《首发业务若干问题解答》相关规定说明报告期内发行人、控股股东、实际控制人是否存在重大违法违规行为，是否对发行上市构成障碍。（3）说明报告期内发行人是否发生产品质量事故或纠纷，是否存在产品召回，是否因产品质量问题受到主管部门处罚或调查，本次申报报告期内发行人的产品质量安全相关检查、处罚、纠纷等情况是否已真实、准确、完整披露，相关风险揭示是否充分。（4）说明发行人是否已建立完善的安全生产管理制度，以及安全生产管理制度的有效性和执行情况，报告期内发行人是否发生安全生产事故，如有，说明具体情况，是否存在纠纷或处罚。（5）说明发行人最近36个月是否存在受到环保领域行政处罚的情况，是否构成重大违法违规，是否发生环保事故和重大群体性环保事件，是否存在关于发行人环保情况的负面媒体报道。（6）说明发行人及控股股东、实际控制人、董监高、主要业务人员是否曾因商业贿赂而受到处罚，是否存在涉及前述各类人员行贿事实的裁判文书或正处于调查取证阶段的案件，若有，是否可能对本次发行构成重大不利影响，是否导致发行人不满足发行条件。请保荐机构和发行人律师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17、关于业务资质。请发行人说明：发行人从事相关生产经营及境外销售是否已取得全部相关资质、许可、认证，报告期内发行人是否持续符合拥有该等资质、许可、认证所需的条件，相关资质、认证、许可的有效期及是否覆盖报告期，是否存在超越许可范围从事生产经营的情形，是否存在受到行政处罚的法律风险。</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18、关于贸易政策。报告期各期，公司对美国市场销售收入占主营业务收入的比例分别为86.99%、82.44%和 71.31%。美方对部分中国输美商品加征25%的关税，公司的塑料吸管和杯盖等产品也在上述加征关税范围内。请发行人说明：（1）主要进口国的贸易政策情况、贸易摩擦对产品进口的影响以及进口国同类产品的竞争格局等内容。（2）发行人产品出口是否符合海关、税务等相关法律法规的规定，发行人产品出口是否存在被进口国、地区采取贸易政策限制的情形。（3）发行人出口美国销售相关产品在加征关税清单中的具体情况，与美国主要客户加征关税分担约定及执行情况，是否存在实际控制人、关联方代为承担加征关税的情形。请保荐机构、发行人律师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19、关于知识产权。</w:t>
      </w:r>
      <w:r>
        <w:rPr>
          <w:rFonts w:hint="default" w:cs="宋体"/>
          <w:kern w:val="2"/>
          <w:sz w:val="28"/>
          <w:szCs w:val="20"/>
          <w:lang w:val="en-US" w:eastAsia="zh-CN"/>
        </w:rPr>
        <w:t>2020年度，发行人子公司直通车因商标诉讼支付和解金10万美元。请发行人</w:t>
      </w:r>
      <w:r>
        <w:rPr>
          <w:rFonts w:hint="default" w:cs="宋体"/>
          <w:kern w:val="2"/>
          <w:sz w:val="28"/>
          <w:szCs w:val="20"/>
          <w:lang w:eastAsia="zh-CN"/>
        </w:rPr>
        <w:t>说明</w:t>
      </w:r>
      <w:r>
        <w:rPr>
          <w:rFonts w:hint="default" w:cs="宋体"/>
          <w:kern w:val="2"/>
          <w:sz w:val="28"/>
          <w:szCs w:val="20"/>
          <w:lang w:val="en-US" w:eastAsia="zh-CN"/>
        </w:rPr>
        <w:t>：（1）发行人受让取得知识产权的转让方、转让时间、转让价格及其公允性，受让取得的知识产权是否系发行人生产经营主要资产，发行人与转让方是否存在权属纠纷，如系来自于控股股东、实际控制人，请按照《首发业务若干问题解答》进行全面分析论证。（2）发行人是否存在使用他人知识产权的情形，如存在，请说明是否构成侵权行为及对发行人的影响。（3）发行人子公司直通车因商标诉讼的具体情况，包括案由、当事方、诉讼请求、案情、进展等，涉诉商标是否为发行人核心商标，涉及产品报告期内销售收入及占比，对本次发行上市是否构成实质性障碍。（4）发行人是否存在其他知识产权的侵权纠纷，如存在，具体情况，对发行人的影响。（5）相关知识产权管理的内部控制制度是否建立健全并有效运行，保护范围是否覆盖公司全部产品。请保荐机构和发行人律师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20、关于董监高。</w:t>
      </w:r>
      <w:r>
        <w:rPr>
          <w:rFonts w:hint="default" w:cs="宋体"/>
          <w:kern w:val="2"/>
          <w:sz w:val="28"/>
          <w:szCs w:val="20"/>
          <w:lang w:val="en-US" w:eastAsia="zh-CN"/>
        </w:rPr>
        <w:t>请发行人：（1）</w:t>
      </w:r>
      <w:r>
        <w:rPr>
          <w:rFonts w:hint="default" w:cs="宋体"/>
          <w:kern w:val="2"/>
          <w:sz w:val="28"/>
          <w:szCs w:val="20"/>
          <w:lang w:eastAsia="zh-CN"/>
        </w:rPr>
        <w:t>说明</w:t>
      </w:r>
      <w:r>
        <w:rPr>
          <w:rFonts w:hint="default" w:cs="宋体"/>
          <w:kern w:val="2"/>
          <w:sz w:val="28"/>
          <w:szCs w:val="20"/>
          <w:lang w:val="en-US" w:eastAsia="zh-CN"/>
        </w:rPr>
        <w:t>董事、监事、高级管理人员任职是否具备任职资格，独立董事任职是否符合党政领导干部在企业兼职（任职）的相关规定。（2）结合发行人董事、高级管理人员、监事、核心技术人员的履历，说明是否有人员曾任职于竞争对手；如有，是否存在竞业禁止协议，其在发行人任职期间的研究项目、申请的专利是否与原工作内容相关，是否侵犯原单位知识产权，是否存在纠纷或潜在纠纷。（3）</w:t>
      </w:r>
      <w:r>
        <w:rPr>
          <w:rFonts w:hint="default" w:cs="宋体"/>
          <w:kern w:val="2"/>
          <w:sz w:val="28"/>
          <w:szCs w:val="20"/>
          <w:lang w:eastAsia="zh-CN"/>
        </w:rPr>
        <w:t>说明</w:t>
      </w:r>
      <w:r>
        <w:rPr>
          <w:rFonts w:hint="default" w:cs="宋体"/>
          <w:kern w:val="2"/>
          <w:sz w:val="28"/>
          <w:szCs w:val="20"/>
          <w:lang w:val="en-US" w:eastAsia="zh-CN"/>
        </w:rPr>
        <w:t>发行人最近3年董事、监事、高管发生变化情况、原因，最近3年内董事、监事、高级管理人员的变动是否构成重大变化，是否构成发行上市障碍。请保荐机构和发行人律师进行核查并发表明确意见。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21、关于募集资金运用。本次募集资金在扣除发行费用后拟用于年产2万吨可循环塑料制品、2万吨生物降解塑料制品技改项目、研发中心升级项目、补充流动资金。请发行人：（1）说明募投项目是否均已取得相关备案及环保批准文件，是否已取得募投用地，如未取得，披露募投用地的计划、进展，是否存在重大不确定性，并完善相关风险提示。（2）结合宏观市场环境、下游市场需求、行业竞争态势、市场开拓、建设期成本投入等情况，说明本次募投项目实施的必要性及合理性，募投项目新增产能对应客户及与客户销售规模的匹配性，是否存在新增产品无法消化的风险。（3）结合账面可用货币资金、现金流变动、报告期内现金分红等情况说明募集资金补充流动资金的合理性、必要性。请保荐机构、发行人律师核查并发表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22、</w:t>
      </w:r>
      <w:r>
        <w:rPr>
          <w:rFonts w:hint="default" w:cs="宋体"/>
          <w:kern w:val="2"/>
          <w:sz w:val="28"/>
          <w:szCs w:val="20"/>
          <w:lang w:val="en-US" w:eastAsia="zh-CN"/>
        </w:rPr>
        <w:t>报告期内，发行人收购了DOMO 100%股权、格润特新材料100%股权、墨西哥富岭100%股权；其中，宾州富岭和直通车受让股权前与墨西哥富岭不存在股权关系，但发行人将其纳入合并报表范围。请发行人：（1）说明收购过程中涉及资产评估的具体情况，包括评估过程、评估方法、评估结论、评估增值的合理性；（2）详细说明收购的背景，并结合评估过程以及被收购标的生产经营、主要资产、主要财务数据等说明交易作价的公允性；（3）结合《服务协议》《Maquila服务协议》的具体约定、墨西哥富岭公司章程、生产经营及三会运作情况等，说明合并收购前将墨西哥富岭纳入合并报表的原因及合理性；说明报告期内收购相关的会计处理、是否符合《企业会计准则》的相关规定，对发行人生产经营及主要财务数据的具体影响。请保荐机构、会计师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23、</w:t>
      </w:r>
      <w:r>
        <w:rPr>
          <w:rFonts w:hint="default" w:cs="宋体"/>
          <w:kern w:val="2"/>
          <w:sz w:val="28"/>
          <w:szCs w:val="20"/>
          <w:lang w:val="en-US" w:eastAsia="zh-CN"/>
        </w:rPr>
        <w:t>发行人共有8家控股子公司，2家控股孙公司，2家分公司；在美国设有生产基地和两个销售公司，在美国、墨西哥和印度尼西亚进行产能布局。请发行人：（1）说明母子公司的业务分工、主营业务、主要固定资产、机器设备、人员构成、主要产品及差异、主要销售地及客户、主要财务数据、相关税收政策，如相关情况变动较大，请进一步说明原因及合理性；（2）按照产品分类说明母子公司的生产线分布，产能、产量、产销率、产能利用率及报告期内的变动情况，产能布局的调整情况;（3）说明发行人及子公司是否已取得业务开展所需全部资质、许可、认证，报告期内是否持续符合且拥有该等资质、许可、认证所需的条件；（4）说明内部交易及抵消情况，发行人对各级子公司是否具备实际控制能力、分红制度是否可确保经营利润分配给母公司。请保荐机构、会计师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24、</w:t>
      </w:r>
      <w:r>
        <w:rPr>
          <w:rFonts w:hint="default" w:cs="宋体"/>
          <w:kern w:val="2"/>
          <w:sz w:val="28"/>
          <w:szCs w:val="20"/>
          <w:lang w:val="en-US" w:eastAsia="zh-CN"/>
        </w:rPr>
        <w:t>报告期各期，发行人对前五大客户的销售金额分别为38,375.90万元、38,205.21万元、46,190.31万元，发行人境外销售主要为大中型餐饮和食品包装产品分销商、大型连锁餐饮企业指定代采购商和大型包装产品制造商等；报告期内，发行人已将海运费成本转嫁给下游客户，将原材料价格波动向下游客户传导。请发行人：（1）说明分销商、代采购商的具体含义，报告期各期分销商、代采购商、制造商销售情况、对应的终端客户，通过分销商、代采购商销售的合理性、是否符合行业惯例；（2）说明前五大分销商、代采购商、制造商的基本情况及各类细分产品的前五大客户情况，包括公司名称、成立时间、主营业务、注册资本、人员规模、股权结构、交易金额、交易占比、与发行人的合作历史、关联关系、对应的终端客户等，相关应收款项的回款情况、是否符合合同约定、坏账准备计提是否充分，如主要客户发生变化，请进一步说明原因及合理性；（3）说明客户的获取方式，通过招投标和议标方式等的获取业务及收入占比，是否存在应招标而未履行招投标程序的情形；（4）说明合同中关于价格调整的具体约定及执行情况，并结合行业竞争及上下游议价能力等说明发行人转嫁成本波动的能力、是否符合行业惯例。请保荐机构、会计师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25、</w:t>
      </w:r>
      <w:r>
        <w:rPr>
          <w:rFonts w:hint="default" w:cs="宋体"/>
          <w:kern w:val="2"/>
          <w:sz w:val="28"/>
          <w:szCs w:val="20"/>
          <w:lang w:val="en-US" w:eastAsia="zh-CN"/>
        </w:rPr>
        <w:t>报告期内，发行人与关联方存在资金拆借、资产转让、协助周转贷款等情形。请发行人：（1）说明向关联方资金拆借期初余额的形成过程，期初拆借金额较大的原因及合理性，资金拆借的原因、背景、用途、拆借利率的公允性；拆出资金的背景、原因、用途、拆借利率的公允性、所履行的审议程序，是否构成控股股东、实际控制人资金占用；并结合发行人及相关方借款周期和到期时间、资金状况、现金流情况等，分析说明报告期各期资金拆借的必要性；（2）说明关联方资产转让基本情况及作价公允性，协助关联方贷款的具体情况、是否符合相关合同约定、是否存在被处罚的风险；（3）其他应收、应付关联方款项对应的经济事项，各报告期末尚未结算的原因。请保荐机构、会计师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26、</w:t>
      </w:r>
      <w:r>
        <w:rPr>
          <w:rFonts w:hint="default" w:cs="宋体"/>
          <w:kern w:val="2"/>
          <w:sz w:val="28"/>
          <w:szCs w:val="20"/>
          <w:lang w:val="en-US" w:eastAsia="zh-CN"/>
        </w:rPr>
        <w:t>报告期内，发行人销售费用分别为6,204.63万元、2,980.36万元和4,138.25万元，主要包括销售佣金、职工薪酬等，其中销售佣金各期占比分别为30.93%、59.75%、63.44%。请发行人：（1）说明销售服务商的基本情况，相关合同的主要内容及执行情况，销售服务商在发行人订单获取过程中的具体作用，与销售服务商合作的合理性，与发行人销售人员提供服务的差异，是否符合行业惯例，发行人选择销售服务商履行的内部程序；（2）说明销售服务商对应的客户情况，佣金计算方法和过程，销售服务商是否与发行人及其控股股东、实际控制人、持股5%以上股东、董事、监事、高管、关键岗位人员存在关联关系、资金往来或者其他未披露的利益安排；（3）说明销售人员数量变动情况，岗位平均薪酬情况，变动原因及合理性，与同行业可比公司或同地区企业薪酬比较情况；（4）说明货代费的具体构成、核算内容、结算方式、对应货代公司的基本情况，是否与发行人及其控股股东、实际控制人、持股5%以上股东、董事、监事、高管、关键岗位人员存在关联关系或其他未披露的利益安排；（5）区分境内和境外销售，说明报告期内运输费金额、运输批次、运输重量、运输单价、运输区域与发行人营业收入及销售数量的匹配关系及与同行业可比公司的比较情况；说明主要提供运输服务公司的基本情况，包括公司名称、注册资本、股权结构、合作时间、经营规模、与发行人合作历史等，与发行人及其控股股东、实际控制人、持股5%以上股东、董事、监事、高管、关键岗位人员是否存在关联关系或其他未披露的利益安排；（6）说明货代费与运输费的核算内容是否存在重合的情形，货代费与运输费的变动趋势是否与外销产品的数量、金额相匹配；（7）说明销售费用率波动及与同行业可比公司存在差异的原因及合理性。请保荐机构、会计师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27、</w:t>
      </w:r>
      <w:r>
        <w:rPr>
          <w:rFonts w:hint="default" w:cs="宋体"/>
          <w:kern w:val="2"/>
          <w:sz w:val="28"/>
          <w:szCs w:val="20"/>
          <w:lang w:val="en-US" w:eastAsia="zh-CN"/>
        </w:rPr>
        <w:t>报告期内，发行人管理费用分别为4,768.80万元、5,568.80万元和5,637.70万元，研发费用分别为2,776.87万元、2,893.12万元和3,850.04万元，主要涉及职工薪酬、折旧与摊销、材料投入等项目。请发行人：（1）说明管理人员、研发人员数量变动情况，岗位平均薪酬情况，变动原因及合理性，与同行业可比公司或同地区企业薪酬比较情况；（2）说明管理费用中折旧摊销涉及资产的具体明细、折旧期限、折旧金额和目前的使用情况，固定资产和无形资产的折旧摊销情况与主营业务成本、期间费用中的折旧摊销金额勾稽关系；（3）说明咨询服务费、业务招待费的具体构成、核算内容、结算方式、对应服务公司的基本情况、发生的原因及必要性，管理费用率低于同行业可比公司的原因及合理性；（4）说明研发人员与生产人员及相关成本的区分标准，相关料工费在生产项目与研发项目之间归集和分摊情况，是否存在应计入成本但计入研发费用的情形，是否存在研发费用资本化的情况，研发费用的分摊与核算是否准确、完整，与研发相关的内控机制是否健全、有效，研发费用变动的原因及合理性。请保荐机构、会计师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28、</w:t>
      </w:r>
      <w:r>
        <w:rPr>
          <w:rFonts w:hint="default" w:cs="宋体"/>
          <w:kern w:val="2"/>
          <w:sz w:val="28"/>
          <w:szCs w:val="20"/>
          <w:lang w:val="en-US" w:eastAsia="zh-CN"/>
        </w:rPr>
        <w:t>发行人报告期内设立了员工持股平台益升咨询。请发行人：（1）说明上述股份支付的具体内容，股权激励对象、是否存在代持或出资瑕疵，是否以换取服务为目的；（2）按照《首发业务若干问题解答（2020年6月修订）》问题26的要求，说明股份支付过程中权益工具公允价值的确定依据，服务期或等待期的相关约定，相关股份支付费用的确认方法、分摊依据及执行情况，股份支付费用计算是否准确，会计处理是否符合《企业会计准则》规定，并结合外部入股价格确定依据、发行人生产经营及主要财务数据等说明公允价值确定的合理性；（3）说明员工离职后的股份安排、员工离职情况、相关股份的处理、转让价格的约定及相关会计处理情况；（4）除了前述股份支付事项外，发行人历次股权转让、增资中的受让方是否涉及股份支付。请保荐机构、会计师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29、</w:t>
      </w:r>
      <w:r>
        <w:rPr>
          <w:rFonts w:hint="default" w:cs="宋体"/>
          <w:kern w:val="2"/>
          <w:sz w:val="28"/>
          <w:szCs w:val="20"/>
          <w:lang w:val="en-US" w:eastAsia="zh-CN"/>
        </w:rPr>
        <w:t>报告期内，发行人计入其他收益的政府补助金额占利润总额的比例分别为12.11%、18.48%和22.63%；截至2021年末，发行人递延收益为6,161.65万元，主要为收到的政府补助款项。请发行人：（1）说明主要政府补助的具体情况、取得依据、协议内容、金额、到账时间等，报告期内各项政府补助计入当期损益或递延收益的划分标准、依据和金额，计入经常性或非经常性损益的情况；（2）与资产相关的政府补助的原值、摊销方法、期限及其确定依据、摊销开始时点及其摊销的具体情况；（3）结合递延收益的具体情况，说明政府补助对当年及以后年度财务报告的影响，是否对未来经营产生重大影响。请保荐机构、会计师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30、</w:t>
      </w:r>
      <w:r>
        <w:rPr>
          <w:rFonts w:hint="default" w:cs="宋体"/>
          <w:kern w:val="2"/>
          <w:sz w:val="28"/>
          <w:szCs w:val="20"/>
          <w:lang w:val="en-US" w:eastAsia="zh-CN"/>
        </w:rPr>
        <w:t>报告期各期末，发行人货币资金余额分别为6,706.62万元、6,057.96万元和10,063.14万元，其中存放在境外的比例分别为28.80%、43.60%、14.96%，非人民币货币资金余额占比分别为92.40%、67.42%和80.12%；发行人购买了外汇远期合约。请发行人：（1）说明报告期各期末货币资金的具体内容及存放情况、是否存在资金受限情形、外汇使用是否合法合规，资金管理政策、内控体系、制度建设及运行有效性情况；（2）说明报告期各期货币资金余额、币种、境外存放比例波动的原因及合理性，是否与业务开展情况相匹配；（3）说明发行人外汇远期合约的具体内容，包括但不限于交易对手方、风险对冲机制、价值计算模式、清算模式、平仓条款、手续费或佣金支付情况以及发行人面临的风险敞口、风控措施、止损安排、各期损益确认金额，相关会计处理是否符合《企业会计准则》的要求等，测算极端不利情形下汇率波动对发行人生产经营的影响，并进行充分的风险提示；（4）结合各期外销收入、应收账款、已签订合同未确认收入的金额等，说明公司外销业务和外汇远期合约规模的匹配性，相关内部控制制度是否建立健全并有效执行。请保荐机构、会计师核查并发表明确意见，并核查发行人所有收款账户收支情况，说明对发行人货币资金、衍生工具的核查方法和过程，是否发现异常现金收支的情形确。</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31、</w:t>
      </w:r>
      <w:r>
        <w:rPr>
          <w:rFonts w:hint="default" w:cs="宋体"/>
          <w:kern w:val="2"/>
          <w:sz w:val="28"/>
          <w:szCs w:val="20"/>
          <w:lang w:val="en-US" w:eastAsia="zh-CN"/>
        </w:rPr>
        <w:t>报告期各期末，发行人应收账款账面价值分别为16,126.67万元、16,403.52万元和16,343.60万元，发行人应收账款周转率逐年提高，与同行业可比公司存在一定差异，主要系信用政策差异所致。请发行人：（1）结合业务特征、结算模式、量价变化等相关因素，量化分析说明应收账款占营业收入比例变动的原因及合理性；（2）对比应收账款前五名客户与销售收入前五名客户，结合销售时点、信用政策等说明差异的原因；（3）说明逾期应收账款及一年以上的应收账款的金额、占比，形成的具体原因、款项性质、对应的产品种类及后续款项回收情况，分析发行人坏账准备计提的充分性；（4）结合同行业上市公司应收账款坏账准备计提政策，说明坏账准备计提的充分性；（5）说明各期应收账款期后回款的金额、比例、回款方的基本情况、是否与客户一致；（6）说明应收账款周转率逐年提高的原因，并结合公司在信用政策、销售模式等方面与同行业公司的差异情况，量化分析说明应收账款周转率与同行业可比公司差异原因及合理性。请保荐机构、会计师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32、</w:t>
      </w:r>
      <w:r>
        <w:rPr>
          <w:rFonts w:hint="default" w:cs="宋体"/>
          <w:kern w:val="2"/>
          <w:sz w:val="28"/>
          <w:szCs w:val="20"/>
          <w:lang w:val="en-US" w:eastAsia="zh-CN"/>
        </w:rPr>
        <w:t>报告期各期末，发行人存货账面价值分别为16,690.47万元、21,905.98万元和30,156.56万元，由原材料、库存商品和发出商品构成。请发行人：（1）按原材料及具体产品类别说明存货的具体构成及金额占比，主要原材料的采购周期、备货政策、原材料水平的合理性，库存商品的具体构成、订单覆盖情况、期后销售情况，主要发出商品对应的合同、期后收入确认情况，报告期内存货余额增幅较大的原因及合理性；（2）补充说明报告期各期末存货库龄情况，库龄较长存货的具体构成情况，形成原因、是否符合该类产品的使用特点；（3）结合存货库龄结构、期后结转情况、存货跌价测试方法和覆盖范围、可变现净值的确定依据、存货跌价准备计提比例与同行业可比公司的差异等说明存货跌价准备计提的充分性，报告期内因存货跌价准备的计提和转回对净利润的影响；（4）说明存货的具体存放地点、存货盘点制度、报告期内的盘点情况，包括但不限于存货的盘点时间、范围、对非在库存货的盘点方式、盘点结果及中介机构的监盘情况等。请保荐机构、会计师进行核查并发表明确意见，重点说明对发行人存货实施的监盘程序、监盘比例及监盘结果。</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33、</w:t>
      </w:r>
      <w:r>
        <w:rPr>
          <w:rFonts w:hint="default" w:cs="宋体"/>
          <w:kern w:val="2"/>
          <w:sz w:val="28"/>
          <w:szCs w:val="20"/>
          <w:lang w:val="en-US" w:eastAsia="zh-CN"/>
        </w:rPr>
        <w:t>报告期各期末，发行人固定资产账面价值分别为39,177.07万元、41,708.94万元和46,855.14万元，在建工程期末余额分别为302.61万元、1,296.74万元和9,185.54万元。请发行人：（1）说明房屋建筑物的基本情况，包括但不限于主要明细构成、入账时间、取得方式、数量、价值和折旧年限、残值率、与同行业可比公司对比及差异情况；（2）按照注塑成型机、吸塑成型机等机器类别，说明相关设备的名称、数量、价值及折旧、成新率、购入年份以及主要技术指标，相应机器设备所采用的生产技术工艺在行业中的地位和更新淘汰情况，发行人核心竞争力是否主要依赖外部机器设备，相关设备期初、增减变动和期末数量、平均采购单价和采购金额；（3）结合同行业可比公司房屋建筑物情况、相关机器设备的投资数量、投资金额与其经营业绩、产能、产量的匹配情况，说明固定资产规模与经营规模的匹配性，是否与同行业可比公司的投资规模保持一致；（4）说明报告期各期末在建工程的具体构成，包括工程内容、初始投入时点、预计投资金额、建设进度、已转固金额、剩余部分预计转固时间、是否存在已完工但未及时转入固定资产的情形，是否存在尚未转固但已实际投入使用的情形；在建工程的成本归集范围，是否包含与该项目无关的支出，在建工程的建设进度是否符合预期，是否存在长期闲置的情形和减值迹象。请保荐机构、会计师核查并发表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34、</w:t>
      </w:r>
      <w:r>
        <w:rPr>
          <w:rFonts w:hint="default" w:cs="宋体"/>
          <w:kern w:val="2"/>
          <w:sz w:val="28"/>
          <w:szCs w:val="20"/>
          <w:lang w:val="en-US" w:eastAsia="zh-CN"/>
        </w:rPr>
        <w:t>报告期各期末，发行人短期借款分别为11,821.71万元、18,744.38万元和25,353.38万元，长期借款分别为7,123.10万元、1,840.26万元和14,579.94万元，一年内到期的非流动负债分别为2,337.32万元、1,550.63万元和1,782.33万元；流动比率、速动比率低于同行业可比公司，资产负债率高于同行业可比公司。请发行人：（1）说明报告期内各类借款的变动明细、融资主体、借款期限、借款用途、本金偿还及利息支付等情况，与筹资活动现金流、财务费用等科目的勾稽关系，并结合借款具体用途、资产状况、相关科目的变动等说明2021年末借款大幅增加的原因及合理性；（2）说明是否存在借款利息资本化的情形，如存在，请说明利息资本化金额、起始时间、计算过程，以及会计处理的适当性；（3）说明主要偿债指标低于同行业可比公司的差原因及合理性，是否存在财务风险或流动性风险，相关资产抵押、质押情况及其资产占比，资产使用是否受限，资产是否存在重大不确定风险，并进行充分的风险提示。请保荐机构、会计师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35、</w:t>
      </w:r>
      <w:r>
        <w:rPr>
          <w:rFonts w:hint="default" w:cs="宋体"/>
          <w:kern w:val="2"/>
          <w:sz w:val="28"/>
          <w:szCs w:val="20"/>
          <w:lang w:val="en-US" w:eastAsia="zh-CN"/>
        </w:rPr>
        <w:t>报告期各期末，发行人的应付票据金额分别为1,411.47万元、2,660.99万元和1,948.39万元，应付账款余额分别为6,602.08万元、10,928.25万元和14,345.86万元。请发行人：（1）结合生产经营情况、采购付款流程、结算方式、付款周期等，说明报告期各期应付账款、应付票据与采购金额、成本的匹配关系，应付票据、应付账款波动的原因及合理性，与银行承兑汇票保证金的匹配性；（2）说明报告期各期应付账款账龄分布情况及账龄1年以上未支付的原因，说明与主要供应商期后结算情况，是否严格按照采购合同的条款按时付款；（3）说明报告期内主要供应商与应付账款、应付票据对象之间的匹配性，结合公司付款政策、供应商资金规模、市场地位、采购规模，说明前五大应付账款与主要供应商存在差异的原因及合理性，采购内容是否与销售订单匹配。请保荐机构、会计师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36、</w:t>
      </w:r>
      <w:r>
        <w:rPr>
          <w:rFonts w:hint="default" w:cs="宋体"/>
          <w:kern w:val="2"/>
          <w:sz w:val="28"/>
          <w:szCs w:val="20"/>
          <w:lang w:val="en-US" w:eastAsia="zh-CN"/>
        </w:rPr>
        <w:t>报告期各期发行人经营活动产生的现金流量净额分别为13,099.10万元、13,528.20万元、20,009.65万元，持续高于各期净利润。请发行人：（1）说明经营活动产生的现金流量净额与当期净利润产生差异的原因及合理性，相关现金流与资产负债表、利润表相关项目的勾稽关系；（2）说明“收到其他与经营活动有关的现金”“支付其他与经营活动有关的现金”“收到其他与筹资活动有关的现金”的具体内容以及与相关科目的勾稽关系；（3）结合主要客户、销售政策、结算条件、信用政策等，说明报告期各期经营活动现金流大于各期净利润的原因及合理性，与同行业可比公司的差异情况。请保荐机构、会计师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37、</w:t>
      </w:r>
      <w:r>
        <w:rPr>
          <w:rFonts w:hint="default" w:cs="宋体"/>
          <w:kern w:val="2"/>
          <w:sz w:val="28"/>
          <w:szCs w:val="20"/>
          <w:lang w:val="en-US" w:eastAsia="zh-CN"/>
        </w:rPr>
        <w:t>请发行人：（1）说明主要预付款对应的供应商名称、和发行人的合作历史、合同签订时间，采购合同中关于采购内容、价格、结算方式、交货周期、交货质量、违约赔偿等方面的约定，预付款的期后采购实现情况、与合同约定的进度是否相符，并结合相关供应商的经营情况、人员配备、生产或加工及销售能力、相关许可资质等说明其履约能力；（2）应收退税款主要为墨西哥富岭应收的增值税退税，结合墨西哥富岭增值税退税相关政策、退税流程及周期、与销售规模的匹配性等说明金额波动的原因及合理性；（3）说明应收第三方平台款、代垫款的具体内容，2021年末金额大幅增加的原因及合理性；（4）说明其他流动资产中待抵扣进项税额的来源、计算过程、与采购规模的匹配关系、报告期波动的原因及合理性；（5）补充披露报告期内发行人融资租赁业务相关业务情况、主要业务约定、定价及交易公允性、相关的会计处理及是否符合《企业会计准则》的相关规定；（6）说明报告期末使用权资产、租赁负债的具体情况、初始计量金额的依据、折旧年限及年限确定方式及合理性；（7）说明主要土地使用权的来源、取得时间、入账价值、评估情况、摊销等情况，减值测试具体方法及主要参数、相关参数估计的合理性，并将摊销年限、摊销方法与同行业公司进行对比；（8）说明报告期内大额分红的原因及合理性、实际控制人历次分红资金的使用情况。请保荐机构、会计师核查并发表明确意见。</w:t>
      </w:r>
    </w:p>
    <w:p>
      <w:pPr>
        <w:keepNext w:val="0"/>
        <w:keepLines w:val="0"/>
        <w:pageBreakBefore w:val="0"/>
        <w:widowControl w:val="0"/>
        <w:numPr>
          <w:ilvl w:val="0"/>
          <w:numId w:val="1"/>
        </w:numPr>
        <w:kinsoku/>
        <w:wordWrap/>
        <w:overflowPunct/>
        <w:topLinePunct w:val="0"/>
        <w:bidi w:val="0"/>
        <w:snapToGrid/>
        <w:spacing w:before="0" w:beforeLines="0" w:beforeAutospacing="0" w:after="0" w:afterLines="0" w:afterAutospacing="0" w:line="480" w:lineRule="exact"/>
        <w:ind w:left="0" w:leftChars="0" w:right="0" w:rightChars="0" w:firstLine="560" w:firstLineChars="200"/>
        <w:jc w:val="both"/>
        <w:textAlignment w:val="auto"/>
        <w:outlineLvl w:val="0"/>
        <w:rPr>
          <w:rFonts w:hint="eastAsia" w:ascii="黑体" w:hAnsi="黑体" w:eastAsia="黑体" w:cs="黑体"/>
          <w:kern w:val="2"/>
          <w:sz w:val="28"/>
          <w:szCs w:val="20"/>
          <w:lang w:val="en-US" w:eastAsia="zh-CN"/>
        </w:rPr>
      </w:pPr>
      <w:r>
        <w:rPr>
          <w:rFonts w:hint="eastAsia" w:ascii="黑体" w:hAnsi="黑体" w:eastAsia="黑体" w:cs="黑体"/>
          <w:kern w:val="2"/>
          <w:sz w:val="28"/>
          <w:szCs w:val="20"/>
          <w:lang w:val="en-US" w:eastAsia="zh-CN"/>
        </w:rPr>
        <w:t>与财务会计资料相关的问题</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38、</w:t>
      </w:r>
      <w:r>
        <w:rPr>
          <w:rFonts w:hint="default" w:cs="宋体"/>
          <w:kern w:val="2"/>
          <w:sz w:val="28"/>
          <w:szCs w:val="20"/>
          <w:lang w:val="en-US" w:eastAsia="zh-CN"/>
        </w:rPr>
        <w:t>请发行人对报告期申报财务报表与原始财务报表涉及差异调整的具体事项、内容和理由予以逐项说明，说明相关项目截止性或重分类调整的具体原因、依据及其合规性，重点说明对损益的影响、涉及纳税义务的处理与履行情况。请保荐机构、申报会计师逐项核查差异调整的事项及依据是否符合《企业会计准则》的规定，补充分析发行人的会计核算及会计基础工作是否符合规范性的要求。</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39、</w:t>
      </w:r>
      <w:r>
        <w:rPr>
          <w:rFonts w:hint="default" w:cs="宋体"/>
          <w:kern w:val="2"/>
          <w:sz w:val="28"/>
          <w:szCs w:val="20"/>
          <w:lang w:val="en-US" w:eastAsia="zh-CN"/>
        </w:rPr>
        <w:t>请发行人说明财务报表项目比较数据变动幅度达30%以上的情况及原因是否已恰当披露。请保荐机构和会计师发表核查意见。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40、</w:t>
      </w:r>
      <w:r>
        <w:rPr>
          <w:rFonts w:hint="default" w:cs="宋体"/>
          <w:kern w:val="2"/>
          <w:sz w:val="28"/>
          <w:szCs w:val="20"/>
          <w:lang w:val="en-US" w:eastAsia="zh-CN"/>
        </w:rPr>
        <w:t>请申报会计师说明“关键审计事项”的“审计应对”中各项具体审计程序的具体情况、事实结果、审计结论，是否存在较大审计差异或调整情况，对形成审计意见是否有重大影响。请保荐机构核实上述情况，分析说明上述事项是否属于影响投资者价值判断和投资决策的重要信息并已充分披露。</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41、</w:t>
      </w:r>
      <w:r>
        <w:rPr>
          <w:rFonts w:hint="default" w:cs="宋体"/>
          <w:kern w:val="2"/>
          <w:sz w:val="28"/>
          <w:szCs w:val="20"/>
          <w:lang w:val="en-US" w:eastAsia="zh-CN"/>
        </w:rPr>
        <w:t>请发行人详细说明并披露：新金融工具准则施行后对发行人在风险管理、金融资产分类、金融资产减值等方面产生的变化情况，是否存在重大不利影响；新金融工具准则施行后对发行人财务状况的影响，如相关科目列示的变化情况，对金融资产和负债的重新认定、对发行人期初留存收益的影响，相关会计政策和估计的影响。请发行人比照《发行监管问答——关于申请首发企业执行新收入准则相关事项的问答》的要求，披露新收入准则实施前后收入确认会计政策的主要差异以及实施新收入准则在业务模式、合同条款、收入确认等方面产生的影响，同时披露实施新收入准则对首次执行日前各年合并财务报表主要指标的影响，并披露合并报表范围内是否存在境外上市子公司。</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42、</w:t>
      </w:r>
      <w:r>
        <w:rPr>
          <w:rFonts w:hint="default" w:cs="宋体"/>
          <w:kern w:val="2"/>
          <w:sz w:val="28"/>
          <w:szCs w:val="20"/>
          <w:lang w:val="en-US" w:eastAsia="zh-CN"/>
        </w:rPr>
        <w:t>请发行人及相关中介机构对照证监会公告[2012]14 号《关于进一步提高首次公开发行股票公司财务信息披露质量有关问题的意见》、证监会公告[2013]46号《关于首次公开发行股票并上市公司招股说明书中与盈利能力相关的信息披露指引》的要求，逐项说明有关财务问题及信息披露事项的解决过程和落实情况，发表明确的结论性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43、</w:t>
      </w:r>
      <w:r>
        <w:rPr>
          <w:rFonts w:hint="default" w:cs="宋体"/>
          <w:kern w:val="2"/>
          <w:sz w:val="28"/>
          <w:szCs w:val="20"/>
          <w:lang w:val="en-US" w:eastAsia="zh-CN"/>
        </w:rPr>
        <w:t>请发行人、中介机构回复反馈意见时注意区分信息披露问题和分析说明问题，如认为补充说明内容对投资者价值判断有重大影响的，请在招股说明书中予以补充披露。根据反馈意见对招股说明书进行补充披露时不应引用反馈意见问题作为标题，并注意使用事实描述性语言，保证内容简明扼要、通俗易懂。请保荐机构督促发行人按要求进行信息披露，并说明核查方法、过程和结论。</w:t>
      </w:r>
    </w:p>
    <w:p>
      <w:pPr>
        <w:pStyle w:val="10"/>
        <w:spacing w:after="0" w:line="460" w:lineRule="exact"/>
        <w:ind w:firstLine="560" w:firstLineChars="200"/>
        <w:rPr>
          <w:rFonts w:hint="default" w:cs="宋体"/>
          <w:kern w:val="2"/>
          <w:sz w:val="28"/>
          <w:szCs w:val="20"/>
          <w:lang w:eastAsia="zh-CN"/>
        </w:rPr>
      </w:pPr>
    </w:p>
    <w:p>
      <w:pPr>
        <w:pStyle w:val="10"/>
        <w:spacing w:after="0" w:line="460" w:lineRule="exact"/>
        <w:ind w:firstLine="560" w:firstLineChars="200"/>
        <w:rPr>
          <w:rFonts w:hint="default" w:cs="宋体"/>
          <w:kern w:val="2"/>
          <w:sz w:val="28"/>
          <w:szCs w:val="20"/>
          <w:lang w:eastAsia="zh-CN"/>
        </w:rPr>
      </w:pPr>
    </w:p>
    <w:p>
      <w:pPr>
        <w:pStyle w:val="10"/>
        <w:spacing w:after="0" w:line="460" w:lineRule="exact"/>
        <w:ind w:firstLine="560" w:firstLineChars="200"/>
        <w:rPr>
          <w:rFonts w:hint="default" w:cs="宋体"/>
          <w:kern w:val="2"/>
          <w:sz w:val="28"/>
          <w:szCs w:val="20"/>
          <w:lang w:eastAsia="zh-CN"/>
        </w:rPr>
      </w:pPr>
    </w:p>
    <w:p>
      <w:pPr>
        <w:pStyle w:val="10"/>
        <w:spacing w:after="0" w:line="460" w:lineRule="exact"/>
        <w:ind w:firstLine="560" w:firstLineChars="200"/>
        <w:rPr>
          <w:rFonts w:hint="default" w:cs="宋体"/>
          <w:kern w:val="2"/>
          <w:sz w:val="28"/>
          <w:szCs w:val="20"/>
          <w:lang w:eastAsia="zh-CN"/>
        </w:rPr>
      </w:pPr>
    </w:p>
    <w:p>
      <w:pPr>
        <w:pStyle w:val="10"/>
        <w:spacing w:after="0" w:line="460" w:lineRule="exact"/>
        <w:ind w:firstLine="560" w:firstLineChars="200"/>
        <w:rPr>
          <w:rFonts w:hint="default" w:cs="宋体"/>
          <w:kern w:val="2"/>
          <w:sz w:val="28"/>
          <w:szCs w:val="20"/>
          <w:lang w:eastAsia="zh-CN"/>
        </w:rPr>
      </w:pPr>
    </w:p>
    <w:p>
      <w:pPr>
        <w:pStyle w:val="10"/>
        <w:spacing w:after="0" w:line="460" w:lineRule="exact"/>
        <w:ind w:firstLine="560" w:firstLineChars="200"/>
        <w:rPr>
          <w:rFonts w:hint="default" w:cs="宋体"/>
          <w:kern w:val="2"/>
          <w:sz w:val="28"/>
          <w:szCs w:val="20"/>
          <w:lang w:eastAsia="zh-CN"/>
        </w:rPr>
      </w:pPr>
    </w:p>
    <w:p>
      <w:pPr>
        <w:pStyle w:val="10"/>
        <w:spacing w:after="0" w:line="460" w:lineRule="exact"/>
        <w:ind w:firstLine="560" w:firstLineChars="200"/>
        <w:rPr>
          <w:rFonts w:hint="default" w:cs="宋体"/>
          <w:kern w:val="2"/>
          <w:sz w:val="28"/>
          <w:szCs w:val="20"/>
          <w:lang w:eastAsia="zh-CN"/>
        </w:rPr>
      </w:pPr>
    </w:p>
    <w:p>
      <w:pPr>
        <w:pStyle w:val="10"/>
        <w:spacing w:after="0" w:line="460" w:lineRule="exact"/>
        <w:ind w:firstLine="560" w:firstLineChars="200"/>
        <w:rPr>
          <w:rFonts w:hint="default" w:cs="宋体"/>
          <w:kern w:val="2"/>
          <w:sz w:val="28"/>
          <w:szCs w:val="20"/>
          <w:lang w:eastAsia="zh-CN"/>
        </w:rPr>
      </w:pPr>
    </w:p>
    <w:p>
      <w:pPr>
        <w:pStyle w:val="10"/>
        <w:spacing w:after="0" w:line="460" w:lineRule="exact"/>
        <w:ind w:firstLine="560" w:firstLineChars="200"/>
        <w:rPr>
          <w:rFonts w:hint="default" w:cs="宋体"/>
          <w:kern w:val="2"/>
          <w:sz w:val="28"/>
          <w:szCs w:val="20"/>
          <w:lang w:eastAsia="zh-CN"/>
        </w:rPr>
      </w:pPr>
    </w:p>
    <w:p>
      <w:pPr>
        <w:pStyle w:val="10"/>
        <w:spacing w:after="0" w:line="460" w:lineRule="exact"/>
        <w:ind w:firstLine="560" w:firstLineChars="200"/>
        <w:rPr>
          <w:rFonts w:hint="default" w:cs="宋体"/>
          <w:kern w:val="2"/>
          <w:sz w:val="28"/>
          <w:szCs w:val="20"/>
          <w:lang w:eastAsia="zh-CN"/>
        </w:rPr>
      </w:pPr>
    </w:p>
    <w:p>
      <w:pPr>
        <w:pStyle w:val="10"/>
        <w:spacing w:after="0" w:line="460" w:lineRule="exact"/>
        <w:ind w:firstLine="560" w:firstLineChars="200"/>
        <w:rPr>
          <w:rFonts w:hint="default" w:cs="宋体"/>
          <w:kern w:val="2"/>
          <w:sz w:val="28"/>
          <w:szCs w:val="20"/>
          <w:lang w:eastAsia="zh-CN"/>
        </w:rPr>
      </w:pPr>
    </w:p>
    <w:p>
      <w:pPr>
        <w:pStyle w:val="10"/>
        <w:spacing w:after="0" w:line="460" w:lineRule="exact"/>
        <w:ind w:firstLine="560" w:firstLineChars="200"/>
        <w:rPr>
          <w:rFonts w:hint="default" w:cs="宋体"/>
          <w:kern w:val="2"/>
          <w:sz w:val="28"/>
          <w:szCs w:val="20"/>
          <w:lang w:eastAsia="zh-CN"/>
        </w:rPr>
      </w:pPr>
    </w:p>
    <w:p>
      <w:pPr>
        <w:pStyle w:val="10"/>
        <w:spacing w:after="0" w:line="460" w:lineRule="exact"/>
        <w:ind w:firstLine="560" w:firstLineChars="200"/>
        <w:rPr>
          <w:rFonts w:hint="default" w:cs="宋体"/>
          <w:kern w:val="2"/>
          <w:sz w:val="28"/>
          <w:szCs w:val="20"/>
          <w:lang w:eastAsia="zh-CN"/>
        </w:rPr>
      </w:pPr>
    </w:p>
    <w:p>
      <w:pPr>
        <w:pStyle w:val="10"/>
        <w:spacing w:after="0" w:line="460" w:lineRule="exact"/>
        <w:ind w:firstLine="560" w:firstLineChars="200"/>
        <w:rPr>
          <w:rFonts w:hint="default" w:cs="宋体"/>
          <w:kern w:val="2"/>
          <w:sz w:val="28"/>
          <w:szCs w:val="20"/>
          <w:lang w:eastAsia="zh-CN"/>
        </w:rPr>
      </w:pPr>
    </w:p>
    <w:p>
      <w:pPr>
        <w:pStyle w:val="10"/>
        <w:spacing w:after="0" w:line="460" w:lineRule="exact"/>
        <w:ind w:firstLine="560" w:firstLineChars="200"/>
        <w:rPr>
          <w:rFonts w:hint="default" w:cs="宋体"/>
          <w:kern w:val="2"/>
          <w:sz w:val="28"/>
          <w:szCs w:val="20"/>
          <w:lang w:eastAsia="zh-CN"/>
        </w:rPr>
      </w:pPr>
    </w:p>
    <w:p>
      <w:pPr>
        <w:pStyle w:val="10"/>
        <w:spacing w:after="0" w:line="460" w:lineRule="exact"/>
        <w:ind w:firstLine="560" w:firstLineChars="200"/>
        <w:rPr>
          <w:rFonts w:hint="default" w:cs="宋体"/>
          <w:kern w:val="2"/>
          <w:sz w:val="28"/>
          <w:szCs w:val="20"/>
          <w:lang w:eastAsia="zh-CN"/>
        </w:rPr>
      </w:pPr>
    </w:p>
    <w:p>
      <w:pPr>
        <w:pStyle w:val="10"/>
        <w:spacing w:after="0" w:line="460" w:lineRule="exact"/>
        <w:ind w:firstLine="560" w:firstLineChars="200"/>
        <w:rPr>
          <w:rFonts w:hint="default" w:cs="宋体"/>
          <w:kern w:val="2"/>
          <w:sz w:val="28"/>
          <w:szCs w:val="20"/>
          <w:lang w:eastAsia="zh-CN"/>
        </w:rPr>
      </w:pPr>
    </w:p>
    <w:p>
      <w:pPr>
        <w:pStyle w:val="10"/>
        <w:spacing w:after="0" w:line="460" w:lineRule="exact"/>
        <w:ind w:firstLine="560" w:firstLineChars="200"/>
        <w:rPr>
          <w:rFonts w:hint="default" w:cs="宋体"/>
          <w:kern w:val="2"/>
          <w:sz w:val="28"/>
          <w:szCs w:val="20"/>
          <w:lang w:eastAsia="zh-CN"/>
        </w:rPr>
      </w:pPr>
    </w:p>
    <w:p>
      <w:pPr>
        <w:pStyle w:val="10"/>
        <w:spacing w:after="0" w:line="460" w:lineRule="exact"/>
        <w:ind w:firstLine="560" w:firstLineChars="200"/>
        <w:rPr>
          <w:rFonts w:hint="default" w:cs="宋体"/>
          <w:kern w:val="2"/>
          <w:sz w:val="28"/>
          <w:szCs w:val="20"/>
          <w:lang w:eastAsia="zh-CN"/>
        </w:rPr>
      </w:pPr>
    </w:p>
    <w:p>
      <w:pPr>
        <w:pStyle w:val="10"/>
        <w:spacing w:after="0" w:line="460" w:lineRule="exact"/>
        <w:ind w:firstLine="560" w:firstLineChars="200"/>
        <w:rPr>
          <w:rFonts w:hint="default" w:cs="宋体"/>
          <w:kern w:val="2"/>
          <w:sz w:val="28"/>
          <w:szCs w:val="20"/>
          <w:lang w:eastAsia="zh-CN"/>
        </w:rPr>
      </w:pPr>
    </w:p>
    <w:p>
      <w:pPr>
        <w:pStyle w:val="10"/>
        <w:spacing w:after="0" w:line="460" w:lineRule="exact"/>
        <w:ind w:firstLine="560" w:firstLineChars="200"/>
        <w:rPr>
          <w:rFonts w:hint="default" w:cs="宋体"/>
          <w:kern w:val="2"/>
          <w:sz w:val="28"/>
          <w:szCs w:val="20"/>
          <w:lang w:eastAsia="zh-CN"/>
        </w:rPr>
      </w:pPr>
    </w:p>
    <w:p>
      <w:bookmarkStart w:id="0" w:name="_GoBack"/>
      <w:bookmarkEnd w:id="0"/>
    </w:p>
    <w:sectPr>
      <w:footerReference r:id="rId5" w:type="first"/>
      <w:footerReference r:id="rId3" w:type="default"/>
      <w:footerReference r:id="rId4" w:type="even"/>
      <w:pgSz w:w="11906" w:h="16838"/>
      <w:pgMar w:top="1474" w:right="1797" w:bottom="1418" w:left="1797" w:header="851" w:footer="992" w:gutter="0"/>
      <w:pgNumType w:fmt="decimal"/>
      <w:cols w:space="720" w:num="1"/>
      <w:titlePg/>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微软雅黑">
    <w:panose1 w:val="020B0503020204020204"/>
    <w:charset w:val="86"/>
    <w:family w:val="auto"/>
    <w:pitch w:val="default"/>
    <w:sig w:usb0="80000287" w:usb1="280F3C52" w:usb2="00000016" w:usb3="00000000" w:csb0="0004001F" w:csb1="00000000"/>
  </w:font>
  <w:font w:name="Wingdings 3">
    <w:panose1 w:val="05040102010807070707"/>
    <w:charset w:val="00"/>
    <w:family w:val="auto"/>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3"/>
                          </w:pPr>
                          <w:r>
                            <w:fldChar w:fldCharType="begin"/>
                          </w:r>
                          <w:r>
                            <w:instrText xml:space="preserve"> PAGE  \* MERGEFORMAT </w:instrText>
                          </w:r>
                          <w:r>
                            <w:fldChar w:fldCharType="separate"/>
                          </w:r>
                          <w:r>
                            <w:t>2</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FgAAAGRycy9QSwECFAAUAAAACACHTuJAaGmCS9MAAAAFAQAADwAAAAAAAAABACAAAAA4AAAA&#10;ZHJzL2Rvd25yZXYueG1sUEsBAhQAFAAAAAgAh07iQL359729AQAAXAMAAA4AAAAAAAAAAQAgAAAA&#10;OAEAAGRycy9lMm9Eb2MueG1sUEsFBgAAAAAGAAYAWQEAAGcFAAAAAA==&#10;">
              <v:fill on="f" focussize="0,0"/>
              <v:stroke on="f" weight="1.25pt"/>
              <v:imagedata o:title=""/>
              <o:lock v:ext="edit" aspectratio="f"/>
              <v:textbox inset="0mm,0mm,0mm,0mm" style="mso-fit-shape-to-text:t;">
                <w:txbxContent>
                  <w:p>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separate"/>
    </w:r>
    <w: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3"/>
                          </w:pPr>
                          <w:r>
                            <w:fldChar w:fldCharType="begin"/>
                          </w:r>
                          <w:r>
                            <w:instrText xml:space="preserve"> PAGE  \* MERGEFORMAT </w:instrText>
                          </w:r>
                          <w:r>
                            <w:fldChar w:fldCharType="separate"/>
                          </w:r>
                          <w:r>
                            <w:t>1</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BYAAABkcnMvUEsBAhQAFAAAAAgAh07iQGhpgkvTAAAABQEAAA8AAAAAAAAAAQAgAAAAOAAA&#10;AGRycy9kb3ducmV2LnhtbFBLAQIUABQAAAAIAIdO4kBBqCXevgEAAFwDAAAOAAAAAAAAAAEAIAAA&#10;ADgBAABkcnMvZTJvRG9jLnhtbFBLBQYAAAAABgAGAFkBAABoBQAAAAA=&#10;">
              <v:fill on="f" focussize="0,0"/>
              <v:stroke on="f" weight="1.2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C5B183"/>
    <w:multiLevelType w:val="singleLevel"/>
    <w:tmpl w:val="ECC5B183"/>
    <w:lvl w:ilvl="0" w:tentative="0">
      <w:start w:val="1"/>
      <w:numFmt w:val="decimal"/>
      <w:suff w:val="nothing"/>
      <w:lvlText w:val="%1、"/>
      <w:lvlJc w:val="left"/>
    </w:lvl>
  </w:abstractNum>
  <w:abstractNum w:abstractNumId="1">
    <w:nsid w:val="5CEF8945"/>
    <w:multiLevelType w:val="singleLevel"/>
    <w:tmpl w:val="5CEF8945"/>
    <w:lvl w:ilvl="0" w:tentative="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kZGQ2M2I2ZDNiMGFlYzM0ZmNjYmY5NGEzNTEzZjkifQ=="/>
  </w:docVars>
  <w:rsids>
    <w:rsidRoot w:val="27C800C3"/>
    <w:rsid w:val="0D592CA7"/>
    <w:rsid w:val="1DE7A82F"/>
    <w:rsid w:val="26A13CE2"/>
    <w:rsid w:val="27C800C3"/>
    <w:rsid w:val="3B652498"/>
    <w:rsid w:val="5E8B3526"/>
    <w:rsid w:val="5FEF4870"/>
    <w:rsid w:val="6E06D07B"/>
    <w:rsid w:val="787F5B98"/>
    <w:rsid w:val="D7FF7159"/>
    <w:rsid w:val="DF5F95CB"/>
    <w:rsid w:val="F1FF7208"/>
    <w:rsid w:val="F46FFDAD"/>
    <w:rsid w:val="FAE784FF"/>
    <w:rsid w:val="FBBFF6B1"/>
    <w:rsid w:val="FD5F61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8"/>
      <w:lang w:val="en-US" w:eastAsia="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widowControl/>
      <w:topLinePunct/>
      <w:spacing w:line="360" w:lineRule="auto"/>
      <w:ind w:left="240"/>
      <w:jc w:val="left"/>
    </w:pPr>
    <w:rPr>
      <w:rFonts w:ascii="Times New Roman" w:hAnsi="Times New Roman" w:eastAsia="宋体" w:cs="Times New Roman"/>
      <w:smallCaps/>
      <w:kern w:val="0"/>
      <w:sz w:val="20"/>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5">
    <w:name w:val="Body Text First Indent 2"/>
    <w:next w:val="1"/>
    <w:unhideWhenUsed/>
    <w:qFormat/>
    <w:uiPriority w:val="99"/>
    <w:pPr>
      <w:widowControl w:val="0"/>
      <w:spacing w:after="120"/>
      <w:ind w:left="420" w:leftChars="200" w:firstLine="420"/>
      <w:jc w:val="both"/>
    </w:pPr>
    <w:rPr>
      <w:rFonts w:ascii="Times New Roman" w:hAnsi="Times New Roman" w:eastAsia="宋体" w:cs="Times New Roman"/>
      <w:kern w:val="2"/>
      <w:sz w:val="21"/>
      <w:szCs w:val="24"/>
      <w:lang w:val="en-US" w:eastAsia="zh-CN" w:bidi="ar-SA"/>
    </w:rPr>
  </w:style>
  <w:style w:type="character" w:styleId="8">
    <w:name w:val="page number"/>
    <w:basedOn w:val="7"/>
    <w:qFormat/>
    <w:uiPriority w:val="0"/>
  </w:style>
  <w:style w:type="paragraph" w:customStyle="1" w:styleId="9">
    <w:name w:val="缺省文本"/>
    <w:basedOn w:val="1"/>
    <w:qFormat/>
    <w:uiPriority w:val="0"/>
    <w:pPr>
      <w:tabs>
        <w:tab w:val="left" w:pos="639"/>
        <w:tab w:val="center" w:pos="5670"/>
        <w:tab w:val="right" w:pos="7655"/>
      </w:tabs>
      <w:spacing w:before="80" w:beforeLines="0" w:beforeAutospacing="0" w:after="120" w:afterLines="0" w:afterAutospacing="0" w:line="360" w:lineRule="atLeast"/>
      <w:outlineLvl w:val="7"/>
    </w:pPr>
    <w:rPr>
      <w:rFonts w:eastAsia="楷体_GB2312"/>
      <w:spacing w:val="4"/>
      <w:kern w:val="28"/>
    </w:rPr>
  </w:style>
  <w:style w:type="paragraph" w:customStyle="1" w:styleId="10">
    <w:name w:val="Body text|1"/>
    <w:basedOn w:val="1"/>
    <w:qFormat/>
    <w:uiPriority w:val="0"/>
    <w:pPr>
      <w:spacing w:after="120" w:line="446" w:lineRule="auto"/>
      <w:ind w:firstLine="400"/>
    </w:pPr>
    <w:rPr>
      <w:rFonts w:ascii="宋体" w:hAnsi="宋体" w:eastAsia="宋体" w:cs="宋体"/>
      <w:sz w:val="22"/>
      <w:szCs w:val="22"/>
      <w:lang w:val="zh-TW" w:eastAsia="zh-TW" w:bidi="zh-TW"/>
    </w:rPr>
  </w:style>
  <w:style w:type="paragraph" w:customStyle="1" w:styleId="11">
    <w:name w:val=" Char Char Char Char"/>
    <w:basedOn w:val="1"/>
    <w:qFormat/>
    <w:uiPriority w:val="0"/>
    <w:pPr>
      <w:widowControl/>
      <w:spacing w:after="160" w:afterLines="0" w:line="240" w:lineRule="exact"/>
      <w:jc w:val="left"/>
    </w:pPr>
  </w:style>
  <w:style w:type="paragraph" w:customStyle="1" w:styleId="12">
    <w:name w:val=" Char1 Char Char Char"/>
    <w:basedOn w:val="1"/>
    <w:qFormat/>
    <w:uiPriority w:val="0"/>
    <w:pPr>
      <w:widowControl/>
      <w:spacing w:after="160" w:afterLines="0" w:afterAutospacing="0" w:line="240" w:lineRule="exact"/>
      <w:jc w:val="left"/>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6351</Words>
  <Characters>6422</Characters>
  <Lines>0</Lines>
  <Paragraphs>0</Paragraphs>
  <TotalTime>8</TotalTime>
  <ScaleCrop>false</ScaleCrop>
  <LinksUpToDate>false</LinksUpToDate>
  <CharactersWithSpaces>6425</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2022-08-28T01:30:00Z</dcterms:created>
  <dc:creator>jqqin</dc:creator>
  <cp:lastModifiedBy>殷明明</cp:lastModifiedBy>
  <dcterms:modified xsi:type="dcterms:W3CDTF">2023-01-05T10:41:55Z</dcterms:modified>
  <dc:title>浙江中天东方氟硅材料股份有限公司首次公开发行股票申请文件反馈意见</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D7A9777A926C46C6B524F22C7AE44FC0</vt:lpwstr>
  </property>
</Properties>
</file>