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深圳市玮言服饰股份有限公司首次公开发行股票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9"/>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华泰联合证券有限责任公司：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现对你公司推荐的深圳市玮言服饰股份有限公司（以下简称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关于历史沿革。发行人历史上曾多次增资和股权转让。</w:t>
      </w:r>
      <w:r>
        <w:rPr>
          <w:rFonts w:hint="default" w:cs="宋体"/>
          <w:kern w:val="2"/>
          <w:sz w:val="28"/>
          <w:szCs w:val="20"/>
          <w:lang w:val="en-US" w:eastAsia="zh-CN"/>
        </w:rPr>
        <w:t>请发行人</w:t>
      </w:r>
      <w:r>
        <w:rPr>
          <w:rFonts w:hint="default" w:cs="宋体"/>
          <w:kern w:val="2"/>
          <w:sz w:val="28"/>
          <w:szCs w:val="20"/>
          <w:lang w:eastAsia="zh-CN"/>
        </w:rPr>
        <w:t>说明</w:t>
      </w:r>
      <w:r>
        <w:rPr>
          <w:rFonts w:hint="default" w:cs="宋体"/>
          <w:kern w:val="2"/>
          <w:sz w:val="28"/>
          <w:szCs w:val="20"/>
          <w:lang w:val="en-US" w:eastAsia="zh-CN"/>
        </w:rPr>
        <w:t>：（</w:t>
      </w:r>
      <w:r>
        <w:rPr>
          <w:rFonts w:hint="default" w:cs="宋体"/>
          <w:kern w:val="2"/>
          <w:sz w:val="28"/>
          <w:szCs w:val="20"/>
          <w:lang w:eastAsia="zh-CN"/>
        </w:rPr>
        <w:t>1</w:t>
      </w:r>
      <w:r>
        <w:rPr>
          <w:rFonts w:hint="default" w:cs="宋体"/>
          <w:kern w:val="2"/>
          <w:sz w:val="28"/>
          <w:szCs w:val="20"/>
          <w:lang w:val="en-US" w:eastAsia="zh-CN"/>
        </w:rPr>
        <w:t>）</w:t>
      </w:r>
      <w:r>
        <w:rPr>
          <w:rFonts w:hint="default" w:cs="宋体"/>
          <w:kern w:val="2"/>
          <w:sz w:val="28"/>
          <w:szCs w:val="20"/>
          <w:lang w:eastAsia="zh-CN"/>
        </w:rPr>
        <w:t>历史上发行人设立及存续期间是否存在不规范事项，如有则请补充披露具体内容、后续处理方式，以及是否受到过行政处罚或存在被处罚风险，是否构成重大违法行为及本次发行的法律障碍，是否存在纠纷或潜在纠纷。（2）历次增资及股权转让的原因，增资或股权转让价格，定价依据、公允性和合理性；股权转让是否真实，有关股权变动是否为双方真实意思表示，是否存在争议或潜在纠纷，是否存在委托持股、利益输送或其他利益安排。（3）发行人历次出资、增资、股权转让的资金来源、合法性，是否存在出资不实、抽逃资本等情况。（4）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请保荐机构及发行人律师对上述问题核查并发表明确意见，并说明历史上新增股东（追溯至最终自然人）的基本情况（包括但不限于身份背景、近5年工作经历，股东为公司员工的，请说明该股东进入发行人工作的时间、任职情况），对发行人目前股权结构中是否存在委托持股、信托持股、股东的适格性、是否存在股权纠纷发表核查意见</w:t>
      </w:r>
      <w:r>
        <w:rPr>
          <w:rFonts w:hint="default" w:cs="宋体"/>
          <w:kern w:val="2"/>
          <w:sz w:val="28"/>
          <w:szCs w:val="20"/>
          <w:lang w:val="en-US" w:eastAsia="zh-CN"/>
        </w:rPr>
        <w:t>。</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关于对赌协议。</w:t>
      </w:r>
      <w:r>
        <w:rPr>
          <w:rFonts w:hint="default" w:cs="宋体"/>
          <w:kern w:val="2"/>
          <w:sz w:val="28"/>
          <w:szCs w:val="20"/>
          <w:lang w:val="zh-TW" w:eastAsia="zh-CN"/>
        </w:rPr>
        <w:t>2022年6月，</w:t>
      </w:r>
      <w:r>
        <w:rPr>
          <w:rFonts w:hint="default" w:cs="宋体"/>
          <w:kern w:val="2"/>
          <w:sz w:val="28"/>
          <w:szCs w:val="20"/>
          <w:lang w:eastAsia="zh-CN"/>
        </w:rPr>
        <w:t>发行人</w:t>
      </w:r>
      <w:r>
        <w:rPr>
          <w:rFonts w:hint="default" w:cs="宋体"/>
          <w:kern w:val="2"/>
          <w:sz w:val="28"/>
          <w:szCs w:val="20"/>
          <w:lang w:val="zh-TW" w:eastAsia="zh-CN"/>
        </w:rPr>
        <w:t>、实际控制人叶琳和马忠红与投资方复星惟实、白涛签署</w:t>
      </w:r>
      <w:r>
        <w:rPr>
          <w:rFonts w:hint="default" w:cs="宋体"/>
          <w:kern w:val="2"/>
          <w:sz w:val="28"/>
          <w:szCs w:val="20"/>
          <w:lang w:eastAsia="zh-CN"/>
        </w:rPr>
        <w:t>相关协议约定</w:t>
      </w:r>
      <w:r>
        <w:rPr>
          <w:rFonts w:hint="default" w:cs="宋体"/>
          <w:kern w:val="2"/>
          <w:sz w:val="28"/>
          <w:szCs w:val="20"/>
          <w:lang w:val="zh-TW" w:eastAsia="zh-CN"/>
        </w:rPr>
        <w:t>实际控制人回购义务自公司递交上市申请材料前1日起自动终止，对各方不再具有约束力；但是如果公司上市被否决或撤回或终止上市申请，或上市失败，则该条款自动恢复执行。</w:t>
      </w:r>
      <w:r>
        <w:rPr>
          <w:rFonts w:hint="default" w:cs="宋体"/>
          <w:kern w:val="2"/>
          <w:sz w:val="28"/>
          <w:szCs w:val="20"/>
          <w:lang w:eastAsia="zh-CN"/>
        </w:rPr>
        <w:t>请发行人：（1）列示相关对赌协议的情况并详细介绍其对应交易的背景、对赌方情况、对赌条款的约定，各条款对应《首发业务若干问题解答》的何种对赌协议分类。（2）说明发行人是否在附条件生效的对赌条款相关协议上签字，相关协议是否约定了发行人违约的情形，发行人是否为权利义务承担方，并结合上述内容以及</w:t>
      </w:r>
      <w:r>
        <w:rPr>
          <w:rFonts w:hint="default" w:cs="宋体"/>
          <w:kern w:val="2"/>
          <w:sz w:val="28"/>
          <w:szCs w:val="20"/>
          <w:lang w:val="en-US" w:eastAsia="zh-CN"/>
        </w:rPr>
        <w:t>清理各对赌协议的具体过程及相关清理条款的约定情况，</w:t>
      </w:r>
      <w:r>
        <w:rPr>
          <w:rFonts w:hint="default" w:cs="宋体"/>
          <w:kern w:val="2"/>
          <w:sz w:val="28"/>
          <w:szCs w:val="20"/>
          <w:lang w:eastAsia="zh-CN"/>
        </w:rPr>
        <w:t>说明</w:t>
      </w:r>
      <w:r>
        <w:rPr>
          <w:rFonts w:hint="default" w:cs="宋体"/>
          <w:kern w:val="2"/>
          <w:sz w:val="28"/>
          <w:szCs w:val="20"/>
          <w:lang w:val="en-US" w:eastAsia="zh-CN"/>
        </w:rPr>
        <w:t>相关条款是否完全、有效终止对赌条款，清理后是否符合《首发业务若干问题解答》的要求。</w:t>
      </w:r>
      <w:r>
        <w:rPr>
          <w:rFonts w:hint="default" w:cs="宋体"/>
          <w:kern w:val="2"/>
          <w:sz w:val="28"/>
          <w:szCs w:val="20"/>
          <w:lang w:eastAsia="zh-CN"/>
        </w:rPr>
        <w:t>（3）说明若发行人</w:t>
      </w:r>
      <w:r>
        <w:rPr>
          <w:rFonts w:hint="default" w:cs="宋体"/>
          <w:kern w:val="2"/>
          <w:sz w:val="28"/>
          <w:szCs w:val="20"/>
          <w:lang w:val="zh-TW" w:eastAsia="zh-CN"/>
        </w:rPr>
        <w:t>实际控制人</w:t>
      </w:r>
      <w:r>
        <w:rPr>
          <w:rFonts w:hint="default" w:cs="宋体"/>
          <w:kern w:val="2"/>
          <w:sz w:val="28"/>
          <w:szCs w:val="20"/>
          <w:lang w:eastAsia="zh-CN"/>
        </w:rPr>
        <w:t>履行回购义务后发行人股权结构变动情况，是否可能导致公司控制权变更，是否影响股权清晰稳定，发行人</w:t>
      </w:r>
      <w:r>
        <w:rPr>
          <w:rFonts w:hint="default" w:cs="宋体"/>
          <w:kern w:val="2"/>
          <w:sz w:val="28"/>
          <w:szCs w:val="20"/>
          <w:lang w:val="zh-TW" w:eastAsia="zh-CN"/>
        </w:rPr>
        <w:t>实际控制人</w:t>
      </w:r>
      <w:r>
        <w:rPr>
          <w:rFonts w:hint="default" w:cs="宋体"/>
          <w:kern w:val="2"/>
          <w:sz w:val="28"/>
          <w:szCs w:val="20"/>
          <w:lang w:eastAsia="zh-CN"/>
        </w:rPr>
        <w:t>是否具有履约能力，是否存在纠纷或潜在纠纷，对本次发行上市是否构成障碍。请保荐机构及发行人律师对上述问题核查并发表明确意见。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关于同业竞争。</w:t>
      </w:r>
      <w:r>
        <w:rPr>
          <w:rFonts w:hint="default" w:cs="宋体"/>
          <w:kern w:val="2"/>
          <w:sz w:val="28"/>
          <w:szCs w:val="20"/>
          <w:lang w:val="en-US" w:eastAsia="zh-CN"/>
        </w:rPr>
        <w:t>请发行人：（1）逐一补充</w:t>
      </w:r>
      <w:r>
        <w:rPr>
          <w:rFonts w:hint="default" w:cs="宋体"/>
          <w:kern w:val="2"/>
          <w:sz w:val="28"/>
          <w:szCs w:val="20"/>
          <w:lang w:eastAsia="zh-CN"/>
        </w:rPr>
        <w:t>说明</w:t>
      </w:r>
      <w:r>
        <w:rPr>
          <w:rFonts w:hint="default" w:cs="宋体"/>
          <w:kern w:val="2"/>
          <w:sz w:val="28"/>
          <w:szCs w:val="20"/>
          <w:lang w:val="en-US" w:eastAsia="zh-CN"/>
        </w:rPr>
        <w:t>实际控制人、控股股东及其近亲属全资或控股的企业，进一步说明是否存在与公司利益冲突的情形、是否存在与公司及其子公司从事相同或相似业务的情形，如存在，请说明对公司独立性的影响。（2）</w:t>
      </w:r>
      <w:r>
        <w:rPr>
          <w:rFonts w:hint="default" w:cs="宋体"/>
          <w:kern w:val="2"/>
          <w:sz w:val="28"/>
          <w:szCs w:val="20"/>
          <w:lang w:eastAsia="zh-CN"/>
        </w:rPr>
        <w:t>说明</w:t>
      </w:r>
      <w:r>
        <w:rPr>
          <w:rFonts w:hint="default" w:cs="宋体"/>
          <w:kern w:val="2"/>
          <w:sz w:val="28"/>
          <w:szCs w:val="20"/>
          <w:lang w:val="en-US" w:eastAsia="zh-CN"/>
        </w:rPr>
        <w:t>认定不存在同业竞争关系时，是否已经审慎核查并完整地披露发行人控股股东、实际控制人及其近亲属直接或间接控制的全部关联企业。（3）</w:t>
      </w:r>
      <w:r>
        <w:rPr>
          <w:rFonts w:hint="default" w:cs="宋体"/>
          <w:kern w:val="2"/>
          <w:sz w:val="28"/>
          <w:szCs w:val="20"/>
          <w:lang w:eastAsia="zh-CN"/>
        </w:rPr>
        <w:t>说明</w:t>
      </w:r>
      <w:r>
        <w:rPr>
          <w:rFonts w:hint="default" w:cs="宋体"/>
          <w:kern w:val="2"/>
          <w:sz w:val="28"/>
          <w:szCs w:val="20"/>
          <w:lang w:val="en-US" w:eastAsia="zh-CN"/>
        </w:rPr>
        <w:t>上述企业的实际经营业务，说明是否简单依据经营范围对同业竞争做出判断，是否仅以经营区域、细分产品、细分市场的不同来认定不构成同业竞争。（4）</w:t>
      </w:r>
      <w:r>
        <w:rPr>
          <w:rFonts w:hint="default" w:cs="宋体"/>
          <w:kern w:val="2"/>
          <w:sz w:val="28"/>
          <w:szCs w:val="20"/>
          <w:lang w:eastAsia="zh-CN"/>
        </w:rPr>
        <w:t>说明</w:t>
      </w:r>
      <w:r>
        <w:rPr>
          <w:rFonts w:hint="default" w:cs="宋体"/>
          <w:kern w:val="2"/>
          <w:sz w:val="28"/>
          <w:szCs w:val="20"/>
          <w:lang w:val="en-US" w:eastAsia="zh-CN"/>
        </w:rPr>
        <w:t>上述企业的历史沿革、资产、人员、业务和技术等方面与发行人的关系，</w:t>
      </w:r>
      <w:r>
        <w:rPr>
          <w:rFonts w:hint="default" w:cs="宋体"/>
          <w:kern w:val="2"/>
          <w:sz w:val="28"/>
          <w:szCs w:val="20"/>
          <w:lang w:eastAsia="zh-CN"/>
        </w:rPr>
        <w:t>经营的合法合规性，</w:t>
      </w:r>
      <w:r>
        <w:rPr>
          <w:rFonts w:hint="default" w:cs="宋体"/>
          <w:kern w:val="2"/>
          <w:sz w:val="28"/>
          <w:szCs w:val="20"/>
          <w:lang w:val="en-US" w:eastAsia="zh-CN"/>
        </w:rPr>
        <w:t>采购销售渠道、客户、供应商等方面是否影响发行人的独立性。请保荐机构、发行人律师核查并发表意见</w:t>
      </w:r>
      <w:r>
        <w:rPr>
          <w:rFonts w:hint="default" w:cs="宋体"/>
          <w:kern w:val="2"/>
          <w:sz w:val="28"/>
          <w:szCs w:val="20"/>
          <w:lang w:eastAsia="zh-CN"/>
        </w:rPr>
        <w:t>。</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关于关联交易。</w:t>
      </w:r>
      <w:r>
        <w:rPr>
          <w:rFonts w:hint="default" w:cs="宋体"/>
          <w:kern w:val="2"/>
          <w:sz w:val="28"/>
          <w:szCs w:val="20"/>
          <w:lang w:val="en-US" w:eastAsia="zh-CN"/>
        </w:rPr>
        <w:t>请发行人说明：（1）发行人是否按照《公司法》《企业会计准则》《上市公司信息披露管理办法》及其他相关规定完整、准确地披露关联方关系及交易。（2）报告期关联交易</w:t>
      </w:r>
      <w:r>
        <w:rPr>
          <w:rFonts w:hint="default" w:cs="宋体"/>
          <w:kern w:val="2"/>
          <w:sz w:val="28"/>
          <w:szCs w:val="20"/>
          <w:lang w:eastAsia="zh-CN"/>
        </w:rPr>
        <w:t>背景、原因、合理性和必要性，关联方</w:t>
      </w:r>
      <w:r>
        <w:rPr>
          <w:rFonts w:hint="default" w:cs="宋体"/>
          <w:kern w:val="2"/>
          <w:sz w:val="28"/>
          <w:szCs w:val="20"/>
          <w:lang w:val="en-US" w:eastAsia="zh-CN"/>
        </w:rPr>
        <w:t>定价依据及公允性，是否存在替发行人分担成本、费用的情况，是否存在利益输送等其他利益安排</w:t>
      </w:r>
      <w:r>
        <w:rPr>
          <w:rFonts w:hint="default" w:cs="宋体"/>
          <w:kern w:val="2"/>
          <w:sz w:val="28"/>
          <w:szCs w:val="20"/>
          <w:lang w:eastAsia="zh-CN"/>
        </w:rPr>
        <w:t>。（3）</w:t>
      </w:r>
      <w:r>
        <w:rPr>
          <w:rFonts w:hint="default" w:cs="宋体"/>
          <w:kern w:val="2"/>
          <w:sz w:val="28"/>
          <w:szCs w:val="20"/>
          <w:lang w:val="en-US" w:eastAsia="zh-CN"/>
        </w:rPr>
        <w:t>前副总经理、董事会秘书谢桂兰</w:t>
      </w:r>
      <w:r>
        <w:rPr>
          <w:rFonts w:hint="default" w:cs="宋体"/>
          <w:kern w:val="2"/>
          <w:sz w:val="28"/>
          <w:szCs w:val="20"/>
          <w:lang w:eastAsia="zh-CN"/>
        </w:rPr>
        <w:t>离职后仍为发行人提供咨询服务的原因及合理性，咨询服务的主要内容、工作过程及主要成果，</w:t>
      </w:r>
      <w:r>
        <w:rPr>
          <w:rFonts w:hint="default" w:cs="宋体"/>
          <w:kern w:val="2"/>
          <w:sz w:val="28"/>
          <w:szCs w:val="20"/>
          <w:lang w:val="en-US" w:eastAsia="zh-CN"/>
        </w:rPr>
        <w:t>项目服务费</w:t>
      </w:r>
      <w:r>
        <w:rPr>
          <w:rFonts w:hint="default" w:cs="宋体"/>
          <w:kern w:val="2"/>
          <w:sz w:val="28"/>
          <w:szCs w:val="20"/>
          <w:lang w:eastAsia="zh-CN"/>
        </w:rPr>
        <w:t>定价依据及公允性，是否存在利益输送或其他利益安排。</w:t>
      </w:r>
      <w:r>
        <w:rPr>
          <w:rFonts w:hint="default" w:cs="宋体"/>
          <w:kern w:val="2"/>
          <w:sz w:val="28"/>
          <w:szCs w:val="20"/>
          <w:lang w:val="en-US" w:eastAsia="zh-CN"/>
        </w:rPr>
        <w:t>（</w:t>
      </w:r>
      <w:r>
        <w:rPr>
          <w:rFonts w:hint="default" w:cs="宋体"/>
          <w:kern w:val="2"/>
          <w:sz w:val="28"/>
          <w:szCs w:val="20"/>
          <w:lang w:eastAsia="zh-CN"/>
        </w:rPr>
        <w:t>4</w:t>
      </w:r>
      <w:r>
        <w:rPr>
          <w:rFonts w:hint="default" w:cs="宋体"/>
          <w:kern w:val="2"/>
          <w:sz w:val="28"/>
          <w:szCs w:val="20"/>
          <w:lang w:val="en-US" w:eastAsia="zh-CN"/>
        </w:rPr>
        <w:t>）发行人减少关联交易的控制措施是否有效。（</w:t>
      </w:r>
      <w:r>
        <w:rPr>
          <w:rFonts w:hint="default" w:cs="宋体"/>
          <w:kern w:val="2"/>
          <w:sz w:val="28"/>
          <w:szCs w:val="20"/>
          <w:lang w:eastAsia="zh-CN"/>
        </w:rPr>
        <w:t>5</w:t>
      </w:r>
      <w:r>
        <w:rPr>
          <w:rFonts w:hint="default" w:cs="宋体"/>
          <w:kern w:val="2"/>
          <w:sz w:val="28"/>
          <w:szCs w:val="20"/>
          <w:lang w:val="en-US" w:eastAsia="zh-CN"/>
        </w:rPr>
        <w:t>）发行人关联交易履行的审批程序，公司治理是否健全有效，是否存在未及时按规定履行必要的决策程序、后续补充确认的情况，相关会议制度、内部控制措施是否切实有效执行。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5、</w:t>
      </w:r>
      <w:r>
        <w:rPr>
          <w:rFonts w:hint="eastAsia" w:ascii="宋体" w:hAnsi="宋体" w:eastAsia="宋体" w:cs="宋体"/>
          <w:b w:val="0"/>
          <w:bCs w:val="0"/>
          <w:sz w:val="28"/>
          <w:szCs w:val="28"/>
          <w:highlight w:val="none"/>
          <w:lang w:val="en-US" w:eastAsia="zh-CN"/>
        </w:rPr>
        <w:t>报告期各期，剔除新收入准则影响后，发行人主营业务收入分别为</w:t>
      </w:r>
      <w:r>
        <w:rPr>
          <w:rFonts w:hint="default" w:ascii="宋体" w:hAnsi="宋体" w:eastAsia="宋体" w:cs="宋体"/>
          <w:b w:val="0"/>
          <w:bCs w:val="0"/>
          <w:sz w:val="28"/>
          <w:szCs w:val="28"/>
          <w:highlight w:val="none"/>
          <w:lang w:val="en-US" w:eastAsia="zh-CN"/>
        </w:rPr>
        <w:t>46,680.73</w:t>
      </w:r>
      <w:r>
        <w:rPr>
          <w:rFonts w:hint="eastAsia" w:ascii="宋体" w:hAnsi="宋体" w:eastAsia="宋体" w:cs="宋体"/>
          <w:b w:val="0"/>
          <w:bCs w:val="0"/>
          <w:sz w:val="28"/>
          <w:szCs w:val="28"/>
          <w:highlight w:val="none"/>
          <w:lang w:val="en-US" w:eastAsia="zh-CN"/>
        </w:rPr>
        <w:t>万元、</w:t>
      </w:r>
      <w:r>
        <w:rPr>
          <w:rFonts w:hint="default" w:ascii="宋体" w:hAnsi="宋体" w:eastAsia="宋体" w:cs="宋体"/>
          <w:b w:val="0"/>
          <w:bCs w:val="0"/>
          <w:sz w:val="28"/>
          <w:szCs w:val="28"/>
          <w:highlight w:val="none"/>
          <w:lang w:val="en-US" w:eastAsia="zh-CN"/>
        </w:rPr>
        <w:t>43,803.90</w:t>
      </w:r>
      <w:r>
        <w:rPr>
          <w:rFonts w:hint="eastAsia" w:ascii="宋体" w:hAnsi="宋体" w:eastAsia="宋体" w:cs="宋体"/>
          <w:b w:val="0"/>
          <w:bCs w:val="0"/>
          <w:sz w:val="28"/>
          <w:szCs w:val="28"/>
          <w:highlight w:val="none"/>
          <w:lang w:val="en-US" w:eastAsia="zh-CN"/>
        </w:rPr>
        <w:t>万元和</w:t>
      </w:r>
      <w:r>
        <w:rPr>
          <w:rFonts w:hint="default" w:ascii="宋体" w:hAnsi="宋体" w:eastAsia="宋体" w:cs="宋体"/>
          <w:b w:val="0"/>
          <w:bCs w:val="0"/>
          <w:sz w:val="28"/>
          <w:szCs w:val="28"/>
          <w:highlight w:val="none"/>
          <w:lang w:val="en-US" w:eastAsia="zh-CN"/>
        </w:rPr>
        <w:t>57,780.81</w:t>
      </w:r>
      <w:r>
        <w:rPr>
          <w:rFonts w:hint="eastAsia" w:ascii="宋体" w:hAnsi="宋体" w:eastAsia="宋体" w:cs="宋体"/>
          <w:b w:val="0"/>
          <w:bCs w:val="0"/>
          <w:sz w:val="28"/>
          <w:szCs w:val="28"/>
          <w:highlight w:val="none"/>
          <w:lang w:val="en-US" w:eastAsia="zh-CN"/>
        </w:rPr>
        <w:t>万元，2021年收入增幅较大；因执行新收入准则，线下直营联营模式销售收入确认方法由净额法改为总额法。请发行人：（1）说明</w:t>
      </w:r>
      <w:r>
        <w:rPr>
          <w:rFonts w:hint="default" w:ascii="宋体" w:hAnsi="宋体" w:eastAsia="宋体" w:cs="宋体"/>
          <w:b w:val="0"/>
          <w:bCs w:val="0"/>
          <w:sz w:val="28"/>
          <w:szCs w:val="28"/>
          <w:highlight w:val="none"/>
          <w:lang w:val="en-US" w:eastAsia="zh-CN"/>
        </w:rPr>
        <w:t>各品牌收入的销售模式构成情况，并结合报告期内门店数量、</w:t>
      </w:r>
      <w:r>
        <w:rPr>
          <w:rFonts w:hint="eastAsia" w:ascii="宋体" w:hAnsi="宋体" w:eastAsia="宋体" w:cs="宋体"/>
          <w:b w:val="0"/>
          <w:bCs w:val="0"/>
          <w:sz w:val="28"/>
          <w:szCs w:val="28"/>
          <w:highlight w:val="none"/>
          <w:lang w:val="en-US" w:eastAsia="zh-CN"/>
        </w:rPr>
        <w:t>坪</w:t>
      </w:r>
      <w:r>
        <w:rPr>
          <w:rFonts w:hint="default" w:ascii="宋体" w:hAnsi="宋体" w:eastAsia="宋体" w:cs="宋体"/>
          <w:b w:val="0"/>
          <w:bCs w:val="0"/>
          <w:sz w:val="28"/>
          <w:szCs w:val="28"/>
          <w:highlight w:val="none"/>
          <w:lang w:val="en-US" w:eastAsia="zh-CN"/>
        </w:rPr>
        <w:t>效等因素分析各品牌收入的变动原因</w:t>
      </w:r>
      <w:r>
        <w:rPr>
          <w:rFonts w:hint="eastAsia" w:ascii="宋体" w:hAnsi="宋体" w:eastAsia="宋体" w:cs="宋体"/>
          <w:b w:val="0"/>
          <w:bCs w:val="0"/>
          <w:sz w:val="28"/>
          <w:szCs w:val="28"/>
          <w:highlight w:val="none"/>
          <w:lang w:val="en-US" w:eastAsia="zh-CN"/>
        </w:rPr>
        <w:t>及合理性；（2）</w:t>
      </w:r>
      <w:r>
        <w:rPr>
          <w:rFonts w:hint="default" w:ascii="宋体" w:hAnsi="宋体" w:eastAsia="宋体" w:cs="宋体"/>
          <w:b w:val="0"/>
          <w:bCs w:val="0"/>
          <w:sz w:val="28"/>
          <w:szCs w:val="28"/>
          <w:highlight w:val="none"/>
          <w:lang w:val="en-US" w:eastAsia="zh-CN"/>
        </w:rPr>
        <w:t>说明收入的季节性特征是否符合行业惯例、</w:t>
      </w:r>
      <w:r>
        <w:rPr>
          <w:rFonts w:hint="eastAsia" w:ascii="宋体" w:hAnsi="宋体" w:eastAsia="宋体" w:cs="宋体"/>
          <w:b w:val="0"/>
          <w:bCs w:val="0"/>
          <w:sz w:val="28"/>
          <w:szCs w:val="28"/>
          <w:highlight w:val="none"/>
          <w:lang w:val="en-US" w:eastAsia="zh-CN"/>
        </w:rPr>
        <w:t>各期</w:t>
      </w:r>
      <w:r>
        <w:rPr>
          <w:rFonts w:hint="default" w:ascii="宋体" w:hAnsi="宋体" w:eastAsia="宋体" w:cs="宋体"/>
          <w:b w:val="0"/>
          <w:bCs w:val="0"/>
          <w:sz w:val="28"/>
          <w:szCs w:val="28"/>
          <w:highlight w:val="none"/>
          <w:lang w:val="en-US" w:eastAsia="zh-CN"/>
        </w:rPr>
        <w:t>退换货情况、是否存在跨期确认收入的情形</w:t>
      </w:r>
      <w:r>
        <w:rPr>
          <w:rFonts w:hint="eastAsia" w:ascii="宋体" w:hAnsi="宋体" w:eastAsia="宋体" w:cs="宋体"/>
          <w:b w:val="0"/>
          <w:bCs w:val="0"/>
          <w:sz w:val="28"/>
          <w:szCs w:val="28"/>
          <w:highlight w:val="none"/>
          <w:lang w:val="en-US" w:eastAsia="zh-CN"/>
        </w:rPr>
        <w:t>，境内各地区收入的省份构成情况、境外地区的国家和地区构成情况</w:t>
      </w:r>
      <w:r>
        <w:rPr>
          <w:rFonts w:hint="default"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US" w:eastAsia="zh-CN"/>
        </w:rPr>
        <w:t>（3）说明2021年收入大幅增长的原因及合理性，与同行业可比公司是否存在差异，收入增长是否可持续；（4）说明</w:t>
      </w:r>
      <w:r>
        <w:rPr>
          <w:rFonts w:hint="default" w:ascii="宋体" w:hAnsi="宋体" w:eastAsia="宋体" w:cs="宋体"/>
          <w:b w:val="0"/>
          <w:bCs w:val="0"/>
          <w:sz w:val="28"/>
          <w:szCs w:val="28"/>
          <w:highlight w:val="none"/>
          <w:lang w:val="en-US" w:eastAsia="zh-CN"/>
        </w:rPr>
        <w:t>报告期各期各销售模式下销售折扣的相关制度、确定依据、实际执行和发生情况，并说明销售折扣的相关会计处理</w:t>
      </w:r>
      <w:r>
        <w:rPr>
          <w:rFonts w:hint="eastAsia" w:ascii="宋体" w:hAnsi="宋体" w:eastAsia="宋体" w:cs="宋体"/>
          <w:b w:val="0"/>
          <w:bCs w:val="0"/>
          <w:sz w:val="28"/>
          <w:szCs w:val="28"/>
          <w:highlight w:val="none"/>
          <w:lang w:val="en-US" w:eastAsia="zh-CN"/>
        </w:rPr>
        <w:t>及依据，是否符合《企业会计准则》的相关规定</w:t>
      </w:r>
      <w:r>
        <w:rPr>
          <w:rFonts w:hint="default"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US" w:eastAsia="zh-CN"/>
        </w:rPr>
        <w:t>（5）</w:t>
      </w:r>
      <w:r>
        <w:rPr>
          <w:rFonts w:hint="default" w:ascii="宋体" w:hAnsi="宋体" w:eastAsia="宋体" w:cs="宋体"/>
          <w:b w:val="0"/>
          <w:bCs w:val="0"/>
          <w:sz w:val="28"/>
          <w:szCs w:val="28"/>
          <w:highlight w:val="none"/>
          <w:lang w:val="en-US" w:eastAsia="zh-CN"/>
        </w:rPr>
        <w:t>如存在储值卡，说明储值卡使用政策、充值及消费情况、主要充值单位或个人</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储值卡对发行人销售影响情况，储值卡销售的资金来源是否存在异常情况，储值卡及其折扣使用、储值卡到期后等会计处理是否符合</w:t>
      </w:r>
      <w:r>
        <w:rPr>
          <w:rFonts w:hint="eastAsia" w:ascii="宋体" w:hAnsi="宋体" w:eastAsia="宋体" w:cs="宋体"/>
          <w:b w:val="0"/>
          <w:bCs w:val="0"/>
          <w:sz w:val="28"/>
          <w:szCs w:val="28"/>
          <w:highlight w:val="none"/>
          <w:lang w:val="en-US" w:eastAsia="zh-CN"/>
        </w:rPr>
        <w:t>《企业</w:t>
      </w:r>
      <w:r>
        <w:rPr>
          <w:rFonts w:hint="default" w:ascii="宋体" w:hAnsi="宋体" w:eastAsia="宋体" w:cs="宋体"/>
          <w:b w:val="0"/>
          <w:bCs w:val="0"/>
          <w:sz w:val="28"/>
          <w:szCs w:val="28"/>
          <w:highlight w:val="none"/>
          <w:lang w:val="en-US" w:eastAsia="zh-CN"/>
        </w:rPr>
        <w:t>会计准则</w:t>
      </w:r>
      <w:r>
        <w:rPr>
          <w:rFonts w:hint="eastAsia" w:ascii="宋体" w:hAnsi="宋体" w:eastAsia="宋体" w:cs="宋体"/>
          <w:b w:val="0"/>
          <w:bCs w:val="0"/>
          <w:sz w:val="28"/>
          <w:szCs w:val="28"/>
          <w:highlight w:val="none"/>
          <w:lang w:val="en-US" w:eastAsia="zh-CN"/>
        </w:rPr>
        <w:t>》的相关规定；（6）</w:t>
      </w:r>
      <w:r>
        <w:rPr>
          <w:rFonts w:hint="default" w:ascii="宋体" w:hAnsi="宋体" w:eastAsia="宋体" w:cs="宋体"/>
          <w:b w:val="0"/>
          <w:bCs w:val="0"/>
          <w:sz w:val="28"/>
          <w:szCs w:val="28"/>
          <w:highlight w:val="none"/>
          <w:lang w:val="en-US" w:eastAsia="zh-CN"/>
        </w:rPr>
        <w:t>如存在积分销售，说明销售积分及促销券、优惠卡发放及使用数量、金额，销售积分及促销券的会计处理是否符合</w:t>
      </w:r>
      <w:r>
        <w:rPr>
          <w:rFonts w:hint="eastAsia" w:ascii="宋体" w:hAnsi="宋体" w:eastAsia="宋体" w:cs="宋体"/>
          <w:b w:val="0"/>
          <w:bCs w:val="0"/>
          <w:sz w:val="28"/>
          <w:szCs w:val="28"/>
          <w:highlight w:val="none"/>
          <w:lang w:val="en-US" w:eastAsia="zh-CN"/>
        </w:rPr>
        <w:t>《企业</w:t>
      </w:r>
      <w:r>
        <w:rPr>
          <w:rFonts w:hint="default" w:ascii="宋体" w:hAnsi="宋体" w:eastAsia="宋体" w:cs="宋体"/>
          <w:b w:val="0"/>
          <w:bCs w:val="0"/>
          <w:sz w:val="28"/>
          <w:szCs w:val="28"/>
          <w:highlight w:val="none"/>
          <w:lang w:val="en-US" w:eastAsia="zh-CN"/>
        </w:rPr>
        <w:t>会计准则</w:t>
      </w:r>
      <w:r>
        <w:rPr>
          <w:rFonts w:hint="eastAsia" w:ascii="宋体" w:hAnsi="宋体" w:eastAsia="宋体" w:cs="宋体"/>
          <w:b w:val="0"/>
          <w:bCs w:val="0"/>
          <w:sz w:val="28"/>
          <w:szCs w:val="28"/>
          <w:highlight w:val="none"/>
          <w:lang w:val="en-US" w:eastAsia="zh-CN"/>
        </w:rPr>
        <w:t>》的相关规定；（7）</w:t>
      </w:r>
      <w:r>
        <w:rPr>
          <w:rFonts w:hint="default" w:ascii="宋体" w:hAnsi="宋体" w:eastAsia="宋体" w:cs="宋体"/>
          <w:b w:val="0"/>
          <w:bCs w:val="0"/>
          <w:sz w:val="28"/>
          <w:szCs w:val="28"/>
          <w:highlight w:val="none"/>
          <w:lang w:val="en-US" w:eastAsia="zh-CN"/>
        </w:rPr>
        <w:t>说明</w:t>
      </w:r>
      <w:r>
        <w:rPr>
          <w:rFonts w:hint="eastAsia" w:ascii="宋体" w:hAnsi="宋体" w:eastAsia="宋体" w:cs="宋体"/>
          <w:b w:val="0"/>
          <w:bCs w:val="0"/>
          <w:sz w:val="28"/>
          <w:szCs w:val="28"/>
          <w:highlight w:val="none"/>
          <w:lang w:val="en-US" w:eastAsia="zh-CN"/>
        </w:rPr>
        <w:t>两家联营商场的</w:t>
      </w:r>
      <w:r>
        <w:rPr>
          <w:rFonts w:hint="default" w:ascii="宋体" w:hAnsi="宋体" w:eastAsia="宋体" w:cs="宋体"/>
          <w:b w:val="0"/>
          <w:bCs w:val="0"/>
          <w:sz w:val="28"/>
          <w:szCs w:val="28"/>
          <w:highlight w:val="none"/>
          <w:lang w:val="en-US" w:eastAsia="zh-CN"/>
        </w:rPr>
        <w:t>第三方回款</w:t>
      </w:r>
      <w:r>
        <w:rPr>
          <w:rFonts w:hint="eastAsia" w:ascii="宋体" w:hAnsi="宋体" w:eastAsia="宋体" w:cs="宋体"/>
          <w:b w:val="0"/>
          <w:bCs w:val="0"/>
          <w:sz w:val="28"/>
          <w:szCs w:val="28"/>
          <w:highlight w:val="none"/>
          <w:lang w:val="en-US" w:eastAsia="zh-CN"/>
        </w:rPr>
        <w:t>具体情况、回款金额波动较大的原因、与其他联营商场回款及往期回款差异情况及原因分析；（8）说明</w:t>
      </w:r>
      <w:r>
        <w:rPr>
          <w:rFonts w:hint="default" w:ascii="宋体" w:hAnsi="宋体" w:eastAsia="宋体" w:cs="宋体"/>
          <w:b w:val="0"/>
          <w:bCs w:val="0"/>
          <w:sz w:val="28"/>
          <w:szCs w:val="28"/>
          <w:highlight w:val="none"/>
          <w:lang w:val="en-US" w:eastAsia="zh-CN"/>
        </w:rPr>
        <w:t>相关内部控制措施的有效性以及是否有效执行，发行人现金结算、银行卡结算方式销售是否存在异常情况，资金流转是否可追随，货物流、资金流、单据流是否匹配，零售模式下收入是否真实</w:t>
      </w:r>
      <w:r>
        <w:rPr>
          <w:rFonts w:hint="eastAsia" w:ascii="宋体" w:hAnsi="宋体" w:eastAsia="宋体" w:cs="宋体"/>
          <w:b w:val="0"/>
          <w:bCs w:val="0"/>
          <w:sz w:val="28"/>
          <w:szCs w:val="28"/>
          <w:highlight w:val="none"/>
          <w:lang w:val="en-US" w:eastAsia="zh-CN"/>
        </w:rPr>
        <w:t>。请保荐机构、会计师核查并发表明确意见，说明对发行人收入真实性的核查情况、核查程序、取得的外部证据、核查结论以及收入截止性测试情况，列示测试方法、测试金额及占比。</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6、</w:t>
      </w:r>
      <w:r>
        <w:rPr>
          <w:rFonts w:hint="eastAsia" w:ascii="宋体" w:hAnsi="宋体" w:eastAsia="宋体" w:cs="宋体"/>
          <w:b w:val="0"/>
          <w:bCs w:val="0"/>
          <w:sz w:val="28"/>
          <w:szCs w:val="28"/>
          <w:highlight w:val="none"/>
          <w:lang w:val="en-US" w:eastAsia="zh-CN"/>
        </w:rPr>
        <w:t>报告期内，发行人生产模式包括自主生产、FOB和CMT；其中FOB模式下，发行人直接向外协供应商采购成衣，CMT模式下，发行人向外协供应商提供部分原材料，并支付委托加工费。请发行人：（1）补充披露主营业务成本按成本类型的构成情况、变动原因，说明不同品牌产品的成本构成情况，各项业务中主要成本的核算及结转方式、成本核算的过程和控制的关键环节，举例说明成本核算的准确性、完整性；（2）说明主要面辅料采购情况，前十大</w:t>
      </w:r>
      <w:r>
        <w:rPr>
          <w:rFonts w:hint="default" w:ascii="宋体" w:hAnsi="宋体" w:eastAsia="宋体" w:cs="宋体"/>
          <w:b w:val="0"/>
          <w:bCs w:val="0"/>
          <w:sz w:val="28"/>
          <w:szCs w:val="28"/>
          <w:highlight w:val="none"/>
          <w:lang w:val="en-US" w:eastAsia="zh-CN"/>
        </w:rPr>
        <w:t>面</w:t>
      </w:r>
      <w:r>
        <w:rPr>
          <w:rFonts w:hint="eastAsia" w:ascii="宋体" w:hAnsi="宋体" w:eastAsia="宋体" w:cs="宋体"/>
          <w:b w:val="0"/>
          <w:bCs w:val="0"/>
          <w:sz w:val="28"/>
          <w:szCs w:val="28"/>
          <w:highlight w:val="none"/>
          <w:lang w:val="en-US" w:eastAsia="zh-CN"/>
        </w:rPr>
        <w:t>辅</w:t>
      </w:r>
      <w:r>
        <w:rPr>
          <w:rFonts w:hint="default" w:ascii="宋体" w:hAnsi="宋体" w:eastAsia="宋体" w:cs="宋体"/>
          <w:b w:val="0"/>
          <w:bCs w:val="0"/>
          <w:sz w:val="28"/>
          <w:szCs w:val="28"/>
          <w:highlight w:val="none"/>
          <w:lang w:val="en-US" w:eastAsia="zh-CN"/>
        </w:rPr>
        <w:t>料</w:t>
      </w:r>
      <w:r>
        <w:rPr>
          <w:rFonts w:hint="eastAsia" w:ascii="宋体" w:hAnsi="宋体" w:eastAsia="宋体" w:cs="宋体"/>
          <w:b w:val="0"/>
          <w:bCs w:val="0"/>
          <w:sz w:val="28"/>
          <w:szCs w:val="28"/>
          <w:highlight w:val="none"/>
          <w:lang w:val="en-US" w:eastAsia="zh-CN"/>
        </w:rPr>
        <w:t>供应商的基本情况、采购内容、采购金额变动及原因分析、采购单价及公允性，对比</w:t>
      </w:r>
      <w:r>
        <w:rPr>
          <w:rFonts w:hint="default" w:ascii="宋体" w:hAnsi="宋体" w:eastAsia="宋体" w:cs="宋体"/>
          <w:b w:val="0"/>
          <w:bCs w:val="0"/>
          <w:sz w:val="28"/>
          <w:szCs w:val="28"/>
          <w:highlight w:val="none"/>
          <w:lang w:val="en-US" w:eastAsia="zh-CN"/>
        </w:rPr>
        <w:t>原材料采购价格与市场价格或上游原料价格的变动趋势</w:t>
      </w:r>
      <w:r>
        <w:rPr>
          <w:rFonts w:hint="eastAsia"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 w:eastAsia="zh-CN"/>
        </w:rPr>
        <w:t>（</w:t>
      </w:r>
      <w:r>
        <w:rPr>
          <w:rFonts w:hint="eastAsia" w:ascii="宋体" w:hAnsi="宋体" w:eastAsia="宋体" w:cs="宋体"/>
          <w:b w:val="0"/>
          <w:bCs w:val="0"/>
          <w:sz w:val="28"/>
          <w:szCs w:val="28"/>
          <w:highlight w:val="none"/>
          <w:lang w:val="en-US" w:eastAsia="zh-CN"/>
        </w:rPr>
        <w:t>3</w:t>
      </w:r>
      <w:r>
        <w:rPr>
          <w:rFonts w:hint="eastAsia" w:ascii="宋体" w:hAnsi="宋体" w:eastAsia="宋体" w:cs="宋体"/>
          <w:b w:val="0"/>
          <w:bCs w:val="0"/>
          <w:sz w:val="28"/>
          <w:szCs w:val="28"/>
          <w:highlight w:val="none"/>
          <w:lang w:val="en" w:eastAsia="zh-CN"/>
        </w:rPr>
        <w:t>）</w:t>
      </w:r>
      <w:r>
        <w:rPr>
          <w:rFonts w:hint="eastAsia" w:ascii="宋体" w:hAnsi="宋体" w:eastAsia="宋体" w:cs="宋体"/>
          <w:b w:val="0"/>
          <w:bCs w:val="0"/>
          <w:sz w:val="28"/>
          <w:szCs w:val="28"/>
          <w:highlight w:val="none"/>
          <w:lang w:val="en-US" w:eastAsia="zh-CN"/>
        </w:rPr>
        <w:t>说明外协加工的原因及必要性，结合同行业公司委托生产金额、占比情况说明外协采购占比较高是否符合行业惯例；（4）说明前十大外协厂商的具体情况、关联关系、合作历史、采购金额变动及原因分析、是否涉及核心生产环节、与发行人及其控股股东、实际控制人、持股5%以上股东、董事、监事、高级管理人员是否存在关联关系或其他相关利益安排，是否存在依赖发行人的情形，</w:t>
      </w:r>
      <w:r>
        <w:rPr>
          <w:rFonts w:hint="eastAsia" w:ascii="宋体" w:hAnsi="宋体" w:eastAsia="宋体" w:cs="宋体"/>
          <w:b w:val="0"/>
          <w:bCs w:val="0"/>
          <w:sz w:val="28"/>
          <w:szCs w:val="28"/>
          <w:highlight w:val="none"/>
          <w:lang w:val="zh-CN" w:eastAsia="zh-CN"/>
        </w:rPr>
        <w:t>是否存在成立不久即与发行人交易、外协厂商规模与交易规模明显存在差异的情形；（</w:t>
      </w:r>
      <w:r>
        <w:rPr>
          <w:rFonts w:hint="eastAsia" w:ascii="宋体" w:hAnsi="宋体" w:eastAsia="宋体" w:cs="宋体"/>
          <w:b w:val="0"/>
          <w:bCs w:val="0"/>
          <w:sz w:val="28"/>
          <w:szCs w:val="28"/>
          <w:highlight w:val="none"/>
          <w:lang w:val="en-US" w:eastAsia="zh-CN"/>
        </w:rPr>
        <w:t>5</w:t>
      </w:r>
      <w:r>
        <w:rPr>
          <w:rFonts w:hint="eastAsia" w:ascii="宋体" w:hAnsi="宋体" w:eastAsia="宋体" w:cs="宋体"/>
          <w:b w:val="0"/>
          <w:bCs w:val="0"/>
          <w:sz w:val="28"/>
          <w:szCs w:val="28"/>
          <w:highlight w:val="none"/>
          <w:lang w:val="zh-CN" w:eastAsia="zh-CN"/>
        </w:rPr>
        <w:t>）</w:t>
      </w:r>
      <w:r>
        <w:rPr>
          <w:rFonts w:hint="eastAsia" w:ascii="宋体" w:hAnsi="宋体" w:eastAsia="宋体" w:cs="宋体"/>
          <w:b w:val="0"/>
          <w:bCs w:val="0"/>
          <w:sz w:val="28"/>
          <w:szCs w:val="28"/>
          <w:highlight w:val="none"/>
          <w:lang w:val="en-US" w:eastAsia="zh-CN"/>
        </w:rPr>
        <w:t>说明外协加工费用的价格确定机制、定价的公允性，同类产品外协成本与自主生产的成本的差异情况，是否存在利益输送；（6）说明外协厂商的选择标准，现有外协厂商在生产经营资质、环保及安全生产等方面是否存在瑕疵，发行人为保障产品质量所采取的监督措施、与外协厂商有关产品质量的责任划分是否清晰、明确，发行人自产产品与委托生产产品是否存在质量差异。</w:t>
      </w:r>
      <w:r>
        <w:rPr>
          <w:rFonts w:hint="default" w:ascii="宋体" w:hAnsi="宋体" w:eastAsia="宋体" w:cs="宋体"/>
          <w:b w:val="0"/>
          <w:bCs w:val="0"/>
          <w:sz w:val="28"/>
          <w:szCs w:val="28"/>
          <w:highlight w:val="none"/>
          <w:lang w:val="en-US" w:eastAsia="zh-CN"/>
        </w:rPr>
        <w:t>请保荐机构、会计师核查上述事项，并对发行人外协生产模式的合理性、必要性，加工厂商的独立性、加工价格的公允性发表明确意见。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7、</w:t>
      </w:r>
      <w:r>
        <w:rPr>
          <w:rFonts w:hint="eastAsia" w:ascii="宋体" w:hAnsi="宋体" w:eastAsia="宋体" w:cs="宋体"/>
          <w:b w:val="0"/>
          <w:bCs w:val="0"/>
          <w:sz w:val="28"/>
          <w:szCs w:val="28"/>
          <w:highlight w:val="none"/>
          <w:lang w:val="en-US" w:eastAsia="zh-CN"/>
        </w:rPr>
        <w:t>报告期各期，剔除了新收入准则对2020年度和2021年度营业收入、营业成本的影响后，发行人主营业务毛利率分别为</w:t>
      </w:r>
      <w:r>
        <w:rPr>
          <w:rFonts w:hint="default" w:ascii="宋体" w:hAnsi="宋体" w:eastAsia="宋体" w:cs="宋体"/>
          <w:b w:val="0"/>
          <w:bCs w:val="0"/>
          <w:sz w:val="28"/>
          <w:szCs w:val="28"/>
          <w:highlight w:val="none"/>
          <w:lang w:val="en-US" w:eastAsia="zh-CN"/>
        </w:rPr>
        <w:t>81.52%</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82.32%</w:t>
      </w:r>
      <w:r>
        <w:rPr>
          <w:rFonts w:hint="eastAsia" w:ascii="宋体" w:hAnsi="宋体" w:eastAsia="宋体" w:cs="宋体"/>
          <w:b w:val="0"/>
          <w:bCs w:val="0"/>
          <w:sz w:val="28"/>
          <w:szCs w:val="28"/>
          <w:highlight w:val="none"/>
          <w:lang w:val="en-US" w:eastAsia="zh-CN"/>
        </w:rPr>
        <w:t>和</w:t>
      </w:r>
      <w:r>
        <w:rPr>
          <w:rFonts w:hint="default" w:ascii="宋体" w:hAnsi="宋体" w:eastAsia="宋体" w:cs="宋体"/>
          <w:b w:val="0"/>
          <w:bCs w:val="0"/>
          <w:sz w:val="28"/>
          <w:szCs w:val="28"/>
          <w:highlight w:val="none"/>
          <w:lang w:val="en-US" w:eastAsia="zh-CN"/>
        </w:rPr>
        <w:t>82.32%</w:t>
      </w:r>
      <w:r>
        <w:rPr>
          <w:rFonts w:hint="eastAsia" w:ascii="宋体" w:hAnsi="宋体" w:eastAsia="宋体" w:cs="宋体"/>
          <w:b w:val="0"/>
          <w:bCs w:val="0"/>
          <w:sz w:val="28"/>
          <w:szCs w:val="28"/>
          <w:highlight w:val="none"/>
          <w:lang w:val="en-US" w:eastAsia="zh-CN"/>
        </w:rPr>
        <w:t>，高于同行业可比公司，直营模式毛利率较高。请发行人：（1）说明不同模式</w:t>
      </w:r>
      <w:r>
        <w:rPr>
          <w:rFonts w:hint="default" w:ascii="宋体" w:hAnsi="宋体" w:eastAsia="宋体" w:cs="宋体"/>
          <w:b w:val="0"/>
          <w:bCs w:val="0"/>
          <w:sz w:val="28"/>
          <w:szCs w:val="28"/>
          <w:highlight w:val="none"/>
          <w:lang w:val="en-US" w:eastAsia="zh-CN"/>
        </w:rPr>
        <w:t>的定价机制</w:t>
      </w:r>
      <w:r>
        <w:rPr>
          <w:rFonts w:hint="eastAsia" w:ascii="宋体" w:hAnsi="宋体" w:eastAsia="宋体" w:cs="宋体"/>
          <w:b w:val="0"/>
          <w:bCs w:val="0"/>
          <w:sz w:val="28"/>
          <w:szCs w:val="28"/>
          <w:highlight w:val="none"/>
          <w:lang w:val="en-US" w:eastAsia="zh-CN"/>
        </w:rPr>
        <w:t>及</w:t>
      </w:r>
      <w:r>
        <w:rPr>
          <w:rFonts w:hint="default" w:ascii="宋体" w:hAnsi="宋体" w:eastAsia="宋体" w:cs="宋体"/>
          <w:b w:val="0"/>
          <w:bCs w:val="0"/>
          <w:sz w:val="28"/>
          <w:szCs w:val="28"/>
          <w:highlight w:val="none"/>
          <w:lang w:val="en-US" w:eastAsia="zh-CN"/>
        </w:rPr>
        <w:t>实际执行情况，</w:t>
      </w:r>
      <w:r>
        <w:rPr>
          <w:rFonts w:hint="eastAsia" w:ascii="宋体" w:hAnsi="宋体" w:eastAsia="宋体" w:cs="宋体"/>
          <w:b w:val="0"/>
          <w:bCs w:val="0"/>
          <w:sz w:val="28"/>
          <w:szCs w:val="28"/>
          <w:highlight w:val="none"/>
          <w:lang w:val="en-US" w:eastAsia="zh-CN"/>
        </w:rPr>
        <w:t>不同</w:t>
      </w:r>
      <w:r>
        <w:rPr>
          <w:rFonts w:hint="default" w:ascii="宋体" w:hAnsi="宋体" w:eastAsia="宋体" w:cs="宋体"/>
          <w:b w:val="0"/>
          <w:bCs w:val="0"/>
          <w:sz w:val="28"/>
          <w:szCs w:val="28"/>
          <w:highlight w:val="none"/>
          <w:lang w:val="en-US" w:eastAsia="zh-CN"/>
        </w:rPr>
        <w:t>品牌商品定价、毛利率在不同客户、销售模式之间差异情况及原因，详细分析不同销售模式下毛利率差异较大的原因及合理性；（2）结合产品定位、销售模式、</w:t>
      </w:r>
      <w:r>
        <w:rPr>
          <w:rFonts w:hint="eastAsia" w:ascii="宋体" w:hAnsi="宋体" w:eastAsia="宋体" w:cs="宋体"/>
          <w:b w:val="0"/>
          <w:bCs w:val="0"/>
          <w:sz w:val="28"/>
          <w:szCs w:val="28"/>
          <w:highlight w:val="none"/>
          <w:lang w:val="en-US" w:eastAsia="zh-CN"/>
        </w:rPr>
        <w:t>生产模式、</w:t>
      </w:r>
      <w:r>
        <w:rPr>
          <w:rFonts w:hint="default" w:ascii="宋体" w:hAnsi="宋体" w:eastAsia="宋体" w:cs="宋体"/>
          <w:b w:val="0"/>
          <w:bCs w:val="0"/>
          <w:sz w:val="28"/>
          <w:szCs w:val="28"/>
          <w:highlight w:val="none"/>
          <w:lang w:val="en-US" w:eastAsia="zh-CN"/>
        </w:rPr>
        <w:t>定价策略等差异情况，分析不同品牌之间毛利率的差异原因；</w:t>
      </w:r>
      <w:r>
        <w:rPr>
          <w:rFonts w:hint="eastAsia" w:ascii="宋体" w:hAnsi="宋体" w:eastAsia="宋体" w:cs="宋体"/>
          <w:b w:val="0"/>
          <w:bCs w:val="0"/>
          <w:sz w:val="28"/>
          <w:szCs w:val="28"/>
          <w:highlight w:val="none"/>
          <w:lang w:val="en-US" w:eastAsia="zh-CN"/>
        </w:rPr>
        <w:t>（3）说明</w:t>
      </w:r>
      <w:r>
        <w:rPr>
          <w:rFonts w:hint="default" w:ascii="宋体" w:hAnsi="宋体" w:eastAsia="宋体" w:cs="宋体"/>
          <w:b w:val="0"/>
          <w:bCs w:val="0"/>
          <w:sz w:val="28"/>
          <w:szCs w:val="28"/>
          <w:highlight w:val="none"/>
          <w:lang w:val="en-US" w:eastAsia="zh-CN"/>
        </w:rPr>
        <w:t>发行人毛利率高于同行业可比上市公司相近售价品牌的原因及合理性。</w:t>
      </w:r>
      <w:r>
        <w:rPr>
          <w:rFonts w:hint="eastAsia" w:ascii="宋体" w:hAnsi="宋体" w:eastAsia="宋体" w:cs="宋体"/>
          <w:b w:val="0"/>
          <w:bCs w:val="0"/>
          <w:sz w:val="28"/>
          <w:szCs w:val="28"/>
          <w:highlight w:val="none"/>
          <w:lang w:val="en-US" w:eastAsia="zh-CN"/>
        </w:rPr>
        <w:t>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cs="宋体"/>
          <w:kern w:val="2"/>
          <w:sz w:val="28"/>
          <w:szCs w:val="20"/>
          <w:lang w:eastAsia="zh-CN"/>
        </w:rPr>
      </w:pPr>
      <w:r>
        <w:rPr>
          <w:rFonts w:hint="default" w:ascii="宋体" w:hAnsi="宋体" w:cs="宋体"/>
          <w:b w:val="0"/>
          <w:bCs w:val="0"/>
          <w:sz w:val="28"/>
          <w:szCs w:val="28"/>
          <w:highlight w:val="none"/>
          <w:lang w:eastAsia="zh-CN"/>
        </w:rPr>
        <w:t>8、</w:t>
      </w:r>
      <w:r>
        <w:rPr>
          <w:rFonts w:hint="eastAsia" w:ascii="宋体" w:hAnsi="宋体" w:eastAsia="宋体" w:cs="宋体"/>
          <w:b w:val="0"/>
          <w:bCs w:val="0"/>
          <w:sz w:val="28"/>
          <w:szCs w:val="28"/>
          <w:highlight w:val="none"/>
          <w:lang w:val="en-US" w:eastAsia="zh-CN"/>
        </w:rPr>
        <w:t>报告期各期末，发行人存货账面价值分别为13,851.95万元、13,284.11万元和12,884.33万元，主要为产成品及原材料，各期末存货跌价准备占存货余额比例分别为33.62%、36.74%和33.40%，各报告期存货跌价准备转销的金额分别为2,702.89万元、2,877.04万元和4,274.35万元；其中，一年以内库存商品的账面余额占比分别为40.24%、34.77和%42.75%；发行人存货周转率低于同行业可比公司，主要受产品定位、电商渠道销售的影响。请发行人：（1）说明</w:t>
      </w:r>
      <w:r>
        <w:rPr>
          <w:rFonts w:hint="default" w:ascii="宋体" w:hAnsi="宋体" w:eastAsia="宋体" w:cs="宋体"/>
          <w:b w:val="0"/>
          <w:bCs w:val="0"/>
          <w:sz w:val="28"/>
          <w:szCs w:val="28"/>
          <w:highlight w:val="none"/>
          <w:lang w:val="en-US" w:eastAsia="zh-CN"/>
        </w:rPr>
        <w:t>报告期各期末产成品、原材料、发出商品等项下各明细项目金额及占比情况，产成品余额较大的原因及合理性，</w:t>
      </w:r>
      <w:r>
        <w:rPr>
          <w:rFonts w:hint="eastAsia" w:ascii="宋体" w:hAnsi="宋体" w:eastAsia="宋体" w:cs="宋体"/>
          <w:b w:val="0"/>
          <w:bCs w:val="0"/>
          <w:sz w:val="28"/>
          <w:szCs w:val="28"/>
          <w:highlight w:val="none"/>
          <w:lang w:val="en-US" w:eastAsia="zh-CN"/>
        </w:rPr>
        <w:t>是否符合行业惯例及</w:t>
      </w:r>
      <w:r>
        <w:rPr>
          <w:rFonts w:hint="default" w:ascii="宋体" w:hAnsi="宋体" w:eastAsia="宋体" w:cs="宋体"/>
          <w:b w:val="0"/>
          <w:bCs w:val="0"/>
          <w:sz w:val="28"/>
          <w:szCs w:val="28"/>
          <w:highlight w:val="none"/>
          <w:lang w:val="en-US" w:eastAsia="zh-CN"/>
        </w:rPr>
        <w:t>实际经营情况</w:t>
      </w:r>
      <w:r>
        <w:rPr>
          <w:rFonts w:hint="eastAsia" w:ascii="宋体" w:hAnsi="宋体" w:eastAsia="宋体" w:cs="宋体"/>
          <w:b w:val="0"/>
          <w:bCs w:val="0"/>
          <w:sz w:val="28"/>
          <w:szCs w:val="28"/>
          <w:highlight w:val="none"/>
          <w:lang w:val="en-US" w:eastAsia="zh-CN"/>
        </w:rPr>
        <w:t>，主要原材料的采购周期、备货政策、原材料水平及金额变动的合理性，发出商品中对应的客户情况、期后确认收入时点、是否均有订单支持，委托加工物资的具体内容、对应的委外加工商基本情况、该类产品库龄情况、是否存在大量积压的情形；（2）补充披露存货跌价准备的</w:t>
      </w:r>
      <w:r>
        <w:rPr>
          <w:rFonts w:hint="default" w:ascii="宋体" w:hAnsi="宋体" w:eastAsia="宋体" w:cs="宋体"/>
          <w:b w:val="0"/>
          <w:bCs w:val="0"/>
          <w:sz w:val="28"/>
          <w:szCs w:val="28"/>
          <w:highlight w:val="none"/>
          <w:lang w:val="en-US" w:eastAsia="zh-CN"/>
        </w:rPr>
        <w:t>测试过程和结果</w:t>
      </w:r>
      <w:r>
        <w:rPr>
          <w:rFonts w:hint="eastAsia" w:ascii="宋体" w:hAnsi="宋体" w:eastAsia="宋体" w:cs="宋体"/>
          <w:b w:val="0"/>
          <w:bCs w:val="0"/>
          <w:sz w:val="28"/>
          <w:szCs w:val="28"/>
          <w:highlight w:val="none"/>
          <w:lang w:val="en-US" w:eastAsia="zh-CN"/>
        </w:rPr>
        <w:t>、同行业可比公司对比情况及差异原因分析、各期末减值准备的期后转回情况，说明是否存在通过控制跌价商品销售时点而调节利润的情形，并结合相关合同、可变现净值情况、期后结转情况、减值测试的具体过程等说明存货跌价准备计提的充分性；（3）对比同行业可比公司的库龄分布情况、分析差异原因，说明</w:t>
      </w:r>
      <w:r>
        <w:rPr>
          <w:rFonts w:hint="default" w:ascii="宋体" w:hAnsi="宋体" w:eastAsia="宋体" w:cs="宋体"/>
          <w:b w:val="0"/>
          <w:bCs w:val="0"/>
          <w:sz w:val="28"/>
          <w:szCs w:val="28"/>
          <w:highlight w:val="none"/>
          <w:lang w:val="en-US" w:eastAsia="zh-CN"/>
        </w:rPr>
        <w:t>各期末1年以上存货的期后销售情况</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销售渠道</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定价方式、毛利率</w:t>
      </w:r>
      <w:r>
        <w:rPr>
          <w:rFonts w:hint="eastAsia" w:ascii="宋体" w:hAnsi="宋体" w:eastAsia="宋体" w:cs="宋体"/>
          <w:b w:val="0"/>
          <w:bCs w:val="0"/>
          <w:sz w:val="28"/>
          <w:szCs w:val="28"/>
          <w:highlight w:val="none"/>
          <w:lang w:val="en-US" w:eastAsia="zh-CN"/>
        </w:rPr>
        <w:t>等，说明</w:t>
      </w:r>
      <w:r>
        <w:rPr>
          <w:rFonts w:hint="default" w:ascii="宋体" w:hAnsi="宋体" w:eastAsia="宋体" w:cs="宋体"/>
          <w:b w:val="0"/>
          <w:bCs w:val="0"/>
          <w:sz w:val="28"/>
          <w:szCs w:val="28"/>
          <w:highlight w:val="none"/>
          <w:lang w:val="en-US" w:eastAsia="zh-CN"/>
        </w:rPr>
        <w:t>过季商品的处理方式，相关管理和内控制度的设计和实际执行情况，以及过季商品累积滚存对发行人各期末存货余额的影响；</w:t>
      </w:r>
      <w:r>
        <w:rPr>
          <w:rFonts w:hint="eastAsia" w:ascii="宋体" w:hAnsi="宋体" w:eastAsia="宋体" w:cs="宋体"/>
          <w:b w:val="0"/>
          <w:bCs w:val="0"/>
          <w:sz w:val="28"/>
          <w:szCs w:val="28"/>
          <w:highlight w:val="none"/>
          <w:lang w:val="en-US" w:eastAsia="zh-CN"/>
        </w:rPr>
        <w:t>（4）按</w:t>
      </w:r>
      <w:r>
        <w:rPr>
          <w:rFonts w:hint="default" w:ascii="宋体" w:hAnsi="宋体" w:eastAsia="宋体" w:cs="宋体"/>
          <w:b w:val="0"/>
          <w:bCs w:val="0"/>
          <w:sz w:val="28"/>
          <w:szCs w:val="28"/>
          <w:highlight w:val="none"/>
          <w:lang w:val="en-US" w:eastAsia="zh-CN"/>
        </w:rPr>
        <w:t>存放地列示存货数量、金额及占比情况，</w:t>
      </w:r>
      <w:r>
        <w:rPr>
          <w:rFonts w:hint="eastAsia" w:ascii="宋体" w:hAnsi="宋体" w:eastAsia="宋体" w:cs="宋体"/>
          <w:b w:val="0"/>
          <w:bCs w:val="0"/>
          <w:sz w:val="28"/>
          <w:szCs w:val="28"/>
          <w:highlight w:val="none"/>
          <w:lang w:val="en-US" w:eastAsia="zh-CN"/>
        </w:rPr>
        <w:t>说明发行人的存货盘点制度、报告期内的盘点情况，包括但不限于存货的盘点时间、范围、对非在库存货的盘点方式、盘点结果及中介机构的监盘情况等；对于</w:t>
      </w:r>
      <w:r>
        <w:rPr>
          <w:rFonts w:hint="default" w:ascii="宋体" w:hAnsi="宋体" w:eastAsia="宋体" w:cs="宋体"/>
          <w:b w:val="0"/>
          <w:bCs w:val="0"/>
          <w:sz w:val="28"/>
          <w:szCs w:val="28"/>
          <w:highlight w:val="none"/>
          <w:lang w:val="en-US" w:eastAsia="zh-CN"/>
        </w:rPr>
        <w:t>存放于第三方仓库的存货</w:t>
      </w:r>
      <w:r>
        <w:rPr>
          <w:rFonts w:hint="eastAsia" w:ascii="宋体" w:hAnsi="宋体" w:eastAsia="宋体" w:cs="宋体"/>
          <w:b w:val="0"/>
          <w:bCs w:val="0"/>
          <w:sz w:val="28"/>
          <w:szCs w:val="28"/>
          <w:highlight w:val="none"/>
          <w:lang w:val="en-US" w:eastAsia="zh-CN"/>
        </w:rPr>
        <w:t>，说明</w:t>
      </w:r>
      <w:r>
        <w:rPr>
          <w:rFonts w:hint="default" w:ascii="宋体" w:hAnsi="宋体" w:eastAsia="宋体" w:cs="宋体"/>
          <w:b w:val="0"/>
          <w:bCs w:val="0"/>
          <w:sz w:val="28"/>
          <w:szCs w:val="28"/>
          <w:highlight w:val="none"/>
          <w:lang w:val="en-US" w:eastAsia="zh-CN"/>
        </w:rPr>
        <w:t>发行人相关存货管理主体、人员配置及执行情况，并结合报告期各期存货盘点情况及盘点结果，说明存货管理内部控制是否健全并有效执行</w:t>
      </w:r>
      <w:r>
        <w:rPr>
          <w:rFonts w:hint="eastAsia" w:ascii="宋体" w:hAnsi="宋体" w:eastAsia="宋体" w:cs="宋体"/>
          <w:b w:val="0"/>
          <w:bCs w:val="0"/>
          <w:sz w:val="28"/>
          <w:szCs w:val="28"/>
          <w:highlight w:val="none"/>
          <w:lang w:val="en-US" w:eastAsia="zh-CN"/>
        </w:rPr>
        <w:t>；（5）结合行业特征、产品特点、促销及折扣情况、各渠道销售情况、同行业可比公司的存货构成及资产状况等，进一步说明存货周转率波动及低于同行业可比公司的原因及合理性。请保荐机构、会计师发表明确意见，重点说明对于报告期内发行人存货项目的核查情况、金额、比例及结论。</w:t>
      </w:r>
    </w:p>
    <w:p>
      <w:pPr>
        <w:keepNext w:val="0"/>
        <w:keepLines w:val="0"/>
        <w:pageBreakBefore w:val="0"/>
        <w:widowControl w:val="0"/>
        <w:numPr>
          <w:ilvl w:val="0"/>
          <w:numId w:val="1"/>
        </w:numPr>
        <w:kinsoku/>
        <w:wordWrap/>
        <w:overflowPunct/>
        <w:topLinePunct w:val="0"/>
        <w:autoSpaceDE/>
        <w:autoSpaceDN/>
        <w:bidi w:val="0"/>
        <w:snapToGrid/>
        <w:spacing w:before="0" w:beforeAutospacing="0" w:after="0" w:afterAutospacing="0" w:line="46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9、关于历史关联方。</w:t>
      </w:r>
      <w:r>
        <w:rPr>
          <w:rFonts w:hint="default" w:cs="宋体"/>
          <w:kern w:val="2"/>
          <w:sz w:val="28"/>
          <w:szCs w:val="20"/>
          <w:lang w:val="en-US" w:eastAsia="zh-CN"/>
        </w:rPr>
        <w:t>报告期内，发行人</w:t>
      </w:r>
      <w:r>
        <w:rPr>
          <w:rFonts w:hint="default" w:cs="宋体"/>
          <w:kern w:val="2"/>
          <w:sz w:val="28"/>
          <w:szCs w:val="20"/>
          <w:lang w:eastAsia="zh-CN"/>
        </w:rPr>
        <w:t>控股股东、</w:t>
      </w:r>
      <w:r>
        <w:rPr>
          <w:rFonts w:hint="default" w:cs="宋体"/>
          <w:kern w:val="2"/>
          <w:sz w:val="28"/>
          <w:szCs w:val="20"/>
          <w:lang w:val="en-US" w:eastAsia="zh-CN"/>
        </w:rPr>
        <w:t>实际控制人</w:t>
      </w:r>
      <w:r>
        <w:rPr>
          <w:rFonts w:hint="default" w:cs="宋体"/>
          <w:kern w:val="2"/>
          <w:sz w:val="28"/>
          <w:szCs w:val="20"/>
          <w:lang w:eastAsia="zh-CN"/>
        </w:rPr>
        <w:t>及其近亲属持股的多家关联公司注销</w:t>
      </w:r>
      <w:r>
        <w:rPr>
          <w:rFonts w:hint="default" w:cs="宋体"/>
          <w:kern w:val="2"/>
          <w:sz w:val="28"/>
          <w:szCs w:val="20"/>
          <w:lang w:val="en-US" w:eastAsia="zh-CN"/>
        </w:rPr>
        <w:t>。请</w:t>
      </w:r>
      <w:r>
        <w:rPr>
          <w:rFonts w:hint="default" w:cs="宋体"/>
          <w:kern w:val="2"/>
          <w:sz w:val="28"/>
          <w:szCs w:val="20"/>
          <w:lang w:eastAsia="zh-CN"/>
        </w:rPr>
        <w:t>发行人</w:t>
      </w:r>
      <w:r>
        <w:rPr>
          <w:rFonts w:hint="default" w:cs="宋体"/>
          <w:kern w:val="2"/>
          <w:sz w:val="28"/>
          <w:szCs w:val="20"/>
          <w:lang w:val="en-US" w:eastAsia="zh-CN"/>
        </w:rPr>
        <w:t>说明：相关企业注销的原因，</w:t>
      </w:r>
      <w:r>
        <w:rPr>
          <w:rFonts w:hint="default" w:cs="宋体"/>
          <w:kern w:val="2"/>
          <w:sz w:val="28"/>
          <w:szCs w:val="20"/>
          <w:lang w:eastAsia="zh-CN"/>
        </w:rPr>
        <w:t>注销前基本情况、注销前一年主要财务数据，</w:t>
      </w:r>
      <w:r>
        <w:rPr>
          <w:rFonts w:hint="default" w:cs="宋体"/>
          <w:kern w:val="2"/>
          <w:sz w:val="28"/>
          <w:szCs w:val="20"/>
          <w:lang w:val="en-US" w:eastAsia="zh-CN"/>
        </w:rPr>
        <w:t>是否存在违法违规行为，是否存在为发行人代为承担成本费用等情况，</w:t>
      </w:r>
      <w:r>
        <w:rPr>
          <w:rFonts w:hint="default" w:cs="宋体"/>
          <w:kern w:val="2"/>
          <w:sz w:val="28"/>
          <w:szCs w:val="20"/>
          <w:lang w:eastAsia="zh-CN"/>
        </w:rPr>
        <w:t>注销后资产、人员去向，</w:t>
      </w:r>
      <w:r>
        <w:rPr>
          <w:rFonts w:hint="default" w:cs="宋体"/>
          <w:kern w:val="2"/>
          <w:sz w:val="28"/>
          <w:szCs w:val="20"/>
          <w:lang w:val="en-US" w:eastAsia="zh-CN"/>
        </w:rPr>
        <w:t>上述企业实际经营的业务内容，是否曾与公司存在同业竞争或者关联交易。请保荐机构及发行人律师发表核查意见。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10、关于员工持股。</w:t>
      </w:r>
      <w:r>
        <w:rPr>
          <w:rFonts w:hint="default" w:cs="宋体"/>
          <w:kern w:val="2"/>
          <w:sz w:val="28"/>
          <w:szCs w:val="20"/>
          <w:lang w:val="en-US" w:eastAsia="zh-CN"/>
        </w:rPr>
        <w:t>股东言利投资为公司员工持股平台。请发行人</w:t>
      </w:r>
      <w:r>
        <w:rPr>
          <w:rFonts w:hint="default" w:cs="宋体"/>
          <w:kern w:val="2"/>
          <w:sz w:val="28"/>
          <w:szCs w:val="20"/>
          <w:lang w:eastAsia="zh-CN"/>
        </w:rPr>
        <w:t>说明</w:t>
      </w:r>
      <w:r>
        <w:rPr>
          <w:rFonts w:hint="default" w:cs="宋体"/>
          <w:kern w:val="2"/>
          <w:sz w:val="28"/>
          <w:szCs w:val="20"/>
          <w:lang w:val="en-US" w:eastAsia="zh-CN"/>
        </w:rPr>
        <w:t>：（1）言利投资</w:t>
      </w:r>
      <w:r>
        <w:rPr>
          <w:rFonts w:hint="default" w:cs="宋体"/>
          <w:kern w:val="2"/>
          <w:sz w:val="28"/>
          <w:szCs w:val="20"/>
          <w:lang w:eastAsia="zh-CN"/>
        </w:rPr>
        <w:t>合伙人</w:t>
      </w:r>
      <w:r>
        <w:rPr>
          <w:rFonts w:hint="default" w:cs="宋体"/>
          <w:kern w:val="2"/>
          <w:sz w:val="28"/>
          <w:szCs w:val="20"/>
          <w:lang w:val="en-US" w:eastAsia="zh-CN"/>
        </w:rPr>
        <w:t>在发行人的任职情况，是否存在外部投资人，未在发行人处任职的合伙人与发行人股东、董监高、客户、供应商及其股东之间的关系情况，员工持股平台合伙人与发行人股东、董监高、核心技术人员是否存在亲属关系、关联关系、委托持股关系。（2）言利投资合伙人在平台内部的流转、退出机制</w:t>
      </w:r>
      <w:r>
        <w:rPr>
          <w:rFonts w:hint="default" w:cs="宋体"/>
          <w:kern w:val="2"/>
          <w:sz w:val="28"/>
          <w:szCs w:val="20"/>
          <w:lang w:eastAsia="zh-CN"/>
        </w:rPr>
        <w:t>、合伙份额锁定期安排</w:t>
      </w:r>
      <w:r>
        <w:rPr>
          <w:rFonts w:hint="default" w:cs="宋体"/>
          <w:kern w:val="2"/>
          <w:sz w:val="28"/>
          <w:szCs w:val="20"/>
          <w:lang w:val="en-US" w:eastAsia="zh-CN"/>
        </w:rPr>
        <w:t>，以及股权管理机制。（3）合伙人出资款项来源及合法合规性，是否存在委托持股或其他利益安排，出资是否存在纠纷或潜在纠纷。（4）言利投资出资发行人及历次股权变动是否构成股份支付及判断依据。请保荐机构和发行人律师核查并发表明确意见</w:t>
      </w:r>
      <w:r>
        <w:rPr>
          <w:rFonts w:hint="default" w:cs="宋体"/>
          <w:kern w:val="2"/>
          <w:sz w:val="28"/>
          <w:szCs w:val="20"/>
          <w:lang w:eastAsia="zh-CN"/>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11、关于合规经营。报告期内发行人受到多起行政处罚。请发行人：</w:t>
      </w:r>
      <w:r>
        <w:rPr>
          <w:rFonts w:hint="default" w:cs="宋体"/>
          <w:kern w:val="2"/>
          <w:sz w:val="28"/>
          <w:szCs w:val="20"/>
          <w:lang w:val="en-US" w:eastAsia="zh-CN"/>
        </w:rPr>
        <w:t>（1）结合相关法律法规对违法行为的情节、性质、责任规定以及主管机关认定意见说明是否</w:t>
      </w:r>
      <w:r>
        <w:rPr>
          <w:rFonts w:hint="default" w:cs="宋体"/>
          <w:kern w:val="2"/>
          <w:sz w:val="28"/>
          <w:szCs w:val="20"/>
          <w:lang w:eastAsia="zh-CN"/>
        </w:rPr>
        <w:t>存在受到行政处罚的风险，是否</w:t>
      </w:r>
      <w:r>
        <w:rPr>
          <w:rFonts w:hint="default" w:cs="宋体"/>
          <w:kern w:val="2"/>
          <w:sz w:val="28"/>
          <w:szCs w:val="20"/>
          <w:lang w:val="en-US" w:eastAsia="zh-CN"/>
        </w:rPr>
        <w:t>属于重大违法违规，是否构成本次发行上市障碍</w:t>
      </w:r>
      <w:r>
        <w:rPr>
          <w:rFonts w:hint="default" w:cs="宋体"/>
          <w:kern w:val="2"/>
          <w:sz w:val="28"/>
          <w:szCs w:val="20"/>
          <w:lang w:eastAsia="zh-CN"/>
        </w:rPr>
        <w:t>，并完善相关风险揭示。</w:t>
      </w:r>
      <w:r>
        <w:rPr>
          <w:rFonts w:hint="default" w:cs="宋体"/>
          <w:kern w:val="2"/>
          <w:sz w:val="28"/>
          <w:szCs w:val="20"/>
          <w:lang w:val="en-US" w:eastAsia="zh-CN"/>
        </w:rPr>
        <w:t>（2）按照《首发业务若干问题解答》相关规定说明报告期内发行人、控股股东、实际控制人是否存在重大违法违规行为，是否对发行上市构成障碍。（3）</w:t>
      </w:r>
      <w:r>
        <w:rPr>
          <w:rFonts w:hint="default" w:cs="宋体"/>
          <w:kern w:val="2"/>
          <w:sz w:val="28"/>
          <w:szCs w:val="20"/>
          <w:lang w:eastAsia="zh-CN"/>
        </w:rPr>
        <w:t>说明</w:t>
      </w:r>
      <w:r>
        <w:rPr>
          <w:rFonts w:hint="default" w:cs="宋体"/>
          <w:kern w:val="2"/>
          <w:sz w:val="28"/>
          <w:szCs w:val="20"/>
          <w:lang w:val="en-US" w:eastAsia="zh-CN"/>
        </w:rPr>
        <w:t>报告期内发行人是否发生产品质量事故或纠纷，是否因产品质量问题受到主管部门处罚或调查，本次申报报告期内发行人的产品质量安全相关检查、处罚、纠纷等情况是否已真实、准确、完整披露，相关风险揭示是否充分。（4）</w:t>
      </w:r>
      <w:r>
        <w:rPr>
          <w:rFonts w:hint="default" w:cs="宋体"/>
          <w:kern w:val="2"/>
          <w:sz w:val="28"/>
          <w:szCs w:val="20"/>
          <w:lang w:eastAsia="zh-CN"/>
        </w:rPr>
        <w:t>说明</w:t>
      </w:r>
      <w:r>
        <w:rPr>
          <w:rFonts w:hint="default" w:cs="宋体"/>
          <w:kern w:val="2"/>
          <w:sz w:val="28"/>
          <w:szCs w:val="20"/>
          <w:lang w:val="en-US" w:eastAsia="zh-CN"/>
        </w:rPr>
        <w:t>发行人是否已建立完善的安全生产管理制度，以及安全生产管理制度的有效性和执行情况，报告期内发行人是否发生安全生产事故，如有，说明具体情况，是否存在纠纷或处罚。（5）</w:t>
      </w:r>
      <w:r>
        <w:rPr>
          <w:rFonts w:hint="default" w:cs="宋体"/>
          <w:kern w:val="2"/>
          <w:sz w:val="28"/>
          <w:szCs w:val="20"/>
          <w:lang w:eastAsia="zh-CN"/>
        </w:rPr>
        <w:t>说明</w:t>
      </w:r>
      <w:r>
        <w:rPr>
          <w:rFonts w:hint="default" w:cs="宋体"/>
          <w:kern w:val="2"/>
          <w:sz w:val="28"/>
          <w:szCs w:val="20"/>
          <w:lang w:val="en-US" w:eastAsia="zh-CN"/>
        </w:rPr>
        <w:t>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w:t>
      </w:r>
      <w:r>
        <w:rPr>
          <w:rFonts w:hint="default" w:cs="宋体"/>
          <w:kern w:val="2"/>
          <w:sz w:val="28"/>
          <w:szCs w:val="20"/>
          <w:lang w:eastAsia="zh-CN"/>
        </w:rPr>
        <w:t>（6）说明发行人是否存在违反《广告法》《反不正当竞争法》等相关规定的情形，报告期内是否存在因虚假宣传、过度宣传产品效果受到有关部门行政处罚，是否与消费者之间存在纠纷或潜在纠纷。</w:t>
      </w:r>
      <w:r>
        <w:rPr>
          <w:rFonts w:hint="default" w:cs="宋体"/>
          <w:kern w:val="2"/>
          <w:sz w:val="28"/>
          <w:szCs w:val="20"/>
          <w:lang w:val="en-US" w:eastAsia="zh-CN"/>
        </w:rPr>
        <w:t>请保荐机构和发行人律师核查并发表明确意见。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12、关于房产土地。截至报告期末，发行人共租赁46处房产用于各地门店运营和各地分支机构办公，但上述房产部分未办理租赁备案，且部分房产的出租方未提供相应房屋权属证明。</w:t>
      </w:r>
      <w:r>
        <w:rPr>
          <w:rFonts w:hint="default" w:cs="宋体"/>
          <w:kern w:val="2"/>
          <w:sz w:val="28"/>
          <w:szCs w:val="20"/>
          <w:lang w:val="en-US" w:eastAsia="zh-CN"/>
        </w:rPr>
        <w:t>请发行人说明：（1）发行人自有土地使用权取得过程是否合规，是否符合规划用途；自建房屋是否均已取得产权证书、是否属于合法建筑、是否可能被行政处罚、是否构成重大违法行为。（2）租赁</w:t>
      </w:r>
      <w:r>
        <w:rPr>
          <w:rFonts w:hint="default" w:cs="宋体"/>
          <w:kern w:val="2"/>
          <w:sz w:val="28"/>
          <w:szCs w:val="20"/>
          <w:lang w:eastAsia="zh-CN"/>
        </w:rPr>
        <w:t>房产</w:t>
      </w:r>
      <w:r>
        <w:rPr>
          <w:rFonts w:hint="default" w:cs="宋体"/>
          <w:kern w:val="2"/>
          <w:sz w:val="28"/>
          <w:szCs w:val="20"/>
          <w:lang w:val="en-US" w:eastAsia="zh-CN"/>
        </w:rPr>
        <w:t>是否符合土地房产用途，是否存在瑕疵，</w:t>
      </w:r>
      <w:r>
        <w:rPr>
          <w:rFonts w:hint="default" w:cs="宋体"/>
          <w:kern w:val="2"/>
          <w:sz w:val="28"/>
          <w:szCs w:val="20"/>
          <w:lang w:eastAsia="zh-CN"/>
        </w:rPr>
        <w:t>如是，结合瑕疵房产面积及占比、产生的收入、利润情况，说明</w:t>
      </w:r>
      <w:r>
        <w:rPr>
          <w:rFonts w:hint="default" w:cs="宋体"/>
          <w:kern w:val="2"/>
          <w:sz w:val="28"/>
          <w:szCs w:val="20"/>
          <w:lang w:val="en-US" w:eastAsia="zh-CN"/>
        </w:rPr>
        <w:t>相关瑕疵是否对发行人持续经营构成重大影响。（3）如因瑕疵不动产相关问题被处罚的责任承担主体、搬迁的费用及承担主体、有无下一步解决措施等，发行人是否存在受到行政处罚或生产经营受阻的可能，并补充披露相关风险提示。请保荐机构及发行人律师</w:t>
      </w:r>
      <w:r>
        <w:rPr>
          <w:rFonts w:hint="default" w:cs="宋体"/>
          <w:kern w:val="2"/>
          <w:sz w:val="28"/>
          <w:szCs w:val="20"/>
          <w:lang w:eastAsia="zh-CN"/>
        </w:rPr>
        <w:t>核查并</w:t>
      </w:r>
      <w:r>
        <w:rPr>
          <w:rFonts w:hint="default" w:cs="宋体"/>
          <w:kern w:val="2"/>
          <w:sz w:val="28"/>
          <w:szCs w:val="20"/>
          <w:lang w:val="en-US" w:eastAsia="zh-CN"/>
        </w:rPr>
        <w:t>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13、关于劳动用工。</w:t>
      </w:r>
      <w:r>
        <w:rPr>
          <w:rFonts w:hint="default" w:cs="宋体"/>
          <w:kern w:val="2"/>
          <w:sz w:val="28"/>
          <w:szCs w:val="20"/>
          <w:lang w:val="en-US" w:eastAsia="zh-CN"/>
        </w:rPr>
        <w:t>请发行人说明：（1）发行人社会保险和住房公积金</w:t>
      </w:r>
      <w:r>
        <w:rPr>
          <w:rFonts w:hint="default" w:cs="宋体"/>
          <w:kern w:val="2"/>
          <w:sz w:val="28"/>
          <w:szCs w:val="20"/>
          <w:lang w:eastAsia="zh-CN"/>
        </w:rPr>
        <w:t>是否足额缴纳，如否，说明</w:t>
      </w:r>
      <w:r>
        <w:rPr>
          <w:rFonts w:hint="default" w:cs="宋体"/>
          <w:kern w:val="2"/>
          <w:sz w:val="28"/>
          <w:szCs w:val="20"/>
          <w:lang w:val="en-US" w:eastAsia="zh-CN"/>
        </w:rPr>
        <w:t>原因，如足额缴纳对经营业绩的影响</w:t>
      </w:r>
      <w:r>
        <w:rPr>
          <w:rFonts w:hint="default" w:cs="宋体"/>
          <w:kern w:val="2"/>
          <w:sz w:val="28"/>
          <w:szCs w:val="20"/>
          <w:lang w:eastAsia="zh-CN"/>
        </w:rPr>
        <w:t>及</w:t>
      </w:r>
      <w:r>
        <w:rPr>
          <w:rFonts w:hint="default" w:cs="宋体"/>
          <w:kern w:val="2"/>
          <w:sz w:val="28"/>
          <w:szCs w:val="20"/>
          <w:lang w:val="en-US" w:eastAsia="zh-CN"/>
        </w:rPr>
        <w:t>应对方案。（2）是否存在因违反社会保险、住房公积金相关法律法规而受到处罚的情形，是否构成重大违法行为。（3）发行人是否存在劳务派遣或劳务外包情况，如存在请披露具体情况及是否符合劳动法律规定。请保荐机构、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14、关于业务资质。</w:t>
      </w:r>
      <w:r>
        <w:rPr>
          <w:rFonts w:hint="default" w:cs="宋体"/>
          <w:kern w:val="2"/>
          <w:sz w:val="28"/>
          <w:szCs w:val="20"/>
          <w:lang w:val="en-US" w:eastAsia="zh-CN"/>
        </w:rPr>
        <w:t>请发行人说明</w:t>
      </w:r>
      <w:r>
        <w:rPr>
          <w:rFonts w:hint="default" w:cs="宋体"/>
          <w:kern w:val="2"/>
          <w:sz w:val="28"/>
          <w:szCs w:val="20"/>
          <w:lang w:eastAsia="zh-CN"/>
        </w:rPr>
        <w:t>：</w:t>
      </w:r>
      <w:r>
        <w:rPr>
          <w:rFonts w:hint="default" w:cs="宋体"/>
          <w:kern w:val="2"/>
          <w:sz w:val="28"/>
          <w:szCs w:val="20"/>
          <w:lang w:val="en-US" w:eastAsia="zh-CN"/>
        </w:rPr>
        <w:t>发行人从事相关生产经营及境外销售是否已取得全部相关资质、许可、认证，报告期内发行人是否持续符合拥有该等资质、许可、认证所需的条件，相关资质、认证、许可的有效期及是否覆盖报告期，是否存在超越许可范围从事生产经营的情形，是否存在受到行政处罚的法律风险。</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15、关于诉讼、仲裁。请发行人说明：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发行人认为不构成涉重大诉讼、仲裁事项的原因是否合理，是否应当进行披露。请保荐机构、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16、关于知识产权。发行人存在受让取得商标权情形。请发行人说明：（1）发行人受让取得知识产权的转让方、转让时间、转让价格及其公允性，受让取得的知识产权是否系发行人生产经营主要资产，发行人与转让方是否存在权属纠纷，如系来自于控股股东、实际控制人，请按照《首发业务若干问题解答》进行全面分析论证。（2）发行人是否存在使用他人知识产权的情形，如存在，请说明是否构成侵权行为及对发行人的影响。（3）发行人许可他人使用知识产权的情况、原因及商业合理性，是否存在相关利益安排，是否存在争议或纠纷。（4）发行人是否存在知识产权的侵权纠纷，如存在，具体情况，对发行人的影响。（5）相关知识产权管理的内部控制制度是否建立健全并有效运行，保护范围是否覆盖公司全部产品。请保荐机构和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17、关于董监高。发行人核心技术人员王丹担任奥兰莱服饰（深圳）有限公司监事。</w:t>
      </w:r>
      <w:r>
        <w:rPr>
          <w:rFonts w:hint="default" w:cs="宋体"/>
          <w:kern w:val="2"/>
          <w:sz w:val="28"/>
          <w:szCs w:val="20"/>
          <w:lang w:val="en-US" w:eastAsia="zh-CN"/>
        </w:rPr>
        <w:t>请发行人：（1）</w:t>
      </w:r>
      <w:r>
        <w:rPr>
          <w:rFonts w:hint="default" w:cs="宋体"/>
          <w:kern w:val="2"/>
          <w:sz w:val="28"/>
          <w:szCs w:val="20"/>
          <w:lang w:eastAsia="zh-CN"/>
        </w:rPr>
        <w:t>说明</w:t>
      </w:r>
      <w:r>
        <w:rPr>
          <w:rFonts w:hint="default" w:cs="宋体"/>
          <w:kern w:val="2"/>
          <w:sz w:val="28"/>
          <w:szCs w:val="20"/>
          <w:lang w:val="en-US" w:eastAsia="zh-CN"/>
        </w:rPr>
        <w:t>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w:t>
      </w:r>
      <w:r>
        <w:rPr>
          <w:rFonts w:hint="default" w:cs="宋体"/>
          <w:kern w:val="2"/>
          <w:sz w:val="28"/>
          <w:szCs w:val="20"/>
          <w:lang w:eastAsia="zh-CN"/>
        </w:rPr>
        <w:t>说明</w:t>
      </w:r>
      <w:r>
        <w:rPr>
          <w:rFonts w:hint="default" w:cs="宋体"/>
          <w:kern w:val="2"/>
          <w:sz w:val="28"/>
          <w:szCs w:val="20"/>
          <w:lang w:val="en-US" w:eastAsia="zh-CN"/>
        </w:rPr>
        <w:t>发行人最近3年董事、监事、高管发生变化情况、原因，最近3年内董事、监事、高级管理人员的变动是否构成重大变化，是否构成发行上市障碍。</w:t>
      </w:r>
      <w:r>
        <w:rPr>
          <w:rFonts w:hint="default" w:cs="宋体"/>
          <w:kern w:val="2"/>
          <w:sz w:val="28"/>
          <w:szCs w:val="20"/>
          <w:lang w:eastAsia="zh-CN"/>
        </w:rPr>
        <w:t>（4）说明王丹担任奥兰莱服饰（深圳）有限公司监事是否违反竞业禁止和保密协议约定，是否存在利益冲突和知识产权泄密风险；并说明公司核心技术保密制度与措施，如果保证核心技术安全，是否曾发生泄密事件。</w:t>
      </w:r>
      <w:r>
        <w:rPr>
          <w:rFonts w:hint="default" w:cs="宋体"/>
          <w:kern w:val="2"/>
          <w:sz w:val="28"/>
          <w:szCs w:val="20"/>
          <w:lang w:val="en-US" w:eastAsia="zh-CN"/>
        </w:rPr>
        <w:t>请保荐机构和发行人律师进行核查并发表明确意见。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18、关于境外经营。公司在香港设有全资子公司香港玮言，在英国伦敦设有孙公司立仁创意，系香港玮言持股75%的控股公司。请发行人说明：境外子公司历史沿革履行商务、发改、外汇等部门审批或备案情况，境外经营是否合法合规。请保荐机构、发行人律师核查并发表明确意见</w:t>
      </w:r>
      <w:r>
        <w:rPr>
          <w:rFonts w:hint="default" w:cs="宋体"/>
          <w:kern w:val="2"/>
          <w:sz w:val="28"/>
          <w:szCs w:val="20"/>
          <w:lang w:val="en-US" w:eastAsia="zh-CN"/>
        </w:rPr>
        <w:t>。</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19、关于外协。公司外协生产模式主要包括FOB成衣采购和CMT委托加工模式。请发行人说明：（1）外协加工的原因、内容、必要性、金额及占比。（2）外协加工的业务模式是否涉及关键工序或关键技术，发行人是否对外协加工厂商存在依赖。（3）主要外协供应商的基本情况，与发行人、实际控制人、控股股东及董监高是否存在关联关系，外协生产模式、采购金额和占比与同行业可比公司是否存在显著差异及原因，外协厂商是否存在为发行人承担成本费用或利益输送的情形。（4）发行人业务占外协供应商的比例，外协供应商是否专门为发行人提供服务。（5）发行人与外协厂商在产品质量方面的责任划分，发行人的委托加工的相关工序是否有特殊的资质认证要求，是否存在利用委托加工规避环保、安全生产、员工社保等要求的情况。（6）报告期内发行人外协采购是否影响发行人资产、技术的完整性和业务的独立性。请保荐机构和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eastAsia="zh-CN"/>
        </w:rPr>
      </w:pPr>
      <w:r>
        <w:rPr>
          <w:rFonts w:hint="default" w:cs="宋体"/>
          <w:kern w:val="2"/>
          <w:sz w:val="28"/>
          <w:szCs w:val="20"/>
          <w:lang w:eastAsia="zh-CN"/>
        </w:rPr>
        <w:t>20、关于募投项目。</w:t>
      </w:r>
      <w:r>
        <w:rPr>
          <w:rFonts w:hint="eastAsia" w:cs="宋体"/>
          <w:kern w:val="2"/>
          <w:sz w:val="28"/>
          <w:szCs w:val="20"/>
          <w:lang w:eastAsia="zh-CN"/>
        </w:rPr>
        <w:t>请发行人：（1）说明募投项目是否均已取得相关备案及环保批准文件，是否已取得募投用地，如未取得，</w:t>
      </w:r>
      <w:r>
        <w:rPr>
          <w:rFonts w:hint="default" w:cs="宋体"/>
          <w:kern w:val="2"/>
          <w:sz w:val="28"/>
          <w:szCs w:val="20"/>
          <w:lang w:eastAsia="zh-CN"/>
        </w:rPr>
        <w:t>说明</w:t>
      </w:r>
      <w:r>
        <w:rPr>
          <w:rFonts w:hint="eastAsia" w:cs="宋体"/>
          <w:kern w:val="2"/>
          <w:sz w:val="28"/>
          <w:szCs w:val="20"/>
          <w:lang w:eastAsia="zh-CN"/>
        </w:rPr>
        <w:t>募投用地的计划、进展，是否存在重大不确定性，并完善相关风险提示。（2）结合</w:t>
      </w:r>
      <w:r>
        <w:rPr>
          <w:rFonts w:hint="default" w:cs="宋体"/>
          <w:kern w:val="2"/>
          <w:sz w:val="28"/>
          <w:szCs w:val="20"/>
          <w:lang w:eastAsia="zh-CN"/>
        </w:rPr>
        <w:t>目前门店建设、经营情况、电子商务的影响</w:t>
      </w:r>
      <w:r>
        <w:rPr>
          <w:rFonts w:hint="eastAsia" w:cs="宋体"/>
          <w:kern w:val="2"/>
          <w:sz w:val="28"/>
          <w:szCs w:val="20"/>
          <w:lang w:eastAsia="zh-CN"/>
        </w:rPr>
        <w:t>，</w:t>
      </w:r>
      <w:r>
        <w:rPr>
          <w:rFonts w:hint="default" w:cs="宋体"/>
          <w:kern w:val="2"/>
          <w:sz w:val="28"/>
          <w:szCs w:val="20"/>
          <w:lang w:eastAsia="zh-CN"/>
        </w:rPr>
        <w:t>量化</w:t>
      </w:r>
      <w:r>
        <w:rPr>
          <w:rFonts w:hint="eastAsia" w:cs="宋体"/>
          <w:kern w:val="2"/>
          <w:sz w:val="28"/>
          <w:szCs w:val="20"/>
          <w:lang w:eastAsia="zh-CN"/>
        </w:rPr>
        <w:t>说明本次募投项目</w:t>
      </w:r>
      <w:r>
        <w:rPr>
          <w:rFonts w:hint="default" w:cs="宋体"/>
          <w:kern w:val="2"/>
          <w:sz w:val="28"/>
          <w:szCs w:val="20"/>
          <w:lang w:eastAsia="zh-CN"/>
        </w:rPr>
        <w:t>“</w:t>
      </w:r>
      <w:r>
        <w:rPr>
          <w:rFonts w:hint="eastAsia" w:cs="宋体"/>
          <w:kern w:val="2"/>
          <w:sz w:val="28"/>
          <w:szCs w:val="20"/>
          <w:lang w:eastAsia="zh-CN"/>
        </w:rPr>
        <w:t>营销网络建设</w:t>
      </w:r>
      <w:r>
        <w:rPr>
          <w:rFonts w:hint="default" w:cs="宋体"/>
          <w:kern w:val="2"/>
          <w:sz w:val="28"/>
          <w:szCs w:val="20"/>
          <w:lang w:eastAsia="zh-CN"/>
        </w:rPr>
        <w:t>”新开门店在培育期对发行人经营业绩的影响，对照目前门店经营情况，进一步说明募投项目拟新开门店经济效益分析依据及合理性、可行性；发行人短期内是否具备管理新增门店的能力，拟提升管理能力的方法及可行性。</w:t>
      </w:r>
      <w:r>
        <w:rPr>
          <w:rFonts w:hint="eastAsia" w:cs="宋体"/>
          <w:kern w:val="2"/>
          <w:sz w:val="28"/>
          <w:szCs w:val="20"/>
          <w:lang w:eastAsia="zh-CN"/>
        </w:rPr>
        <w:t>（3）结合账面可用货币资金、现金流变动、报告期内现金分红等情况说明补充流动资金的</w:t>
      </w:r>
      <w:r>
        <w:rPr>
          <w:rFonts w:hint="default" w:cs="宋体"/>
          <w:kern w:val="2"/>
          <w:sz w:val="28"/>
          <w:szCs w:val="20"/>
          <w:lang w:eastAsia="zh-CN"/>
        </w:rPr>
        <w:t>具体用途、</w:t>
      </w:r>
      <w:r>
        <w:rPr>
          <w:rFonts w:hint="eastAsia" w:cs="宋体"/>
          <w:kern w:val="2"/>
          <w:sz w:val="28"/>
          <w:szCs w:val="20"/>
          <w:lang w:eastAsia="zh-CN"/>
        </w:rPr>
        <w:t>合理性、必要性。请保荐机构、发行人律师核查并发表意见。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21、</w:t>
      </w:r>
      <w:r>
        <w:rPr>
          <w:rFonts w:hint="default" w:ascii="宋体" w:hAnsi="宋体" w:eastAsia="宋体" w:cs="宋体"/>
          <w:b w:val="0"/>
          <w:bCs w:val="0"/>
          <w:sz w:val="28"/>
          <w:szCs w:val="28"/>
          <w:highlight w:val="none"/>
          <w:lang w:val="en-US" w:eastAsia="zh-CN"/>
        </w:rPr>
        <w:t>报告期期末，</w:t>
      </w:r>
      <w:r>
        <w:rPr>
          <w:rFonts w:hint="eastAsia" w:ascii="宋体" w:hAnsi="宋体" w:eastAsia="宋体" w:cs="宋体"/>
          <w:b w:val="0"/>
          <w:bCs w:val="0"/>
          <w:sz w:val="28"/>
          <w:szCs w:val="28"/>
          <w:highlight w:val="none"/>
          <w:lang w:val="en-US" w:eastAsia="zh-CN"/>
        </w:rPr>
        <w:t>发行人</w:t>
      </w:r>
      <w:r>
        <w:rPr>
          <w:rFonts w:hint="default" w:ascii="宋体" w:hAnsi="宋体" w:eastAsia="宋体" w:cs="宋体"/>
          <w:b w:val="0"/>
          <w:bCs w:val="0"/>
          <w:sz w:val="28"/>
          <w:szCs w:val="28"/>
          <w:highlight w:val="none"/>
          <w:lang w:val="en-US" w:eastAsia="zh-CN"/>
        </w:rPr>
        <w:t>设线下销售门店133家，其中直营店62家，加盟店71家</w:t>
      </w:r>
      <w:r>
        <w:rPr>
          <w:rFonts w:hint="eastAsia" w:ascii="宋体" w:hAnsi="宋体" w:eastAsia="宋体" w:cs="宋体"/>
          <w:b w:val="0"/>
          <w:bCs w:val="0"/>
          <w:sz w:val="28"/>
          <w:szCs w:val="28"/>
          <w:highlight w:val="none"/>
          <w:lang w:val="en-US" w:eastAsia="zh-CN"/>
        </w:rPr>
        <w:t>，直营门店包括联营门店和非联营门店，加盟门店包括经销门店和代销门店；此外，发行人共有10家全资子公司，1家控股孙公司，31家分公司。请发行人：</w:t>
      </w:r>
      <w:r>
        <w:rPr>
          <w:rFonts w:hint="default" w:ascii="宋体" w:hAnsi="宋体" w:eastAsia="宋体" w:cs="宋体"/>
          <w:b w:val="0"/>
          <w:bCs w:val="0"/>
          <w:sz w:val="28"/>
          <w:szCs w:val="28"/>
          <w:highlight w:val="none"/>
          <w:lang w:val="en-US" w:eastAsia="zh-CN"/>
        </w:rPr>
        <w:t>（1）</w:t>
      </w:r>
      <w:r>
        <w:rPr>
          <w:rFonts w:hint="eastAsia" w:ascii="宋体" w:hAnsi="宋体" w:eastAsia="宋体" w:cs="宋体"/>
          <w:b w:val="0"/>
          <w:bCs w:val="0"/>
          <w:sz w:val="28"/>
          <w:szCs w:val="28"/>
          <w:highlight w:val="none"/>
          <w:lang w:val="en-US" w:eastAsia="zh-CN"/>
        </w:rPr>
        <w:t>说明</w:t>
      </w:r>
      <w:r>
        <w:rPr>
          <w:rFonts w:hint="default" w:ascii="宋体" w:hAnsi="宋体" w:eastAsia="宋体" w:cs="宋体"/>
          <w:b w:val="0"/>
          <w:bCs w:val="0"/>
          <w:sz w:val="28"/>
          <w:szCs w:val="28"/>
          <w:highlight w:val="none"/>
          <w:lang w:val="en-US" w:eastAsia="zh-CN"/>
        </w:rPr>
        <w:t>对</w:t>
      </w:r>
      <w:r>
        <w:rPr>
          <w:rFonts w:hint="eastAsia" w:ascii="宋体" w:hAnsi="宋体" w:eastAsia="宋体" w:cs="宋体"/>
          <w:b w:val="0"/>
          <w:bCs w:val="0"/>
          <w:sz w:val="28"/>
          <w:szCs w:val="28"/>
          <w:highlight w:val="none"/>
          <w:lang w:val="en-US" w:eastAsia="zh-CN"/>
        </w:rPr>
        <w:t>不同类型</w:t>
      </w:r>
      <w:r>
        <w:rPr>
          <w:rFonts w:hint="default" w:ascii="宋体" w:hAnsi="宋体" w:eastAsia="宋体" w:cs="宋体"/>
          <w:b w:val="0"/>
          <w:bCs w:val="0"/>
          <w:sz w:val="28"/>
          <w:szCs w:val="28"/>
          <w:highlight w:val="none"/>
          <w:lang w:val="en-US" w:eastAsia="zh-CN"/>
        </w:rPr>
        <w:t>门店管理的基本内容，存货管理及销售数据传递</w:t>
      </w:r>
      <w:r>
        <w:rPr>
          <w:rFonts w:hint="eastAsia" w:ascii="宋体" w:hAnsi="宋体" w:eastAsia="宋体" w:cs="宋体"/>
          <w:b w:val="0"/>
          <w:bCs w:val="0"/>
          <w:sz w:val="28"/>
          <w:szCs w:val="28"/>
          <w:highlight w:val="none"/>
          <w:lang w:val="en-US" w:eastAsia="zh-CN"/>
        </w:rPr>
        <w:t>等</w:t>
      </w:r>
      <w:r>
        <w:rPr>
          <w:rFonts w:hint="default" w:ascii="宋体" w:hAnsi="宋体" w:eastAsia="宋体" w:cs="宋体"/>
          <w:b w:val="0"/>
          <w:bCs w:val="0"/>
          <w:sz w:val="28"/>
          <w:szCs w:val="28"/>
          <w:highlight w:val="none"/>
          <w:lang w:val="en-US" w:eastAsia="zh-CN"/>
        </w:rPr>
        <w:t>内部控制的有效性；（2）</w:t>
      </w:r>
      <w:r>
        <w:rPr>
          <w:rFonts w:hint="eastAsia" w:ascii="宋体" w:hAnsi="宋体" w:eastAsia="宋体" w:cs="宋体"/>
          <w:b w:val="0"/>
          <w:bCs w:val="0"/>
          <w:sz w:val="28"/>
          <w:szCs w:val="28"/>
          <w:highlight w:val="none"/>
          <w:lang w:val="en-US" w:eastAsia="zh-CN"/>
        </w:rPr>
        <w:t>说明</w:t>
      </w:r>
      <w:r>
        <w:rPr>
          <w:rFonts w:hint="default" w:ascii="宋体" w:hAnsi="宋体" w:eastAsia="宋体" w:cs="宋体"/>
          <w:b w:val="0"/>
          <w:bCs w:val="0"/>
          <w:sz w:val="28"/>
          <w:szCs w:val="28"/>
          <w:highlight w:val="none"/>
          <w:lang w:val="en-US" w:eastAsia="zh-CN"/>
        </w:rPr>
        <w:t>报告期内各期各门店数量在全国的省份分布情况，各区域主要门店的名称、品牌、地址、面积、经营模式、</w:t>
      </w:r>
      <w:r>
        <w:rPr>
          <w:rFonts w:hint="eastAsia" w:ascii="宋体" w:hAnsi="宋体" w:eastAsia="宋体" w:cs="宋体"/>
          <w:b w:val="0"/>
          <w:bCs w:val="0"/>
          <w:sz w:val="28"/>
          <w:szCs w:val="28"/>
          <w:highlight w:val="none"/>
          <w:lang w:val="en-US" w:eastAsia="zh-CN"/>
        </w:rPr>
        <w:t>经营年限、</w:t>
      </w:r>
      <w:r>
        <w:rPr>
          <w:rFonts w:hint="default" w:ascii="宋体" w:hAnsi="宋体" w:eastAsia="宋体" w:cs="宋体"/>
          <w:b w:val="0"/>
          <w:bCs w:val="0"/>
          <w:sz w:val="28"/>
          <w:szCs w:val="28"/>
          <w:highlight w:val="none"/>
          <w:lang w:val="en-US" w:eastAsia="zh-CN"/>
        </w:rPr>
        <w:t>客户/经销商名称等信息</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各品牌前20大门店名称、地址、面积、经营模式、客户/经销商名称等信息</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（3）</w:t>
      </w:r>
      <w:r>
        <w:rPr>
          <w:rFonts w:hint="eastAsia" w:ascii="宋体" w:hAnsi="宋体" w:eastAsia="宋体" w:cs="宋体"/>
          <w:b w:val="0"/>
          <w:bCs w:val="0"/>
          <w:sz w:val="28"/>
          <w:szCs w:val="28"/>
          <w:highlight w:val="none"/>
          <w:lang w:val="en-US" w:eastAsia="zh-CN"/>
        </w:rPr>
        <w:t>说明</w:t>
      </w:r>
      <w:r>
        <w:rPr>
          <w:rFonts w:hint="default" w:ascii="宋体" w:hAnsi="宋体" w:eastAsia="宋体" w:cs="宋体"/>
          <w:b w:val="0"/>
          <w:bCs w:val="0"/>
          <w:sz w:val="28"/>
          <w:szCs w:val="28"/>
          <w:highlight w:val="none"/>
          <w:lang w:val="en-US" w:eastAsia="zh-CN"/>
        </w:rPr>
        <w:t>报告期内各期各品牌新开、关闭门店的数量，新增、关闭门店的收入规模、</w:t>
      </w:r>
      <w:r>
        <w:rPr>
          <w:rFonts w:hint="eastAsia" w:ascii="宋体" w:hAnsi="宋体" w:eastAsia="宋体" w:cs="宋体"/>
          <w:b w:val="0"/>
          <w:bCs w:val="0"/>
          <w:sz w:val="28"/>
          <w:szCs w:val="28"/>
          <w:highlight w:val="none"/>
          <w:lang w:val="en-US" w:eastAsia="zh-CN"/>
        </w:rPr>
        <w:t>坪</w:t>
      </w:r>
      <w:r>
        <w:rPr>
          <w:rFonts w:hint="default" w:ascii="宋体" w:hAnsi="宋体" w:eastAsia="宋体" w:cs="宋体"/>
          <w:b w:val="0"/>
          <w:bCs w:val="0"/>
          <w:sz w:val="28"/>
          <w:szCs w:val="28"/>
          <w:highlight w:val="none"/>
          <w:lang w:val="en-US" w:eastAsia="zh-CN"/>
        </w:rPr>
        <w:t>效，说明报告期内各期关闭门店的具体情况</w:t>
      </w:r>
      <w:r>
        <w:rPr>
          <w:rFonts w:hint="eastAsia" w:ascii="宋体" w:hAnsi="宋体" w:eastAsia="宋体" w:cs="宋体"/>
          <w:b w:val="0"/>
          <w:bCs w:val="0"/>
          <w:sz w:val="28"/>
          <w:szCs w:val="28"/>
          <w:highlight w:val="none"/>
          <w:lang w:val="en-US" w:eastAsia="zh-CN"/>
        </w:rPr>
        <w:t>、资产状况、盈利情况</w:t>
      </w:r>
      <w:r>
        <w:rPr>
          <w:rFonts w:hint="default" w:ascii="宋体" w:hAnsi="宋体" w:eastAsia="宋体" w:cs="宋体"/>
          <w:b w:val="0"/>
          <w:bCs w:val="0"/>
          <w:sz w:val="28"/>
          <w:szCs w:val="28"/>
          <w:highlight w:val="none"/>
          <w:lang w:val="en-US" w:eastAsia="zh-CN"/>
        </w:rPr>
        <w:t>及关闭原因</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门店关店后人员安置情况、装修处理情况等；（4）</w:t>
      </w:r>
      <w:r>
        <w:rPr>
          <w:rFonts w:hint="eastAsia" w:ascii="宋体" w:hAnsi="宋体" w:eastAsia="宋体" w:cs="宋体"/>
          <w:b w:val="0"/>
          <w:bCs w:val="0"/>
          <w:sz w:val="28"/>
          <w:szCs w:val="28"/>
          <w:highlight w:val="none"/>
          <w:lang w:val="en-US" w:eastAsia="zh-CN"/>
        </w:rPr>
        <w:t>说明</w:t>
      </w:r>
      <w:r>
        <w:rPr>
          <w:rFonts w:hint="default" w:ascii="宋体" w:hAnsi="宋体" w:eastAsia="宋体" w:cs="宋体"/>
          <w:b w:val="0"/>
          <w:bCs w:val="0"/>
          <w:sz w:val="28"/>
          <w:szCs w:val="28"/>
          <w:highlight w:val="none"/>
          <w:lang w:val="en-US" w:eastAsia="zh-CN"/>
        </w:rPr>
        <w:t>报告期内各期不同模式下门店的收入区间分布情况、</w:t>
      </w:r>
      <w:r>
        <w:rPr>
          <w:rFonts w:hint="eastAsia" w:ascii="宋体" w:hAnsi="宋体" w:eastAsia="宋体" w:cs="宋体"/>
          <w:b w:val="0"/>
          <w:bCs w:val="0"/>
          <w:sz w:val="28"/>
          <w:szCs w:val="28"/>
          <w:highlight w:val="none"/>
          <w:lang w:val="en-US" w:eastAsia="zh-CN"/>
        </w:rPr>
        <w:t>坪</w:t>
      </w:r>
      <w:r>
        <w:rPr>
          <w:rFonts w:hint="default" w:ascii="宋体" w:hAnsi="宋体" w:eastAsia="宋体" w:cs="宋体"/>
          <w:b w:val="0"/>
          <w:bCs w:val="0"/>
          <w:sz w:val="28"/>
          <w:szCs w:val="28"/>
          <w:highlight w:val="none"/>
          <w:lang w:val="en-US" w:eastAsia="zh-CN"/>
        </w:rPr>
        <w:t>效，结合不同品牌的</w:t>
      </w:r>
      <w:r>
        <w:rPr>
          <w:rFonts w:hint="eastAsia" w:ascii="宋体" w:hAnsi="宋体" w:eastAsia="宋体" w:cs="宋体"/>
          <w:b w:val="0"/>
          <w:bCs w:val="0"/>
          <w:sz w:val="28"/>
          <w:szCs w:val="28"/>
          <w:highlight w:val="none"/>
          <w:lang w:val="en-US" w:eastAsia="zh-CN"/>
        </w:rPr>
        <w:t>坪</w:t>
      </w:r>
      <w:r>
        <w:rPr>
          <w:rFonts w:hint="default" w:ascii="宋体" w:hAnsi="宋体" w:eastAsia="宋体" w:cs="宋体"/>
          <w:b w:val="0"/>
          <w:bCs w:val="0"/>
          <w:sz w:val="28"/>
          <w:szCs w:val="28"/>
          <w:highlight w:val="none"/>
          <w:lang w:val="en-US" w:eastAsia="zh-CN"/>
        </w:rPr>
        <w:t>效分析报告期内</w:t>
      </w:r>
      <w:r>
        <w:rPr>
          <w:rFonts w:hint="eastAsia" w:ascii="宋体" w:hAnsi="宋体" w:eastAsia="宋体" w:cs="宋体"/>
          <w:b w:val="0"/>
          <w:bCs w:val="0"/>
          <w:sz w:val="28"/>
          <w:szCs w:val="28"/>
          <w:highlight w:val="none"/>
          <w:lang w:val="en-US" w:eastAsia="zh-CN"/>
        </w:rPr>
        <w:t>坪</w:t>
      </w:r>
      <w:r>
        <w:rPr>
          <w:rFonts w:hint="default" w:ascii="宋体" w:hAnsi="宋体" w:eastAsia="宋体" w:cs="宋体"/>
          <w:b w:val="0"/>
          <w:bCs w:val="0"/>
          <w:sz w:val="28"/>
          <w:szCs w:val="28"/>
          <w:highlight w:val="none"/>
          <w:lang w:val="en-US" w:eastAsia="zh-CN"/>
        </w:rPr>
        <w:t>效的变动原因</w:t>
      </w:r>
      <w:r>
        <w:rPr>
          <w:rFonts w:hint="eastAsia" w:ascii="宋体" w:hAnsi="宋体" w:eastAsia="宋体" w:cs="宋体"/>
          <w:b w:val="0"/>
          <w:bCs w:val="0"/>
          <w:sz w:val="28"/>
          <w:szCs w:val="28"/>
          <w:highlight w:val="none"/>
          <w:lang w:val="en-US" w:eastAsia="zh-CN"/>
        </w:rPr>
        <w:t>，主品牌EIN的门店坪效高于同行业可比公司主品牌门店的平均水平、门店销售连带率处于行业较高水平的原因及合理性</w:t>
      </w:r>
      <w:r>
        <w:rPr>
          <w:rFonts w:hint="default" w:ascii="宋体" w:hAnsi="宋体" w:eastAsia="宋体" w:cs="宋体"/>
          <w:b w:val="0"/>
          <w:bCs w:val="0"/>
          <w:sz w:val="28"/>
          <w:szCs w:val="28"/>
          <w:highlight w:val="none"/>
          <w:lang w:val="en-US" w:eastAsia="zh-CN"/>
        </w:rPr>
        <w:t>；（5）</w:t>
      </w:r>
      <w:r>
        <w:rPr>
          <w:rFonts w:hint="eastAsia" w:ascii="宋体" w:hAnsi="宋体" w:eastAsia="宋体" w:cs="宋体"/>
          <w:b w:val="0"/>
          <w:bCs w:val="0"/>
          <w:sz w:val="28"/>
          <w:szCs w:val="28"/>
          <w:highlight w:val="none"/>
          <w:lang w:val="en-US" w:eastAsia="zh-CN"/>
        </w:rPr>
        <w:t>说明</w:t>
      </w:r>
      <w:r>
        <w:rPr>
          <w:rFonts w:hint="default" w:ascii="宋体" w:hAnsi="宋体" w:eastAsia="宋体" w:cs="宋体"/>
          <w:b w:val="0"/>
          <w:bCs w:val="0"/>
          <w:sz w:val="28"/>
          <w:szCs w:val="28"/>
          <w:highlight w:val="none"/>
          <w:lang w:val="en-US" w:eastAsia="zh-CN"/>
        </w:rPr>
        <w:t>不同模式之间门店的转换情况及原因</w:t>
      </w:r>
      <w:r>
        <w:rPr>
          <w:rFonts w:hint="eastAsia" w:ascii="宋体" w:hAnsi="宋体" w:eastAsia="宋体" w:cs="宋体"/>
          <w:b w:val="0"/>
          <w:bCs w:val="0"/>
          <w:sz w:val="28"/>
          <w:szCs w:val="28"/>
          <w:highlight w:val="none"/>
          <w:lang w:val="en-US" w:eastAsia="zh-CN"/>
        </w:rPr>
        <w:t>（如适用）</w:t>
      </w:r>
      <w:r>
        <w:rPr>
          <w:rFonts w:hint="default"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US" w:eastAsia="zh-CN"/>
        </w:rPr>
        <w:t>各模式下门店数量波动</w:t>
      </w:r>
      <w:r>
        <w:rPr>
          <w:rFonts w:hint="default" w:ascii="宋体" w:hAnsi="宋体" w:eastAsia="宋体" w:cs="宋体"/>
          <w:b w:val="0"/>
          <w:bCs w:val="0"/>
          <w:sz w:val="28"/>
          <w:szCs w:val="28"/>
          <w:highlight w:val="none"/>
          <w:lang w:val="en-US" w:eastAsia="zh-CN"/>
        </w:rPr>
        <w:t>的原因及合理性，是否与行业特点及发展趋势相符；（6）</w:t>
      </w:r>
      <w:r>
        <w:rPr>
          <w:rFonts w:hint="eastAsia" w:ascii="宋体" w:hAnsi="宋体" w:eastAsia="宋体" w:cs="宋体"/>
          <w:b w:val="0"/>
          <w:bCs w:val="0"/>
          <w:sz w:val="28"/>
          <w:szCs w:val="28"/>
          <w:highlight w:val="none"/>
          <w:lang w:val="en-US" w:eastAsia="zh-CN"/>
        </w:rPr>
        <w:t>说明母子公司的业务分工、主营业务、主要固定资产、机器设备、人员构成、主要产品及差异、主要销售地及客户、主要财务数据、相关税收政策，如相关情况变动较大，请进一步说明原因及合理性。</w:t>
      </w:r>
      <w:r>
        <w:rPr>
          <w:rFonts w:hint="default" w:ascii="宋体" w:hAnsi="宋体" w:eastAsia="宋体" w:cs="宋体"/>
          <w:b w:val="0"/>
          <w:bCs w:val="0"/>
          <w:sz w:val="28"/>
          <w:szCs w:val="28"/>
          <w:highlight w:val="none"/>
          <w:lang w:val="en-US" w:eastAsia="zh-CN"/>
        </w:rPr>
        <w:t>请保荐机构、会计师核查上述事项，说明核查方法、数量、比例等，并发表明确意见。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22、</w:t>
      </w:r>
      <w:r>
        <w:rPr>
          <w:rFonts w:hint="eastAsia" w:ascii="宋体" w:hAnsi="宋体" w:eastAsia="宋体" w:cs="宋体"/>
          <w:b w:val="0"/>
          <w:bCs w:val="0"/>
          <w:sz w:val="28"/>
          <w:szCs w:val="28"/>
          <w:highlight w:val="none"/>
          <w:lang w:val="en-US" w:eastAsia="zh-CN"/>
        </w:rPr>
        <w:t>报告期各期，发行人直营模式收入分别为26,678.40万元、18,907.37万元和27,888.62万元，直营模式包括联营及非联营两种合作类型，武汉、恩施、南宁的门店收入较高。请发行人：（1）说明联营及非联营模式的区别，与商场或出租方相关合同的主要约定，</w:t>
      </w:r>
      <w:r>
        <w:rPr>
          <w:rFonts w:hint="default" w:ascii="宋体" w:hAnsi="宋体" w:eastAsia="宋体" w:cs="宋体"/>
          <w:b w:val="0"/>
          <w:bCs w:val="0"/>
          <w:sz w:val="28"/>
          <w:szCs w:val="28"/>
          <w:highlight w:val="none"/>
          <w:lang w:val="en-US" w:eastAsia="zh-CN"/>
        </w:rPr>
        <w:t>合作模式、结算方式、结算周期、手续费</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收益分成方式</w:t>
      </w:r>
      <w:r>
        <w:rPr>
          <w:rFonts w:hint="eastAsia" w:ascii="宋体" w:hAnsi="宋体" w:eastAsia="宋体" w:cs="宋体"/>
          <w:b w:val="0"/>
          <w:bCs w:val="0"/>
          <w:sz w:val="28"/>
          <w:szCs w:val="28"/>
          <w:highlight w:val="none"/>
          <w:lang w:val="en-US" w:eastAsia="zh-CN"/>
        </w:rPr>
        <w:t>、租金支付等方面的具体约定；（2）说明两种模式下</w:t>
      </w:r>
      <w:r>
        <w:rPr>
          <w:rFonts w:hint="default" w:ascii="宋体" w:hAnsi="宋体" w:eastAsia="宋体" w:cs="宋体"/>
          <w:b w:val="0"/>
          <w:bCs w:val="0"/>
          <w:sz w:val="28"/>
          <w:szCs w:val="28"/>
          <w:highlight w:val="none"/>
          <w:lang w:val="en-US" w:eastAsia="zh-CN"/>
        </w:rPr>
        <w:t>商场分成比例、门店租金水平、营运费用水平范围及客户数量分布情况，</w:t>
      </w:r>
      <w:r>
        <w:rPr>
          <w:rFonts w:hint="eastAsia" w:ascii="宋体" w:hAnsi="宋体" w:eastAsia="宋体" w:cs="宋体"/>
          <w:b w:val="0"/>
          <w:bCs w:val="0"/>
          <w:sz w:val="28"/>
          <w:szCs w:val="28"/>
          <w:highlight w:val="none"/>
          <w:lang w:val="en-US" w:eastAsia="zh-CN"/>
        </w:rPr>
        <w:t>两种模式的收入构成、毛利率等，</w:t>
      </w:r>
      <w:r>
        <w:rPr>
          <w:rFonts w:hint="default" w:ascii="宋体" w:hAnsi="宋体" w:eastAsia="宋体" w:cs="宋体"/>
          <w:b w:val="0"/>
          <w:bCs w:val="0"/>
          <w:sz w:val="28"/>
          <w:szCs w:val="28"/>
          <w:highlight w:val="none"/>
          <w:lang w:val="en-US" w:eastAsia="zh-CN"/>
        </w:rPr>
        <w:t>分析报告期内的变动原因及合理性；</w:t>
      </w:r>
      <w:r>
        <w:rPr>
          <w:rFonts w:hint="eastAsia" w:ascii="宋体" w:hAnsi="宋体" w:eastAsia="宋体" w:cs="宋体"/>
          <w:b w:val="0"/>
          <w:bCs w:val="0"/>
          <w:sz w:val="28"/>
          <w:szCs w:val="28"/>
          <w:highlight w:val="none"/>
          <w:lang w:val="en-US" w:eastAsia="zh-CN"/>
        </w:rPr>
        <w:t>（3）说明两种模式下的品牌收入构成情况，两种模式下前十大门店的销售情况及变动原因分析，武汉、恩施、南宁的门店收入较高的原因及合理性，与当地销售水平、人口、经济发展的匹配性；（4）分析说明报告期内业绩波动、尤其是2021年度收入大幅增加的原因及合理性；（5）结合具体合同约定、新收入准则的影响等说明不同模式下收入确认的原则以及收入确认的准确性，是否符合《企业会计准则》的相关规定。</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23、</w:t>
      </w:r>
      <w:r>
        <w:rPr>
          <w:rFonts w:hint="default" w:ascii="宋体" w:hAnsi="宋体" w:eastAsia="宋体" w:cs="宋体"/>
          <w:b w:val="0"/>
          <w:bCs w:val="0"/>
          <w:sz w:val="28"/>
          <w:szCs w:val="28"/>
          <w:highlight w:val="none"/>
          <w:lang w:val="en-US" w:eastAsia="zh-CN"/>
        </w:rPr>
        <w:t>报告期各期，发行人加盟模式收入分别为11,172.15万元、10,304.56万元和13,278.94万元，分为经销和代销两种模式。请发行人：（1）采用加盟模式的必要性和商业合理性、是否符合行业惯例，不同类别、不同层级加盟商划分标准，非法人实体加盟商客户情况，经销与代销模式的主要合同约定及差异情况，向不同类型的客户提供账期是否存在显著差异，与加盟商关于装修补贴、保证金、加盟许可期间、加盟费、特许使用费等相关约定；（2）说明两种模式的品牌收入构成情况、销售收入及占比、毛利率、差异情况及原因分析；（3）列示两种模式下主要加盟商基本情况，包括但不限于注册资本、注册地址、成立时间、经营范围、合作历史、销售主要品牌及金额、与发行人及其控股股东、实际控制人、董事、监事、高管、关键岗位人员等是否存在关联关系或其他利益安排，是否存在其他特殊关系或业务合作（如是否存在前员工、近亲属设立的经销商、是否存在经销商使用发行人名称或商标），是否存在非经营性资金往来；（4）说明发行人加盟客户构成情况及稳定性，新增、退出加盟商数量、销售收入及毛利占比，是否存在新设即成为发行人主要加盟商的情况及合理性；（5）说明经销及代销收入确认、计量原则，对销售补贴或返利、费用承担、保证金的会计处理，是否符合《企业会计准则》规定，与同行业可比公司是否存在显著差异；（6）说明经销商及代销商的定价政策、采购频率及单次采购量分布的合理性、备货周期及与进销存的匹配性、退换货、期后销售情况、是否存在压货以及大额异常退换货情况、回款方式、应收账款规模合理性，终端客户构成情况、直销客户与加盟商终端客户重合的情况及合理性（如适用）；（7）说明发行人经销商模式的相关内控制度及执行情况、与经销商相关的信息管理系统的设计与执行情况，说明相关内控制度设计的合理性及运行的有效性。请保荐</w:t>
      </w:r>
      <w:r>
        <w:rPr>
          <w:rFonts w:hint="eastAsia" w:ascii="宋体" w:hAnsi="宋体" w:eastAsia="宋体" w:cs="宋体"/>
          <w:b w:val="0"/>
          <w:bCs w:val="0"/>
          <w:sz w:val="28"/>
          <w:szCs w:val="28"/>
          <w:highlight w:val="none"/>
          <w:lang w:val="en-US" w:eastAsia="zh-CN"/>
        </w:rPr>
        <w:t>机构</w:t>
      </w:r>
      <w:r>
        <w:rPr>
          <w:rFonts w:hint="default" w:ascii="宋体" w:hAnsi="宋体" w:eastAsia="宋体" w:cs="宋体"/>
          <w:b w:val="0"/>
          <w:bCs w:val="0"/>
          <w:sz w:val="28"/>
          <w:szCs w:val="28"/>
          <w:highlight w:val="none"/>
          <w:lang w:val="en-US" w:eastAsia="zh-CN"/>
        </w:rPr>
        <w:t>、会计师核查并发表明确意见，说明就</w:t>
      </w:r>
      <w:r>
        <w:rPr>
          <w:rFonts w:hint="eastAsia" w:ascii="宋体" w:hAnsi="宋体" w:eastAsia="宋体" w:cs="宋体"/>
          <w:b w:val="0"/>
          <w:bCs w:val="0"/>
          <w:sz w:val="28"/>
          <w:szCs w:val="28"/>
          <w:highlight w:val="none"/>
          <w:lang w:val="en-US" w:eastAsia="zh-CN"/>
        </w:rPr>
        <w:t>加盟模式</w:t>
      </w:r>
      <w:r>
        <w:rPr>
          <w:rFonts w:hint="default" w:ascii="宋体" w:hAnsi="宋体" w:eastAsia="宋体" w:cs="宋体"/>
          <w:b w:val="0"/>
          <w:bCs w:val="0"/>
          <w:sz w:val="28"/>
          <w:szCs w:val="28"/>
          <w:highlight w:val="none"/>
          <w:lang w:val="en-US" w:eastAsia="zh-CN"/>
        </w:rPr>
        <w:t>收入真实性履行的核查方法、比例及结论。</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24、</w:t>
      </w:r>
      <w:r>
        <w:rPr>
          <w:rFonts w:hint="eastAsia" w:ascii="宋体" w:hAnsi="宋体" w:eastAsia="宋体" w:cs="宋体"/>
          <w:b w:val="0"/>
          <w:bCs w:val="0"/>
          <w:sz w:val="28"/>
          <w:szCs w:val="28"/>
          <w:highlight w:val="none"/>
          <w:lang w:val="en-US" w:eastAsia="zh-CN"/>
        </w:rPr>
        <w:t>报告期各期，发行人线上模式收入分别为8,620.49万元、14,250.65万元和16,172.67万元，分为B2C模式、B2B模式，唯品会无法提供销售订单明细，也无法安排现场监盘；发行人还存在境外销售。请发行人：（1）列示B2C模式和B2B模式的主要合作方、具体合作模式、定价策略、结算安排、信用政策、佣金或服务费相关约定、仓储及运输的承担主体以及品牌销售收入构成、销售均价、毛利率等；（2）说明不同电商渠道的收入构成，以及主要渠道商的基本信息、收入金额及占比，不同电商的销售方式、定价、结算方式的差异情况及原因；（3）说明报告期内线上模式的推广情况、相关营销活动、报告期内收入增幅较大的原因及合理性；（4）说明报告期内电商客户的人均消费、地区分布、发货分布情况，按照客户消费金额分类披露客户数量及占比、购买次数、购买间隔时间、次均消费额，说明是否存在大额、异常的消费情况；（5）说明境外销售的具体产品、业务拓展、业务模式等，与境内同类产品销售对比及差异情况。请保荐机构、会计师核查并发表明确意见，重点说明针对唯品会收入真实性的核查方法、比例及结论，对电商渠道电子交易环境、以及境外销售收入真实性的核查方法、比例及结论。</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25、</w:t>
      </w:r>
      <w:r>
        <w:rPr>
          <w:rFonts w:hint="eastAsia" w:ascii="宋体" w:hAnsi="宋体" w:eastAsia="宋体" w:cs="宋体"/>
          <w:b w:val="0"/>
          <w:bCs w:val="0"/>
          <w:sz w:val="28"/>
          <w:szCs w:val="28"/>
          <w:highlight w:val="none"/>
          <w:lang w:val="en-US" w:eastAsia="zh-CN"/>
        </w:rPr>
        <w:t>报期间内，发行人存在关联租赁、关联担保、关联咨询等事项，因嘉安达退还租赁保证金造成实际控制人叶琳实际占用公司资金。请发行人：（1）结合嘉安</w:t>
      </w:r>
      <w:r>
        <w:rPr>
          <w:rFonts w:hint="default" w:ascii="宋体" w:hAnsi="宋体" w:cs="宋体"/>
          <w:b w:val="0"/>
          <w:bCs w:val="0"/>
          <w:sz w:val="28"/>
          <w:szCs w:val="28"/>
          <w:highlight w:val="none"/>
          <w:lang w:eastAsia="zh-CN"/>
        </w:rPr>
        <w:t>达</w:t>
      </w:r>
      <w:r>
        <w:rPr>
          <w:rFonts w:hint="eastAsia" w:ascii="宋体" w:hAnsi="宋体" w:eastAsia="宋体" w:cs="宋体"/>
          <w:b w:val="0"/>
          <w:bCs w:val="0"/>
          <w:sz w:val="28"/>
          <w:szCs w:val="28"/>
          <w:highlight w:val="none"/>
          <w:lang w:val="en-US" w:eastAsia="zh-CN"/>
        </w:rPr>
        <w:t>租赁合同具体约定、合同相关方、租赁期限、相关方沟通具体情况、发现过程等，说明前述资金占用事项发生的背景、未及时解决的原因，是否存在其他资金占用事项；（2）说明关联租赁合同的主要约定、租赁房产的必要性及用途，结合租赁房产情况、同地区可比交易价格等说明租赁价格的公允性，报告期末存在应付款项的原因，是否符合合同约定；（3）说明关联担保的业务背景、存续的原因及合理性，发行人是否具有独立履约能力及融资能力，对发行人生产经营是否存在重大影响；（4）说明关联咨询的相关协议、具体服务内容、交易作价及公允性、结算安排、期末尚未支付的原因、是否符合合同约定。请保荐机构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26、</w:t>
      </w:r>
      <w:r>
        <w:rPr>
          <w:rFonts w:hint="eastAsia" w:ascii="宋体" w:hAnsi="宋体" w:eastAsia="宋体" w:cs="宋体"/>
          <w:b w:val="0"/>
          <w:bCs w:val="0"/>
          <w:sz w:val="28"/>
          <w:szCs w:val="28"/>
          <w:highlight w:val="none"/>
          <w:lang w:val="en-US" w:eastAsia="zh-CN"/>
        </w:rPr>
        <w:t>报告期内，剔除新收入准则影响后，发行人期间费用分别为28,320.71万元、22,910.56万元和30,778.39万元，期间费用以销售费用和管理费用为主。请发行人：（1）说明销售人员、管理人员、研发人员数量变动情况，岗位平均薪酬情况，变动原因及合理性，与同行业可比公司或同地区企业薪酬比较情况；（2）说明销售费用中</w:t>
      </w:r>
      <w:r>
        <w:rPr>
          <w:rFonts w:hint="default" w:ascii="宋体" w:hAnsi="宋体" w:eastAsia="宋体" w:cs="宋体"/>
          <w:b w:val="0"/>
          <w:bCs w:val="0"/>
          <w:sz w:val="28"/>
          <w:szCs w:val="28"/>
          <w:highlight w:val="none"/>
          <w:lang w:val="en-US" w:eastAsia="zh-CN"/>
        </w:rPr>
        <w:t>内商场费用的构成</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与店铺数量和营业规模变动的匹配关系</w:t>
      </w:r>
      <w:r>
        <w:rPr>
          <w:rFonts w:hint="eastAsia" w:ascii="宋体" w:hAnsi="宋体" w:eastAsia="宋体" w:cs="宋体"/>
          <w:b w:val="0"/>
          <w:bCs w:val="0"/>
          <w:sz w:val="28"/>
          <w:szCs w:val="28"/>
          <w:highlight w:val="none"/>
          <w:lang w:val="en-US" w:eastAsia="zh-CN"/>
        </w:rPr>
        <w:t>，装修摊销与折旧费的具体构成、折旧期限、折旧金额、目前的使用情况、2021年大幅增加的原因及合理性，</w:t>
      </w:r>
      <w:r>
        <w:rPr>
          <w:rFonts w:hint="default" w:ascii="宋体" w:hAnsi="宋体" w:eastAsia="宋体" w:cs="宋体"/>
          <w:b w:val="0"/>
          <w:bCs w:val="0"/>
          <w:sz w:val="28"/>
          <w:szCs w:val="28"/>
          <w:highlight w:val="none"/>
          <w:lang w:val="en-US" w:eastAsia="zh-CN"/>
        </w:rPr>
        <w:t>广告宣传费的构成情况</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占各期主营业务收入的比例</w:t>
      </w:r>
      <w:r>
        <w:rPr>
          <w:rFonts w:hint="eastAsia" w:ascii="宋体" w:hAnsi="宋体" w:eastAsia="宋体" w:cs="宋体"/>
          <w:b w:val="0"/>
          <w:bCs w:val="0"/>
          <w:sz w:val="28"/>
          <w:szCs w:val="28"/>
          <w:highlight w:val="none"/>
          <w:lang w:val="en-US" w:eastAsia="zh-CN"/>
        </w:rPr>
        <w:t>、变动情况及原因分析</w:t>
      </w:r>
      <w:r>
        <w:rPr>
          <w:rFonts w:hint="default"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US" w:eastAsia="zh-CN"/>
        </w:rPr>
        <w:t>托管费及租赁费的具体构成、核算内容、结算方式、对应服务公司的基本情况、金额变动的原因及合理性，</w:t>
      </w:r>
      <w:r>
        <w:rPr>
          <w:rFonts w:hint="default" w:ascii="宋体" w:hAnsi="宋体" w:eastAsia="宋体" w:cs="宋体"/>
          <w:b w:val="0"/>
          <w:bCs w:val="0"/>
          <w:sz w:val="28"/>
          <w:szCs w:val="28"/>
          <w:highlight w:val="none"/>
          <w:lang w:val="en-US" w:eastAsia="zh-CN"/>
        </w:rPr>
        <w:t>报告期内各期主要的物流供应商名称、金额</w:t>
      </w:r>
      <w:r>
        <w:rPr>
          <w:rFonts w:hint="eastAsia" w:ascii="宋体" w:hAnsi="宋体" w:eastAsia="宋体" w:cs="宋体"/>
          <w:b w:val="0"/>
          <w:bCs w:val="0"/>
          <w:sz w:val="28"/>
          <w:szCs w:val="28"/>
          <w:highlight w:val="none"/>
          <w:lang w:val="en-US" w:eastAsia="zh-CN"/>
        </w:rPr>
        <w:t>、运费与营业规模的匹配性</w:t>
      </w:r>
      <w:r>
        <w:rPr>
          <w:rFonts w:hint="default" w:ascii="宋体" w:hAnsi="宋体" w:cs="宋体"/>
          <w:b w:val="0"/>
          <w:bCs w:val="0"/>
          <w:sz w:val="28"/>
          <w:szCs w:val="28"/>
          <w:highlight w:val="none"/>
          <w:lang w:eastAsia="zh-CN"/>
        </w:rPr>
        <w:t>，销售</w:t>
      </w:r>
      <w:r>
        <w:rPr>
          <w:rFonts w:hint="eastAsia" w:ascii="宋体" w:hAnsi="宋体" w:eastAsia="宋体" w:cs="宋体"/>
          <w:b w:val="0"/>
          <w:bCs w:val="0"/>
          <w:sz w:val="28"/>
          <w:szCs w:val="28"/>
          <w:highlight w:val="none"/>
          <w:lang w:val="en-US" w:eastAsia="zh-CN"/>
        </w:rPr>
        <w:t>费用率高于同行业可比公司的原因及合理性；（3）说明管理费用中折旧摊销资产的具体明细、折旧期限、折旧金额和目前的使用情况，固定资产和无形资产的折旧摊销情况与主营业务成本、期间费用中的折旧摊销金额勾稽关系，管理费用率高于同行业可比公司的原因及合理性；（4）说明研发人员与生产人员及相关成本的区分标准，相关料工费在生产项目与研发项目之间归集和分摊情况，是否存在应计入成本但计入研发费用的情形，是否存在研发费用资本化的情况，研发费用的分摊与核算是否准确、完整，与研发相关的内控机制是否健全、有效，研发费用变动的原因及合理性。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27、</w:t>
      </w:r>
      <w:r>
        <w:rPr>
          <w:rFonts w:hint="eastAsia" w:ascii="宋体" w:hAnsi="宋体" w:eastAsia="宋体" w:cs="宋体"/>
          <w:b w:val="0"/>
          <w:bCs w:val="0"/>
          <w:sz w:val="28"/>
          <w:szCs w:val="28"/>
          <w:highlight w:val="none"/>
          <w:lang w:val="en-US" w:eastAsia="zh-CN"/>
        </w:rPr>
        <w:t>报告期各期末，发行人货币资金分别为28,857.32万元、28,610.50万元和24,987.21万元，2020年末存在大额存单。请发行人：（1）说明报告期各期末货币资金的具体内容及存放情况、是否存在资金受限情形，资金管理政策、内控体系、制度建设及运行有效性情况；（2）说明报告期内大额存单的具体情况，包括产品名称、合同主要条款、购买金额、持有期限、预期收益率、列示的准确性等；（3）结合日均货币资金结余情况，说明报告期内存在大额货币资金、理财产品购买等资金管理活动较少的合理性。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28、</w:t>
      </w:r>
      <w:r>
        <w:rPr>
          <w:rFonts w:hint="eastAsia" w:ascii="宋体" w:hAnsi="宋体" w:eastAsia="宋体" w:cs="宋体"/>
          <w:b w:val="0"/>
          <w:bCs w:val="0"/>
          <w:sz w:val="28"/>
          <w:szCs w:val="28"/>
          <w:highlight w:val="none"/>
          <w:lang w:val="en-US" w:eastAsia="zh-CN"/>
        </w:rPr>
        <w:t>报告期各期末，发行人应收账款账面价值分别为4,123.90万元、4,682.33万元和4,633.58万元，应收账款周转率分别为10.99次、10.88次和13.55次，低于同行业可比公司。请发行人：（1）说明不同渠道应收账款变动的原因、与收入变动的匹配性；（2）说明发行人与主要客户的信用政策、账期情况、结算方式以及报告期内是否发生重大变化，并结合销售时点、信用政策等说明应收账款前五名客户与销售收入前五名客户存在差异的原因；（3）说明发行人各期末应收账款的期后回款情况，期末余额在信用期内、信用期外的分布情况，逾期应收账款的金额及占比，主要逾期客户名单、金额及原因，发行人对应收账款催收内部控制的设计和执行情况；（4）补充披露发行人应收账款坏账准备计提政策与同行业可比公司的对比情况、差异原因，说明坏账准备计提的充分性，单项计提坏账准备的应收款项对应的经济事项；（5）结合可比公司销售模式说明应收账款周转率与同行业可比公司的差异情况及原因分析。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29、</w:t>
      </w:r>
      <w:r>
        <w:rPr>
          <w:rFonts w:hint="eastAsia" w:ascii="宋体" w:hAnsi="宋体" w:eastAsia="宋体" w:cs="宋体"/>
          <w:b w:val="0"/>
          <w:bCs w:val="0"/>
          <w:sz w:val="28"/>
          <w:szCs w:val="28"/>
          <w:highlight w:val="none"/>
          <w:lang w:val="en-US" w:eastAsia="zh-CN"/>
        </w:rPr>
        <w:t>报告期各期末，发行人预付款项金额分别为418.56万元、1,093.61万元和290.08万元，主要为预付采购款、商场费用及推广费，2020年增幅较大主要系与中山市国展制衣有限公司签订战略采购协议及购买百胜系统软件预付采购款所致；其他应收款账面价值分别为1,912.02万元、1,676.26万元和1,589.00万元，主要为应收押金、保证金、备用金。请发行人：（1）说明与中山市国展制衣有限公司的战略采购协议及购买百胜系统软件协议的具体约定，和发行人的合作历史、合同签订时间、采购内容、价格及公允性、结算安排及实际付款情况、交货周期、交货质量、期后履约情况；（2）说明主要预付商场费用涉及的供应商、采购合同的主要约定、结算安排、双方权利义务的具体约定，并结合门店结构优化情况、执行新租赁准则具体情况及相关会计处理说明预付商场费用逐年下降的原因及合理性；（3）结合品牌推广费、广告拍摄费等具体约定，说明预付推广费2020年末增幅较大的原因；（4）结合门店调整情况、主要合同约定等说明其他应收款波动的原因、账龄较长的原因及合理性。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30、</w:t>
      </w:r>
      <w:r>
        <w:rPr>
          <w:rFonts w:hint="eastAsia" w:ascii="宋体" w:hAnsi="宋体" w:eastAsia="宋体" w:cs="宋体"/>
          <w:b w:val="0"/>
          <w:bCs w:val="0"/>
          <w:sz w:val="28"/>
          <w:szCs w:val="28"/>
          <w:highlight w:val="none"/>
          <w:lang w:val="en-US" w:eastAsia="zh-CN"/>
        </w:rPr>
        <w:t>报告期各期末，发行人固定资产金额分别为</w:t>
      </w:r>
      <w:r>
        <w:rPr>
          <w:rFonts w:hint="default" w:ascii="宋体" w:hAnsi="宋体" w:eastAsia="宋体" w:cs="宋体"/>
          <w:b w:val="0"/>
          <w:bCs w:val="0"/>
          <w:sz w:val="28"/>
          <w:szCs w:val="28"/>
          <w:highlight w:val="none"/>
          <w:lang w:val="en-US" w:eastAsia="zh-CN"/>
        </w:rPr>
        <w:t>12,720.76</w:t>
      </w:r>
      <w:r>
        <w:rPr>
          <w:rFonts w:hint="eastAsia" w:ascii="宋体" w:hAnsi="宋体" w:eastAsia="宋体" w:cs="宋体"/>
          <w:b w:val="0"/>
          <w:bCs w:val="0"/>
          <w:sz w:val="28"/>
          <w:szCs w:val="28"/>
          <w:highlight w:val="none"/>
          <w:lang w:val="en-US" w:eastAsia="zh-CN"/>
        </w:rPr>
        <w:t>万元、</w:t>
      </w:r>
      <w:r>
        <w:rPr>
          <w:rFonts w:hint="default" w:ascii="宋体" w:hAnsi="宋体" w:eastAsia="宋体" w:cs="宋体"/>
          <w:b w:val="0"/>
          <w:bCs w:val="0"/>
          <w:sz w:val="28"/>
          <w:szCs w:val="28"/>
          <w:highlight w:val="none"/>
          <w:lang w:val="en-US" w:eastAsia="zh-CN"/>
        </w:rPr>
        <w:t>12,118.84</w:t>
      </w:r>
      <w:r>
        <w:rPr>
          <w:rFonts w:hint="eastAsia" w:ascii="宋体" w:hAnsi="宋体" w:eastAsia="宋体" w:cs="宋体"/>
          <w:b w:val="0"/>
          <w:bCs w:val="0"/>
          <w:sz w:val="28"/>
          <w:szCs w:val="28"/>
          <w:highlight w:val="none"/>
          <w:lang w:val="en-US" w:eastAsia="zh-CN"/>
        </w:rPr>
        <w:t>万元和</w:t>
      </w:r>
      <w:r>
        <w:rPr>
          <w:rFonts w:hint="default" w:ascii="宋体" w:hAnsi="宋体" w:eastAsia="宋体" w:cs="宋体"/>
          <w:b w:val="0"/>
          <w:bCs w:val="0"/>
          <w:sz w:val="28"/>
          <w:szCs w:val="28"/>
          <w:highlight w:val="none"/>
          <w:lang w:val="en-US" w:eastAsia="zh-CN"/>
        </w:rPr>
        <w:t>11,619.41</w:t>
      </w:r>
      <w:r>
        <w:rPr>
          <w:rFonts w:hint="eastAsia" w:ascii="宋体" w:hAnsi="宋体" w:eastAsia="宋体" w:cs="宋体"/>
          <w:b w:val="0"/>
          <w:bCs w:val="0"/>
          <w:sz w:val="28"/>
          <w:szCs w:val="28"/>
          <w:highlight w:val="none"/>
          <w:lang w:val="en-US" w:eastAsia="zh-CN"/>
        </w:rPr>
        <w:t>万元，无形资产主要涉及办公用软件，均未计提减值准备。请发行人：（1）说明房屋建筑物、机器设备的基本情况，包括但不限于主要明细构成、入账时间、取得方式、数量、价值和折旧年限、残值率、与同行业可比公司对比及差异情况；（2）结合房屋建筑物位置、用途、面积等详细信息，以及主要机器设备数量、产能、技术性能等情况，说明固定资产规模及变动情况与发行人的经营情况是否匹配，2021年末机器设备账面价值下降的原因；（3）说明固定资产的折旧政策，是否谨慎、合理，是否与同行业可比公司一致，相关折旧计提是否准确；（4）说明报告期内固定资产的实际使用情况、资产减值测算的过程和计算方法，是否存在报废、闲置情形，减值准备是否计提充分；（5）说明主要无形资产的来源、取得时间、入账价值、评估情况、摊销等情况，减值测试具体方法及主要参数、相关参数估计的合理性，并将摊销年限、摊销方法与同行业公司进行对比。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31、</w:t>
      </w:r>
      <w:r>
        <w:rPr>
          <w:rFonts w:hint="eastAsia" w:ascii="宋体" w:hAnsi="宋体" w:eastAsia="宋体" w:cs="宋体"/>
          <w:b w:val="0"/>
          <w:bCs w:val="0"/>
          <w:sz w:val="28"/>
          <w:szCs w:val="28"/>
          <w:highlight w:val="none"/>
          <w:lang w:val="en-US" w:eastAsia="zh-CN"/>
        </w:rPr>
        <w:t>报告期各期末，发行人应付账款金额分别为2,982.66万元、1,902.91万元和2,304.09万元，主要为应付货款和应付装修款，其他应付款主要涉及其他应付押金、保证金。请发行人：（1）按照应付款项性质分别列示前五名供应商情况、采购合同主要约定及实际执行情况，并</w:t>
      </w:r>
      <w:r>
        <w:rPr>
          <w:rFonts w:hint="default" w:ascii="宋体" w:hAnsi="宋体" w:eastAsia="宋体" w:cs="宋体"/>
          <w:b w:val="0"/>
          <w:bCs w:val="0"/>
          <w:sz w:val="28"/>
          <w:szCs w:val="28"/>
          <w:highlight w:val="none"/>
          <w:lang w:val="en-US" w:eastAsia="zh-CN"/>
        </w:rPr>
        <w:t>结合生产经营情况、采购付款流程、结算方式、付款周期等，说明报告期各期应付账款与采购金额、成本的匹配关系，应付账款</w:t>
      </w:r>
      <w:r>
        <w:rPr>
          <w:rFonts w:hint="eastAsia" w:ascii="宋体" w:hAnsi="宋体" w:eastAsia="宋体" w:cs="宋体"/>
          <w:b w:val="0"/>
          <w:bCs w:val="0"/>
          <w:sz w:val="28"/>
          <w:szCs w:val="28"/>
          <w:highlight w:val="none"/>
          <w:lang w:val="en-US" w:eastAsia="zh-CN"/>
        </w:rPr>
        <w:t>金额</w:t>
      </w:r>
      <w:r>
        <w:rPr>
          <w:rFonts w:hint="default" w:ascii="宋体" w:hAnsi="宋体" w:eastAsia="宋体" w:cs="宋体"/>
          <w:b w:val="0"/>
          <w:bCs w:val="0"/>
          <w:sz w:val="28"/>
          <w:szCs w:val="28"/>
          <w:highlight w:val="none"/>
          <w:lang w:val="en-US" w:eastAsia="zh-CN"/>
        </w:rPr>
        <w:t>波动的原因及合理性；（2）说明报告期各期应付账款账龄分布情况及账龄1年以上未支付的原因，说明与主要供应商期后结算情况，是否严格按照采购合同的条款按时付款；（3）说明报告期内主要供应商与应付账款对象之间的匹配性，结合公司付款政策、供应商资金规模、市场地位、采购规模，说明前五大应付账款与主要供应商存在差异的原因及合理性，采购内容是否与销售订单匹配</w:t>
      </w:r>
      <w:r>
        <w:rPr>
          <w:rFonts w:hint="eastAsia" w:ascii="宋体" w:hAnsi="宋体" w:eastAsia="宋体" w:cs="宋体"/>
          <w:b w:val="0"/>
          <w:bCs w:val="0"/>
          <w:sz w:val="28"/>
          <w:szCs w:val="28"/>
          <w:highlight w:val="none"/>
          <w:lang w:val="en-US" w:eastAsia="zh-CN"/>
        </w:rPr>
        <w:t>；（4）应付加盟商固定订金和加盟保证金的具体内容，相关合作模式、合同约定、具体的收费标准，</w:t>
      </w:r>
      <w:r>
        <w:rPr>
          <w:rFonts w:hint="default" w:ascii="宋体" w:hAnsi="宋体" w:eastAsia="宋体" w:cs="宋体"/>
          <w:b w:val="0"/>
          <w:bCs w:val="0"/>
          <w:sz w:val="28"/>
          <w:szCs w:val="28"/>
          <w:highlight w:val="none"/>
          <w:lang w:val="en-US" w:eastAsia="zh-CN"/>
        </w:rPr>
        <w:t>报告期内各期的收取、退回情况，各期末前5名其他应付款的</w:t>
      </w:r>
      <w:r>
        <w:rPr>
          <w:rFonts w:hint="eastAsia" w:ascii="宋体" w:hAnsi="宋体" w:eastAsia="宋体" w:cs="宋体"/>
          <w:b w:val="0"/>
          <w:bCs w:val="0"/>
          <w:sz w:val="28"/>
          <w:szCs w:val="28"/>
          <w:highlight w:val="none"/>
          <w:lang w:val="en-US" w:eastAsia="zh-CN"/>
        </w:rPr>
        <w:t>加盟</w:t>
      </w:r>
      <w:r>
        <w:rPr>
          <w:rFonts w:hint="default" w:ascii="宋体" w:hAnsi="宋体" w:eastAsia="宋体" w:cs="宋体"/>
          <w:b w:val="0"/>
          <w:bCs w:val="0"/>
          <w:sz w:val="28"/>
          <w:szCs w:val="28"/>
          <w:highlight w:val="none"/>
          <w:lang w:val="en-US" w:eastAsia="zh-CN"/>
        </w:rPr>
        <w:t>商情况。请保荐机构、会计师核查并发表明确意见。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32、</w:t>
      </w:r>
      <w:r>
        <w:rPr>
          <w:rFonts w:hint="eastAsia" w:ascii="宋体" w:hAnsi="宋体" w:eastAsia="宋体" w:cs="宋体"/>
          <w:b w:val="0"/>
          <w:bCs w:val="0"/>
          <w:sz w:val="28"/>
          <w:szCs w:val="28"/>
          <w:highlight w:val="none"/>
          <w:lang w:val="en-US" w:eastAsia="zh-CN"/>
        </w:rPr>
        <w:t>报告期各期末，公司预收款项和合同负债金额分别为715.07万元、1,420.37万元和1,257.71万元，主要为预收货款及VIP客户奖励积分。请发行人：（1）说明主要预收账款或合同负债对应的经销商名称、产品种类、结算条款、预收款金额、预收款时间、交付时间、合同金额，主要结算政策与同行业可比公司对比及差异情况；</w:t>
      </w:r>
      <w:r>
        <w:rPr>
          <w:rFonts w:hint="default"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US" w:eastAsia="zh-CN"/>
        </w:rPr>
        <w:t>2</w:t>
      </w:r>
      <w:r>
        <w:rPr>
          <w:rFonts w:hint="default" w:ascii="宋体" w:hAnsi="宋体" w:eastAsia="宋体" w:cs="宋体"/>
          <w:b w:val="0"/>
          <w:bCs w:val="0"/>
          <w:sz w:val="28"/>
          <w:szCs w:val="28"/>
          <w:highlight w:val="none"/>
          <w:lang w:val="en-US" w:eastAsia="zh-CN"/>
        </w:rPr>
        <w:t>）</w:t>
      </w:r>
      <w:r>
        <w:rPr>
          <w:rFonts w:hint="eastAsia" w:ascii="宋体" w:hAnsi="宋体" w:eastAsia="宋体" w:cs="宋体"/>
          <w:b w:val="0"/>
          <w:bCs w:val="0"/>
          <w:sz w:val="28"/>
          <w:szCs w:val="28"/>
          <w:highlight w:val="none"/>
          <w:lang w:val="en-US" w:eastAsia="zh-CN"/>
        </w:rPr>
        <w:t>说明针对</w:t>
      </w:r>
      <w:r>
        <w:rPr>
          <w:rFonts w:hint="default" w:ascii="宋体" w:hAnsi="宋体" w:eastAsia="宋体" w:cs="宋体"/>
          <w:b w:val="0"/>
          <w:bCs w:val="0"/>
          <w:sz w:val="28"/>
          <w:szCs w:val="28"/>
          <w:highlight w:val="none"/>
          <w:lang w:val="en-US" w:eastAsia="zh-CN"/>
        </w:rPr>
        <w:t>VIP客户</w:t>
      </w:r>
      <w:r>
        <w:rPr>
          <w:rFonts w:hint="eastAsia" w:ascii="宋体" w:hAnsi="宋体" w:eastAsia="宋体" w:cs="宋体"/>
          <w:b w:val="0"/>
          <w:bCs w:val="0"/>
          <w:sz w:val="28"/>
          <w:szCs w:val="28"/>
          <w:highlight w:val="none"/>
          <w:lang w:val="en-US" w:eastAsia="zh-CN"/>
        </w:rPr>
        <w:t>的</w:t>
      </w:r>
      <w:r>
        <w:rPr>
          <w:rFonts w:hint="default" w:ascii="宋体" w:hAnsi="宋体" w:eastAsia="宋体" w:cs="宋体"/>
          <w:b w:val="0"/>
          <w:bCs w:val="0"/>
          <w:sz w:val="28"/>
          <w:szCs w:val="28"/>
          <w:highlight w:val="none"/>
          <w:lang w:val="en-US" w:eastAsia="zh-CN"/>
        </w:rPr>
        <w:t>主要政策，各期各品牌VIP客户的总数、活跃数、消费总额、人均消费额</w:t>
      </w:r>
      <w:r>
        <w:rPr>
          <w:rFonts w:hint="eastAsia" w:ascii="宋体" w:hAnsi="宋体" w:eastAsia="宋体" w:cs="宋体"/>
          <w:b w:val="0"/>
          <w:bCs w:val="0"/>
          <w:sz w:val="28"/>
          <w:szCs w:val="28"/>
          <w:highlight w:val="none"/>
          <w:lang w:val="en-US" w:eastAsia="zh-CN"/>
        </w:rPr>
        <w:t>，</w:t>
      </w:r>
      <w:r>
        <w:rPr>
          <w:rFonts w:hint="default" w:ascii="宋体" w:hAnsi="宋体" w:eastAsia="宋体" w:cs="宋体"/>
          <w:b w:val="0"/>
          <w:bCs w:val="0"/>
          <w:sz w:val="28"/>
          <w:szCs w:val="28"/>
          <w:highlight w:val="none"/>
          <w:lang w:val="en-US" w:eastAsia="zh-CN"/>
        </w:rPr>
        <w:t>各期奖励积分的发放</w:t>
      </w:r>
      <w:r>
        <w:rPr>
          <w:rFonts w:hint="eastAsia" w:ascii="宋体" w:hAnsi="宋体" w:eastAsia="宋体" w:cs="宋体"/>
          <w:b w:val="0"/>
          <w:bCs w:val="0"/>
          <w:sz w:val="28"/>
          <w:szCs w:val="28"/>
          <w:highlight w:val="none"/>
          <w:lang w:val="en-US" w:eastAsia="zh-CN"/>
        </w:rPr>
        <w:t>及</w:t>
      </w:r>
      <w:r>
        <w:rPr>
          <w:rFonts w:hint="default" w:ascii="宋体" w:hAnsi="宋体" w:eastAsia="宋体" w:cs="宋体"/>
          <w:b w:val="0"/>
          <w:bCs w:val="0"/>
          <w:sz w:val="28"/>
          <w:szCs w:val="28"/>
          <w:highlight w:val="none"/>
          <w:lang w:val="en-US" w:eastAsia="zh-CN"/>
        </w:rPr>
        <w:t>兑换情况、期初和期末的余额、超期未使用金额，以及相关收入、递延收益等会计处理情况。请保荐机构、会计师核查上述事项，并对发行人VIP客户奖励积分相关会计处理是否符合《企业会计准则》规定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33、</w:t>
      </w:r>
      <w:r>
        <w:rPr>
          <w:rFonts w:hint="eastAsia" w:ascii="宋体" w:hAnsi="宋体" w:eastAsia="宋体" w:cs="宋体"/>
          <w:b w:val="0"/>
          <w:bCs w:val="0"/>
          <w:sz w:val="28"/>
          <w:szCs w:val="28"/>
          <w:highlight w:val="none"/>
          <w:lang w:val="en-US" w:eastAsia="zh-CN"/>
        </w:rPr>
        <w:t>报告期各期末，发行人应交税费金额分别为</w:t>
      </w:r>
      <w:r>
        <w:rPr>
          <w:rFonts w:hint="default" w:ascii="宋体" w:hAnsi="宋体" w:eastAsia="宋体" w:cs="宋体"/>
          <w:b w:val="0"/>
          <w:bCs w:val="0"/>
          <w:sz w:val="28"/>
          <w:szCs w:val="28"/>
          <w:highlight w:val="none"/>
          <w:lang w:val="en-US" w:eastAsia="zh-CN"/>
        </w:rPr>
        <w:t>1,625.02</w:t>
      </w:r>
      <w:r>
        <w:rPr>
          <w:rFonts w:hint="eastAsia" w:ascii="宋体" w:hAnsi="宋体" w:eastAsia="宋体" w:cs="宋体"/>
          <w:b w:val="0"/>
          <w:bCs w:val="0"/>
          <w:sz w:val="28"/>
          <w:szCs w:val="28"/>
          <w:highlight w:val="none"/>
          <w:lang w:val="en-US" w:eastAsia="zh-CN"/>
        </w:rPr>
        <w:t>万元、</w:t>
      </w:r>
      <w:r>
        <w:rPr>
          <w:rFonts w:hint="default" w:ascii="宋体" w:hAnsi="宋体" w:eastAsia="宋体" w:cs="宋体"/>
          <w:b w:val="0"/>
          <w:bCs w:val="0"/>
          <w:sz w:val="28"/>
          <w:szCs w:val="28"/>
          <w:highlight w:val="none"/>
          <w:lang w:val="en-US" w:eastAsia="zh-CN"/>
        </w:rPr>
        <w:t>2,218.85</w:t>
      </w:r>
      <w:r>
        <w:rPr>
          <w:rFonts w:hint="eastAsia" w:ascii="宋体" w:hAnsi="宋体" w:eastAsia="宋体" w:cs="宋体"/>
          <w:b w:val="0"/>
          <w:bCs w:val="0"/>
          <w:sz w:val="28"/>
          <w:szCs w:val="28"/>
          <w:highlight w:val="none"/>
          <w:lang w:val="en-US" w:eastAsia="zh-CN"/>
        </w:rPr>
        <w:t>万元和</w:t>
      </w:r>
      <w:r>
        <w:rPr>
          <w:rFonts w:hint="default" w:ascii="宋体" w:hAnsi="宋体" w:eastAsia="宋体" w:cs="宋体"/>
          <w:b w:val="0"/>
          <w:bCs w:val="0"/>
          <w:sz w:val="28"/>
          <w:szCs w:val="28"/>
          <w:highlight w:val="none"/>
          <w:lang w:val="en-US" w:eastAsia="zh-CN"/>
        </w:rPr>
        <w:t>1,221.77</w:t>
      </w:r>
      <w:r>
        <w:rPr>
          <w:rFonts w:hint="eastAsia" w:ascii="宋体" w:hAnsi="宋体" w:eastAsia="宋体" w:cs="宋体"/>
          <w:b w:val="0"/>
          <w:bCs w:val="0"/>
          <w:sz w:val="28"/>
          <w:szCs w:val="28"/>
          <w:highlight w:val="none"/>
          <w:lang w:val="en-US" w:eastAsia="zh-CN"/>
        </w:rPr>
        <w:t>万元，主要由应交增值税和企业所得税构成。请发行人：（1）说明各期末应交企业所得税余额波动的合理性，利润总额调整为应纳税所得额涉及的主要纳税调整事项，各期所得税费用的计算过程、主要纳税调整项目，当期所得税费用与纳税申报表中应纳税额之间的差异及原因分析；（2）说明报告期各期增值税销项税额与销售规模、进项税额与采购规模的匹配性，报告期内应交增值税波动的原因。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34、2019年至今，</w:t>
      </w:r>
      <w:r>
        <w:rPr>
          <w:rFonts w:hint="eastAsia" w:ascii="宋体" w:hAnsi="宋体" w:eastAsia="宋体" w:cs="宋体"/>
          <w:b w:val="0"/>
          <w:bCs w:val="0"/>
          <w:sz w:val="28"/>
          <w:szCs w:val="28"/>
          <w:highlight w:val="none"/>
          <w:lang w:val="en-US" w:eastAsia="zh-CN"/>
        </w:rPr>
        <w:t>发行人向股东分派现金股利27</w:t>
      </w:r>
      <w:r>
        <w:rPr>
          <w:rFonts w:hint="default" w:ascii="宋体" w:hAnsi="宋体" w:eastAsia="宋体" w:cs="宋体"/>
          <w:b w:val="0"/>
          <w:bCs w:val="0"/>
          <w:sz w:val="28"/>
          <w:szCs w:val="28"/>
          <w:highlight w:val="none"/>
          <w:lang w:val="en" w:eastAsia="zh-CN"/>
        </w:rPr>
        <w:t>,</w:t>
      </w:r>
      <w:r>
        <w:rPr>
          <w:rFonts w:hint="eastAsia" w:ascii="宋体" w:hAnsi="宋体" w:eastAsia="宋体" w:cs="宋体"/>
          <w:b w:val="0"/>
          <w:bCs w:val="0"/>
          <w:sz w:val="28"/>
          <w:szCs w:val="28"/>
          <w:highlight w:val="none"/>
          <w:lang w:val="en-US" w:eastAsia="zh-CN"/>
        </w:rPr>
        <w:t>500.00万元，发行人实际控制人叶琳、马忠红夫妇实际控制公司90.00%的表决权。请发行人：（1）说明报告期内进行大额现金分红的原因及合理性，对发行人经营稳定性、现金流的影响，是否符合《公司法》《公司章程》等法律法规与内部规范的规定；（2）说明报告期内控股股东、实际控制人、董事、监事、高级管理人员、关键财务人员等获得分红款项的主要资金流向与用途，如涉及委托理财的，说明具体产品、最终投资标的等；上述人员与发行人关联方、客户、供应商是否存在资金往来，是否存在资金闭环回流、是否存在体外资金循环形成销售回款或承担成本费用的情形。请保荐机构、会计师核查并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default"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35、</w:t>
      </w:r>
      <w:r>
        <w:rPr>
          <w:rFonts w:hint="eastAsia" w:ascii="宋体" w:hAnsi="宋体" w:eastAsia="宋体" w:cs="宋体"/>
          <w:b w:val="0"/>
          <w:bCs w:val="0"/>
          <w:sz w:val="28"/>
          <w:szCs w:val="28"/>
          <w:highlight w:val="none"/>
          <w:lang w:val="en-US" w:eastAsia="zh-CN"/>
        </w:rPr>
        <w:t>报告期内，发行人经营活动产生的现金流量净额分别为7,305.50万元、8,455.46万元和20,175.22万元，持续高于各期净利润。请发行人：（1）说明“收到其他与经营活动有关的现金”“支付其他与经营活动有关的现金”的具体内容以及与相关科目的勾稽关系；（2）说明2021年经营活动现金流大幅增加的原因，与资产负债表、利润表相关项目的勾稽关系，结合主要客户、销售政策、结算条件、信用政策等，说明报告期各期经营活动现金流大于各期净利润的原因及合理性，与同行业可比公司的差异情况。请保荐机构、会计师发表明确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36、</w:t>
      </w:r>
      <w:r>
        <w:rPr>
          <w:rFonts w:hint="eastAsia" w:ascii="宋体" w:hAnsi="宋体" w:eastAsia="宋体" w:cs="宋体"/>
          <w:b w:val="0"/>
          <w:bCs w:val="0"/>
          <w:sz w:val="28"/>
          <w:szCs w:val="28"/>
          <w:highlight w:val="none"/>
          <w:lang w:val="en-US" w:eastAsia="zh-CN"/>
        </w:rPr>
        <w:t>请发行人：（1）说明投资性房地产的主要内容、认定依据、入账成本及初始计量、后续计量模式，相关折旧/摊销政策及其合理性、谨慎性，是否与其他固定资产折旧或无形资产摊销的计提存在重大差异；（2）说明报告期末使用权资产、租赁负债的具体情况，包括但不限于初始计量金额的依据、资产性质及来源、折旧年限及年限确定方式及合理性；（3）说明政府补助区分为经常性损益和非经常性损益，计入当期损益、递延收益等的具体情况及区分依据，主要政府补助的具体情况、取得依据、到账时间，相关会计处理是否符合《企业会计准则》的相关规定；（4）说明报告期内股份支付的具体内容，股权激励对象、是否存在代持或出资瑕疵，是否以换取服务为目的，并按照《首发业务若干问题解答（2020年6月修订）》问题26的要求，说明历次股份支付过程中权益工具公允价值的确定依据和合理性，服务期或等待期的相关约定，相关股份支付费用的确认方法、分摊依据及执行情况，股份支付费用计算是否准确，会计处理是否符合《企业会计准则》规定，除了前述股份支付事项外，发行人历次股权转让、增资中的受让方是否涉及股份支付。请保荐机构、会计师核查并发表明确意见。</w:t>
      </w:r>
    </w:p>
    <w:p>
      <w:pPr>
        <w:keepNext w:val="0"/>
        <w:keepLines w:val="0"/>
        <w:pageBreakBefore w:val="0"/>
        <w:widowControl w:val="0"/>
        <w:numPr>
          <w:ilvl w:val="0"/>
          <w:numId w:val="1"/>
        </w:numPr>
        <w:kinsoku/>
        <w:wordWrap/>
        <w:overflowPunct/>
        <w:topLinePunct w:val="0"/>
        <w:autoSpaceDE/>
        <w:autoSpaceDN/>
        <w:bidi w:val="0"/>
        <w:snapToGrid/>
        <w:spacing w:beforeAutospacing="0" w:after="0" w:afterAutospacing="0" w:line="46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eastAsia" w:ascii="Times New Roman" w:hAnsi="Times New Roman" w:eastAsia="黑体" w:cs="Times New Roman"/>
          <w:sz w:val="28"/>
          <w:lang w:val="en-US" w:eastAsia="zh-CN"/>
        </w:rPr>
        <w:t>与财务会计资料相关的问题</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37、</w:t>
      </w:r>
      <w:r>
        <w:rPr>
          <w:rFonts w:hint="eastAsia" w:ascii="宋体" w:hAnsi="宋体" w:eastAsia="宋体" w:cs="宋体"/>
          <w:b w:val="0"/>
          <w:bCs w:val="0"/>
          <w:sz w:val="28"/>
          <w:szCs w:val="28"/>
          <w:highlight w:val="none"/>
          <w:lang w:val="en-US" w:eastAsia="zh-CN"/>
        </w:rPr>
        <w:t>请发行人对报告期申报财务报表与原始财务报表涉及差异调整的具体事项、内容和理由予以逐项说明，说明相关项目截止性或重分类调整的具体原因、依据及其合规性，重点说明对损益的影响、涉及纳税义务的处理与履行情况。请保荐机构、申报会计师逐项核查差异调整的事项及依据是否符合《企业会计准则》的规定，补充分析发行人的会计核算及会计基础工作是否符合规范性的要求。</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38、</w:t>
      </w:r>
      <w:r>
        <w:rPr>
          <w:rFonts w:hint="eastAsia" w:ascii="宋体" w:hAnsi="宋体" w:eastAsia="宋体" w:cs="宋体"/>
          <w:b w:val="0"/>
          <w:bCs w:val="0"/>
          <w:sz w:val="28"/>
          <w:szCs w:val="28"/>
          <w:highlight w:val="none"/>
          <w:lang w:val="en-US" w:eastAsia="zh-CN"/>
        </w:rPr>
        <w:t>请发行人说明财务报表项目比较数据变动幅度达30%以上的情况及原因是否已恰当披露。请保荐机构和会计师发表核查意见。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39、</w:t>
      </w:r>
      <w:r>
        <w:rPr>
          <w:rFonts w:hint="eastAsia" w:ascii="宋体" w:hAnsi="宋体" w:eastAsia="宋体" w:cs="宋体"/>
          <w:b w:val="0"/>
          <w:bCs w:val="0"/>
          <w:sz w:val="28"/>
          <w:szCs w:val="28"/>
          <w:highlight w:val="none"/>
          <w:lang w:val="en-US" w:eastAsia="zh-CN"/>
        </w:rPr>
        <w:t>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40、</w:t>
      </w:r>
      <w:r>
        <w:rPr>
          <w:rFonts w:hint="eastAsia" w:ascii="宋体" w:hAnsi="宋体" w:eastAsia="宋体" w:cs="宋体"/>
          <w:b w:val="0"/>
          <w:bCs w:val="0"/>
          <w:sz w:val="28"/>
          <w:szCs w:val="28"/>
          <w:highlight w:val="none"/>
          <w:lang w:val="en-US" w:eastAsia="zh-CN"/>
        </w:rPr>
        <w:t>请发行人详细说明并披露：新金融工具准则施行后对发行人在风险管理、金融资产分类、金融资产减值等方面产生的变化情况，是否存在重大不利影响；新金融工具准则施行后对发行人财务状况的影响，如相关科目列示的变化情况，对金融资产和负债的重新认定、对发行人期初留存收益的影响，相关会计政策和估计的影响。请发行人比照《发行监管问答——关于申请首发企业执行新收入准则相关事项的问答》的要求，披露新收入准则实施前后收入确认会计政策的主要差异以及实施新收入准则在业务模式、合同条款、收入确认等方面产生的影响，同时披露实施新收入准则对首次执行日前各年合并财务报表主要指标的影响，并披露合并报表范围内是否存在境外上市子公司。</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rPr>
          <w:rFonts w:hint="eastAsia" w:ascii="宋体" w:hAnsi="宋体" w:eastAsia="宋体" w:cs="宋体"/>
          <w:b w:val="0"/>
          <w:bCs w:val="0"/>
          <w:sz w:val="28"/>
          <w:szCs w:val="28"/>
          <w:highlight w:val="none"/>
          <w:lang w:val="en-US" w:eastAsia="zh-CN"/>
        </w:rPr>
      </w:pPr>
      <w:r>
        <w:rPr>
          <w:rFonts w:hint="default" w:ascii="宋体" w:hAnsi="宋体" w:cs="宋体"/>
          <w:b w:val="0"/>
          <w:bCs w:val="0"/>
          <w:sz w:val="28"/>
          <w:szCs w:val="28"/>
          <w:highlight w:val="none"/>
          <w:lang w:eastAsia="zh-CN"/>
        </w:rPr>
        <w:t>41、</w:t>
      </w:r>
      <w:r>
        <w:rPr>
          <w:rFonts w:hint="eastAsia" w:ascii="宋体" w:hAnsi="宋体" w:eastAsia="宋体" w:cs="宋体"/>
          <w:b w:val="0"/>
          <w:bCs w:val="0"/>
          <w:sz w:val="28"/>
          <w:szCs w:val="28"/>
          <w:highlight w:val="none"/>
          <w:lang w:val="en-US" w:eastAsia="zh-CN"/>
        </w:rPr>
        <w:t>请发行人及相关中介机构对照证监会公告[2012]14 号《关于进一步提高首次公开发行股票公司财务信息披露质量有关问题的意见》、证监会公告[2013]46号《关于首次公开发行股票并上市公司招股说明书中与盈利能力相关的信息披露指引》的要求，逐项说明有关财务问题及信息披露事项的解决过程和落实情况，发表明确的结论性意见。</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leftChars="0" w:firstLine="560" w:firstLineChars="200"/>
        <w:textAlignment w:val="auto"/>
        <w:outlineLvl w:val="9"/>
      </w:pPr>
      <w:r>
        <w:rPr>
          <w:rFonts w:hint="default" w:ascii="宋体" w:hAnsi="宋体" w:cs="宋体"/>
          <w:b w:val="0"/>
          <w:bCs w:val="0"/>
          <w:sz w:val="28"/>
          <w:szCs w:val="28"/>
          <w:highlight w:val="none"/>
          <w:lang w:eastAsia="zh-CN"/>
        </w:rPr>
        <w:t>42、</w:t>
      </w:r>
      <w:r>
        <w:rPr>
          <w:rFonts w:hint="eastAsia" w:ascii="宋体" w:hAnsi="宋体" w:eastAsia="宋体" w:cs="宋体"/>
          <w:b w:val="0"/>
          <w:bCs w:val="0"/>
          <w:sz w:val="28"/>
          <w:szCs w:val="28"/>
          <w:highlight w:val="none"/>
          <w:lang w:val="en-US" w:eastAsia="zh-CN"/>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bookmarkStart w:id="0" w:name="_GoBack"/>
      <w:bookmarkEnd w:id="0"/>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36E655"/>
    <w:multiLevelType w:val="singleLevel"/>
    <w:tmpl w:val="FE36E655"/>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26A13CE2"/>
    <w:rsid w:val="27C800C3"/>
    <w:rsid w:val="33BF91AA"/>
    <w:rsid w:val="37EDAD30"/>
    <w:rsid w:val="3B652498"/>
    <w:rsid w:val="5F6B20CA"/>
    <w:rsid w:val="6E06D07B"/>
    <w:rsid w:val="7EEFDCE1"/>
    <w:rsid w:val="9DFF3834"/>
    <w:rsid w:val="BBF40142"/>
    <w:rsid w:val="BFD57FA0"/>
    <w:rsid w:val="F1FF7208"/>
    <w:rsid w:val="F7A3733D"/>
    <w:rsid w:val="FBBFF6B1"/>
    <w:rsid w:val="FECB8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Body Text First Indent 2"/>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character" w:styleId="8">
    <w:name w:val="page number"/>
    <w:basedOn w:val="7"/>
    <w:qFormat/>
    <w:uiPriority w:val="0"/>
  </w:style>
  <w:style w:type="paragraph" w:customStyle="1" w:styleId="9">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0">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1">
    <w:name w:val=" Char Char Char Char"/>
    <w:basedOn w:val="1"/>
    <w:qFormat/>
    <w:uiPriority w:val="0"/>
    <w:pPr>
      <w:widowControl/>
      <w:spacing w:after="160" w:afterLines="0" w:line="240" w:lineRule="exact"/>
      <w:jc w:val="left"/>
    </w:pPr>
  </w:style>
  <w:style w:type="paragraph" w:customStyle="1" w:styleId="12">
    <w:name w:val=" Char1 Char Char Char"/>
    <w:basedOn w:val="1"/>
    <w:qFormat/>
    <w:uiPriority w:val="0"/>
    <w:pPr>
      <w:widowControl/>
      <w:spacing w:after="160" w:afterLines="0" w:afterAutospacing="0" w:line="240" w:lineRule="exact"/>
      <w:jc w:val="left"/>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18</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2022-08-28T17:30:00Z</dcterms:created>
  <dc:creator>jqqin</dc:creator>
  <cp:lastModifiedBy>殷明明</cp:lastModifiedBy>
  <dcterms:modified xsi:type="dcterms:W3CDTF">2023-01-05T10:47:13Z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