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lang w:eastAsia="zh-CN"/>
        </w:rPr>
      </w:pPr>
      <w:r>
        <w:rPr>
          <w:rFonts w:hint="default" w:ascii="Times New Roman" w:hAnsi="Times New Roman" w:eastAsia="华文中宋" w:cs="Times New Roman"/>
          <w:b/>
          <w:sz w:val="36"/>
          <w:szCs w:val="36"/>
          <w:lang w:eastAsia="zh-CN"/>
        </w:rPr>
        <w:t>广州广合科技股份有限公司首次公开发行股票</w:t>
      </w:r>
    </w:p>
    <w:p>
      <w:pPr>
        <w:keepNext w:val="0"/>
        <w:keepLines w:val="0"/>
        <w:pageBreakBefore w:val="0"/>
        <w:widowControl w:val="0"/>
        <w:kinsoku/>
        <w:wordWrap/>
        <w:overflowPunct/>
        <w:topLinePunct w:val="0"/>
        <w:bidi w:val="0"/>
        <w:adjustRightInd w:val="0"/>
        <w:snapToGrid/>
        <w:spacing w:line="480" w:lineRule="exact"/>
        <w:ind w:left="0" w:leftChars="0" w:right="0" w:rightChars="0"/>
        <w:jc w:val="center"/>
        <w:textAlignment w:val="auto"/>
        <w:outlineLvl w:val="0"/>
        <w:rPr>
          <w:rFonts w:hint="default" w:ascii="Times New Roman" w:hAnsi="Times New Roman" w:eastAsia="华文中宋" w:cs="Times New Roman"/>
          <w:b/>
          <w:sz w:val="36"/>
          <w:szCs w:val="36"/>
        </w:rPr>
      </w:pPr>
      <w:r>
        <w:rPr>
          <w:rFonts w:hint="default" w:ascii="Times New Roman" w:hAnsi="Times New Roman" w:eastAsia="华文中宋" w:cs="Times New Roman"/>
          <w:b/>
          <w:sz w:val="36"/>
          <w:szCs w:val="36"/>
        </w:rPr>
        <w:t>申请文件反馈意见</w:t>
      </w:r>
    </w:p>
    <w:p>
      <w:pPr>
        <w:pStyle w:val="9"/>
        <w:keepNext w:val="0"/>
        <w:keepLines w:val="0"/>
        <w:pageBreakBefore w:val="0"/>
        <w:widowControl w:val="0"/>
        <w:tabs>
          <w:tab w:val="left" w:pos="1080"/>
        </w:tabs>
        <w:kinsoku/>
        <w:wordWrap/>
        <w:overflowPunct/>
        <w:topLinePunct w:val="0"/>
        <w:bidi w:val="0"/>
        <w:snapToGrid/>
        <w:spacing w:line="480" w:lineRule="exact"/>
        <w:ind w:left="0" w:leftChars="0" w:right="0" w:rightChars="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lang w:eastAsia="zh-CN"/>
        </w:rPr>
        <w:t>民生证券股份有限公司：</w:t>
      </w:r>
    </w:p>
    <w:p>
      <w:pPr>
        <w:keepNext w:val="0"/>
        <w:keepLines w:val="0"/>
        <w:pageBreakBefore w:val="0"/>
        <w:widowControl w:val="0"/>
        <w:kinsoku/>
        <w:wordWrap/>
        <w:overflowPunct/>
        <w:topLinePunct w:val="0"/>
        <w:autoSpaceDE/>
        <w:autoSpaceDN/>
        <w:bidi w:val="0"/>
        <w:adjustRightInd/>
        <w:snapToGrid/>
        <w:spacing w:line="480" w:lineRule="exact"/>
        <w:ind w:firstLine="560"/>
        <w:textAlignment w:val="auto"/>
        <w:rPr>
          <w:rFonts w:hint="default" w:ascii="Times New Roman" w:hAnsi="Times New Roman" w:eastAsia="宋体" w:cs="Times New Roman"/>
          <w:spacing w:val="0"/>
          <w:kern w:val="2"/>
        </w:rPr>
      </w:pPr>
      <w:r>
        <w:rPr>
          <w:rFonts w:hint="default" w:ascii="Times New Roman" w:hAnsi="Times New Roman" w:eastAsia="宋体" w:cs="Times New Roman"/>
          <w:spacing w:val="0"/>
          <w:kern w:val="2"/>
        </w:rPr>
        <w:t>现对你公司推荐的广州广合科技股份有限公司（以下简称</w:t>
      </w:r>
      <w:r>
        <w:rPr>
          <w:rFonts w:hint="eastAsia" w:ascii="宋体" w:hAnsi="宋体" w:eastAsia="宋体" w:cs="宋体"/>
          <w:spacing w:val="0"/>
          <w:kern w:val="2"/>
        </w:rPr>
        <w:t>“公司”或“发行人”</w:t>
      </w:r>
      <w:r>
        <w:rPr>
          <w:rFonts w:hint="default" w:ascii="Times New Roman" w:hAnsi="Times New Roman" w:eastAsia="宋体" w:cs="Times New Roman"/>
          <w:spacing w:val="0"/>
          <w:kern w:val="2"/>
        </w:rPr>
        <w:t>）</w:t>
      </w:r>
      <w:r>
        <w:rPr>
          <w:rFonts w:hint="default" w:ascii="Times New Roman" w:hAnsi="Times New Roman" w:eastAsia="宋体" w:cs="Times New Roman"/>
          <w:spacing w:val="0"/>
          <w:kern w:val="2"/>
          <w:lang w:eastAsia="zh-CN"/>
        </w:rPr>
        <w:t>首次公开发行股票</w:t>
      </w:r>
      <w:r>
        <w:rPr>
          <w:rFonts w:hint="default" w:ascii="Times New Roman" w:hAnsi="Times New Roman" w:eastAsia="宋体" w:cs="Times New Roman"/>
          <w:spacing w:val="0"/>
          <w:kern w:val="2"/>
        </w:rPr>
        <w:t>申请文件提出反馈意见，请你们在</w:t>
      </w:r>
      <w:r>
        <w:rPr>
          <w:rFonts w:hint="default" w:ascii="Times New Roman" w:hAnsi="Times New Roman" w:eastAsia="宋体" w:cs="Times New Roman"/>
          <w:spacing w:val="0"/>
          <w:kern w:val="2"/>
          <w:lang w:eastAsia="zh-CN"/>
        </w:rPr>
        <w:t>30</w:t>
      </w:r>
      <w:r>
        <w:rPr>
          <w:rFonts w:hint="default" w:ascii="Times New Roman" w:hAnsi="Times New Roman" w:eastAsia="宋体" w:cs="Times New Roman"/>
          <w:spacing w:val="0"/>
          <w:kern w:val="2"/>
        </w:rPr>
        <w:t>日内对下列问题逐项落实并提供书面回复和电子文档。若涉及对招股说明书的修改，请以楷体加粗标明。我会收到你们的回复后，将根据情况决定是否再次向你们发出反馈意见。如在30日内不能提供书面回复，请</w:t>
      </w:r>
      <w:r>
        <w:rPr>
          <w:rFonts w:hint="default" w:ascii="Times New Roman" w:hAnsi="Times New Roman" w:eastAsia="宋体" w:cs="Times New Roman"/>
          <w:b/>
          <w:bCs/>
          <w:spacing w:val="0"/>
          <w:kern w:val="2"/>
        </w:rPr>
        <w:t>提前10个工作日</w:t>
      </w:r>
      <w:r>
        <w:rPr>
          <w:rFonts w:hint="default" w:ascii="Times New Roman" w:hAnsi="Times New Roman" w:eastAsia="宋体" w:cs="Times New Roman"/>
          <w:spacing w:val="0"/>
          <w:kern w:val="2"/>
        </w:rPr>
        <w:t>向我会提交延期回复申请。如未能按期提交反馈意见，我会将予终止审查。若对本反馈意见有任何问题，请致电我会审核人员。</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ascii="Times New Roman" w:hAnsi="Times New Roman" w:eastAsia="黑体" w:cs="Times New Roman"/>
          <w:sz w:val="28"/>
          <w:lang w:val="en-US" w:eastAsia="zh-CN"/>
        </w:rPr>
        <w:t>规范性问题</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历史沿革。（1）发行人历史上曾为外商投资企业，中外合资企业；（2）2013年，BTI以1美元的作价将其持有公司92.5%的股权转让给广华实业，发行人实际控制人发生变更。2017年，BTI其持有公司7.473%的股权转让给臻蕴投资后退出发行人；（3）发行人历史沿革中部分国资股东未按照相关规定履行评估、备案手续，存在瑕疵。</w:t>
      </w:r>
      <w:r>
        <w:rPr>
          <w:rFonts w:hint="default" w:cs="宋体"/>
          <w:kern w:val="2"/>
          <w:sz w:val="28"/>
          <w:szCs w:val="20"/>
          <w:lang w:val="en-US" w:eastAsia="zh-CN"/>
        </w:rPr>
        <w:t>请发行人：（1）</w:t>
      </w:r>
      <w:r>
        <w:rPr>
          <w:rFonts w:hint="default" w:cs="宋体"/>
          <w:kern w:val="2"/>
          <w:sz w:val="28"/>
          <w:szCs w:val="20"/>
          <w:lang w:eastAsia="zh-CN"/>
        </w:rPr>
        <w:t>说明BTI的基本情况、历史沿革、实际控制人，2013年实际控制人发生变更的背景、原因，以1美元对价转让股权的定价公允性、商业合理性，2017年BTI退出发行人的原因，BTI及其关联方与发行人及其他股东、实际控制人、董事、监事、高级管理人员是否存在亲属关系、关联关系、委托持股或其他利益安排</w:t>
      </w:r>
      <w:r>
        <w:rPr>
          <w:rFonts w:hint="default" w:cs="宋体"/>
          <w:kern w:val="2"/>
          <w:sz w:val="28"/>
          <w:szCs w:val="20"/>
          <w:lang w:val="en-US" w:eastAsia="zh-CN"/>
        </w:rPr>
        <w:t>。</w:t>
      </w:r>
      <w:r>
        <w:rPr>
          <w:rFonts w:hint="default" w:cs="宋体"/>
          <w:kern w:val="2"/>
          <w:sz w:val="28"/>
          <w:szCs w:val="20"/>
          <w:lang w:eastAsia="zh-CN"/>
        </w:rPr>
        <w:t>（2）说明BTI是否仍实质控制发行人，BTI退出发行人是否为规避《外商投资准入特别管理措施》相关规定。</w:t>
      </w:r>
      <w:r>
        <w:rPr>
          <w:rFonts w:hint="default" w:cs="宋体"/>
          <w:kern w:val="2"/>
          <w:sz w:val="28"/>
          <w:szCs w:val="20"/>
          <w:lang w:val="en-US" w:eastAsia="zh-CN"/>
        </w:rPr>
        <w:t>（</w:t>
      </w:r>
      <w:r>
        <w:rPr>
          <w:rFonts w:hint="default" w:cs="宋体"/>
          <w:kern w:val="2"/>
          <w:sz w:val="28"/>
          <w:szCs w:val="20"/>
          <w:lang w:eastAsia="zh-CN"/>
        </w:rPr>
        <w:t>3</w:t>
      </w:r>
      <w:r>
        <w:rPr>
          <w:rFonts w:hint="default" w:cs="宋体"/>
          <w:kern w:val="2"/>
          <w:sz w:val="28"/>
          <w:szCs w:val="20"/>
          <w:lang w:val="en-US" w:eastAsia="zh-CN"/>
        </w:rPr>
        <w:t>）</w:t>
      </w:r>
      <w:r>
        <w:rPr>
          <w:rFonts w:hint="default" w:cs="宋体"/>
          <w:kern w:val="2"/>
          <w:sz w:val="28"/>
          <w:szCs w:val="20"/>
          <w:lang w:eastAsia="zh-CN"/>
        </w:rPr>
        <w:t>说明发行人历史上是否属于外商投资限制类行业，历次股权变动是否履行外商投资主管部门的批准程序，外资转内资后是否存在需补缴以前年度外商投资企业所得税优惠的风险，是否存在外商投资、外汇、税收、返程投资等方面的重大违法违规行为。（4）逐项说明国有股权变动瑕疵的具体情况、原因、弥补措施、是否存在行政处罚的风险，是否造成国有资产流失，是否构成本次发行障碍。（5）说明历史上发行人设立及存续期间是否存在其他未披露的不规范事项，如有则请补充披露具体内容、后续处理方式，以及是否受到过行政处罚或存在被处罚风险，是否构成重大违法行为及本次发行的法律障碍，是否存在纠纷或潜在纠纷。（6）说明历次增资及股权转让的原因，增资或股权转让价格，定价依据、公允性和合理性；股权转让是否真实，有关股权变动是否为双方真实意思表示，是否存在争议或潜在纠纷，是否存在委托持股、利益输送或其他利益安排。（7）说明发行人历次出资、增/减资、股权转让的资金来源、合法性，是否存在出资不实、抽逃资本等情况。（8）对照《首发业务若干问题解答》问题52规定说明整体变更时存在未弥补亏损事项是否符合监管要求。（9）说明发行人直接和间接股东与发行人其他股东、董事、监事、高级管理人员、本次发行中介机构及其负责人、高级管理人员、经办人员是否存在亲属关系、关联关系、委托持股、信托持股或其他利益输送安排，是否具备法律、法规规定的股东资格请保荐机构及发行人律师对上述问题核查并发表明确意见</w:t>
      </w:r>
      <w:r>
        <w:rPr>
          <w:rFonts w:hint="default" w:cs="宋体"/>
          <w:kern w:val="2"/>
          <w:sz w:val="28"/>
          <w:szCs w:val="20"/>
          <w:lang w:val="en-US" w:eastAsia="zh-CN"/>
        </w:rPr>
        <w:t>。</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r>
        <w:rPr>
          <w:rFonts w:hint="default" w:cs="宋体"/>
          <w:kern w:val="2"/>
          <w:sz w:val="28"/>
          <w:szCs w:val="20"/>
          <w:lang w:eastAsia="zh-CN"/>
        </w:rPr>
        <w:t>关于对赌协议。报告期内，发行人、控股股东、实际控制人与外部投资者签署对赌协议，且存在自动恢复效力条款。请发行人：（1）以不同批次的入股交易作为划分依据，列示相关对赌协议的情况并详细介绍其对应交易的背景、对赌方情况、对赌条款的约定，各条款对应《首发业务若干问题解答》的何种对赌协议分类。（2）说明清理各对赌协议的具体过程及相关清理条款的约定情况，相关条款是否完全、有效终止对赌条款，清理后是否符合《首发业务若干问题解答》的要求。（3）说明发行人是否为对赌效力恢复条款的协议签订方，是否负有对赌协议项下的法律义务，相关效力恢复条款安排是否符合《首发业务若干问题解答》规定。请保荐机构及发行人律师对上述问题核查并发表明确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关于关联交易。报告期内，发行人向关联方</w:t>
      </w:r>
      <w:r>
        <w:rPr>
          <w:rFonts w:hint="default" w:cs="宋体"/>
          <w:kern w:val="2"/>
          <w:sz w:val="28"/>
          <w:szCs w:val="20"/>
          <w:lang w:val="en-US" w:eastAsia="zh-CN"/>
        </w:rPr>
        <w:t>采购商品和服务</w:t>
      </w:r>
      <w:r>
        <w:rPr>
          <w:rFonts w:hint="default" w:cs="宋体"/>
          <w:kern w:val="2"/>
          <w:sz w:val="28"/>
          <w:szCs w:val="20"/>
          <w:lang w:eastAsia="zh-CN"/>
        </w:rPr>
        <w:t>、采购设备、转让专利，偿还</w:t>
      </w:r>
      <w:r>
        <w:rPr>
          <w:rFonts w:hint="default" w:cs="宋体"/>
          <w:kern w:val="2"/>
          <w:sz w:val="28"/>
          <w:szCs w:val="20"/>
          <w:lang w:val="en-US" w:eastAsia="zh-CN"/>
        </w:rPr>
        <w:t>关联方债务。请发行人说明：（1）发行人是否按照《公司法》《企业会计准则》《上市公司信息披露管理办法》及其他相关规定完整、准确地披露关联方关系及交易。（2）报告期关联交易</w:t>
      </w:r>
      <w:r>
        <w:rPr>
          <w:rFonts w:hint="default" w:cs="宋体"/>
          <w:kern w:val="2"/>
          <w:sz w:val="28"/>
          <w:szCs w:val="20"/>
          <w:lang w:eastAsia="zh-CN"/>
        </w:rPr>
        <w:t>背景、原因、合理性和必要性，关联方</w:t>
      </w:r>
      <w:r>
        <w:rPr>
          <w:rFonts w:hint="default" w:cs="宋体"/>
          <w:kern w:val="2"/>
          <w:sz w:val="28"/>
          <w:szCs w:val="20"/>
          <w:lang w:val="en-US" w:eastAsia="zh-CN"/>
        </w:rPr>
        <w:t>定价依据及公允性，是否存在替发行人分担成本、费用的情况，是否存在利益输送等其他利益安排。（</w:t>
      </w:r>
      <w:r>
        <w:rPr>
          <w:rFonts w:hint="default" w:cs="宋体"/>
          <w:kern w:val="2"/>
          <w:sz w:val="28"/>
          <w:szCs w:val="20"/>
          <w:lang w:eastAsia="zh-CN"/>
        </w:rPr>
        <w:t>3</w:t>
      </w:r>
      <w:r>
        <w:rPr>
          <w:rFonts w:hint="default" w:cs="宋体"/>
          <w:kern w:val="2"/>
          <w:sz w:val="28"/>
          <w:szCs w:val="20"/>
          <w:lang w:val="en-US" w:eastAsia="zh-CN"/>
        </w:rPr>
        <w:t>）发行人减少关联交易的控制措施是否有效。（</w:t>
      </w:r>
      <w:r>
        <w:rPr>
          <w:rFonts w:hint="default" w:cs="宋体"/>
          <w:kern w:val="2"/>
          <w:sz w:val="28"/>
          <w:szCs w:val="20"/>
          <w:lang w:eastAsia="zh-CN"/>
        </w:rPr>
        <w:t>4</w:t>
      </w:r>
      <w:r>
        <w:rPr>
          <w:rFonts w:hint="default" w:cs="宋体"/>
          <w:kern w:val="2"/>
          <w:sz w:val="28"/>
          <w:szCs w:val="20"/>
          <w:lang w:val="en-US" w:eastAsia="zh-CN"/>
        </w:rPr>
        <w:t>）发行人关联交易履行的审批程序，公司治理是否健全有效，是否存在未及时按规定履行必要的决策程序、后续补充确认的情况，相关会议制度、内部控制措施是否切实有效执行。（</w:t>
      </w:r>
      <w:r>
        <w:rPr>
          <w:rFonts w:hint="default" w:cs="宋体"/>
          <w:kern w:val="2"/>
          <w:sz w:val="28"/>
          <w:szCs w:val="20"/>
          <w:lang w:eastAsia="zh-CN"/>
        </w:rPr>
        <w:t>5</w:t>
      </w:r>
      <w:r>
        <w:rPr>
          <w:rFonts w:hint="default" w:cs="宋体"/>
          <w:kern w:val="2"/>
          <w:sz w:val="28"/>
          <w:szCs w:val="20"/>
          <w:lang w:val="en-US" w:eastAsia="zh-CN"/>
        </w:rPr>
        <w:t>）</w:t>
      </w:r>
      <w:r>
        <w:rPr>
          <w:rFonts w:hint="default" w:cs="宋体"/>
          <w:kern w:val="2"/>
          <w:sz w:val="28"/>
          <w:szCs w:val="20"/>
          <w:lang w:eastAsia="zh-CN"/>
        </w:rPr>
        <w:t>发行人向龙博自动化购买设备的评估范围及评估价值，相关设备来源及用途，设备原值、折旧金额、折旧年限和使用年限，采购时成新率情况，定价是否公允，是否存在利益输送。（6）发行人向</w:t>
      </w:r>
      <w:r>
        <w:rPr>
          <w:rFonts w:hint="default" w:cs="宋体"/>
          <w:kern w:val="2"/>
          <w:sz w:val="28"/>
          <w:szCs w:val="20"/>
          <w:lang w:val="en-US" w:eastAsia="zh-CN"/>
        </w:rPr>
        <w:t>广华化工</w:t>
      </w:r>
      <w:r>
        <w:rPr>
          <w:rFonts w:hint="default" w:cs="宋体"/>
          <w:kern w:val="2"/>
          <w:sz w:val="28"/>
          <w:szCs w:val="20"/>
          <w:lang w:eastAsia="zh-CN"/>
        </w:rPr>
        <w:t>无偿转让专利的背景、原因，相关专利在发行人生产经营中所起的具体作用，是否为核心专利技术，专利评估价值及无偿转让的定价公允性，是否存在利益输送，是否影响发行人持续经营能力。（7）发行人向</w:t>
      </w:r>
      <w:r>
        <w:rPr>
          <w:rFonts w:hint="default" w:cs="宋体"/>
          <w:kern w:val="2"/>
          <w:sz w:val="28"/>
          <w:szCs w:val="20"/>
          <w:lang w:val="en-US" w:eastAsia="zh-CN"/>
        </w:rPr>
        <w:t>广谐投资、广华国际</w:t>
      </w:r>
      <w:r>
        <w:rPr>
          <w:rFonts w:hint="default" w:cs="宋体"/>
          <w:kern w:val="2"/>
          <w:sz w:val="28"/>
          <w:szCs w:val="20"/>
          <w:lang w:eastAsia="zh-CN"/>
        </w:rPr>
        <w:t>拆借资金的具体情况，包括借款日、借款金额、期限、利率、实际偿付情况、资金来源及具体用途、流向，豁免债务的原因和商业合理性，是否存在其他利益安排。</w:t>
      </w:r>
      <w:r>
        <w:rPr>
          <w:rFonts w:hint="default" w:cs="宋体"/>
          <w:kern w:val="2"/>
          <w:sz w:val="28"/>
          <w:szCs w:val="20"/>
          <w:lang w:val="en-US" w:eastAsia="zh-CN"/>
        </w:rPr>
        <w:t>保荐机构及发行人律师应对发行人的关联方认定，发行人关联交易信息披露的完整性，关联交易的必要性、合理性和公允性，关联交易是否影响发行人的独立性、是否可能对发行产生重大不利影响，以及是否已履行关联交易决策程序等进行充分核查并发表意见。</w:t>
      </w:r>
    </w:p>
    <w:p>
      <w:pPr>
        <w:pStyle w:val="10"/>
        <w:keepNext w:val="0"/>
        <w:keepLines w:val="0"/>
        <w:pageBreakBefore w:val="0"/>
        <w:widowControl w:val="0"/>
        <w:numPr>
          <w:ilvl w:val="0"/>
          <w:numId w:val="2"/>
        </w:numPr>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val="en-US" w:eastAsia="zh-CN"/>
        </w:rPr>
      </w:pPr>
      <w:r>
        <w:rPr>
          <w:rFonts w:hint="default" w:cs="宋体"/>
          <w:kern w:val="2"/>
          <w:sz w:val="28"/>
          <w:szCs w:val="20"/>
          <w:lang w:eastAsia="zh-CN"/>
        </w:rPr>
        <w:t>关于同业竞争。公司实际控制人对外控制的企业较多。其中报告期内，广华化工、秀博电子、广华环保与发行人存在经常性关联交易。</w:t>
      </w:r>
      <w:r>
        <w:rPr>
          <w:rFonts w:hint="default" w:cs="宋体"/>
          <w:kern w:val="2"/>
          <w:sz w:val="28"/>
          <w:szCs w:val="20"/>
          <w:lang w:val="en-US" w:eastAsia="zh-CN"/>
        </w:rPr>
        <w:t>请发行人：（1）逐一补充</w:t>
      </w:r>
      <w:r>
        <w:rPr>
          <w:rFonts w:hint="default" w:cs="宋体"/>
          <w:kern w:val="2"/>
          <w:sz w:val="28"/>
          <w:szCs w:val="20"/>
          <w:lang w:eastAsia="zh-CN"/>
        </w:rPr>
        <w:t>说明</w:t>
      </w:r>
      <w:r>
        <w:rPr>
          <w:rFonts w:hint="default" w:cs="宋体"/>
          <w:kern w:val="2"/>
          <w:sz w:val="28"/>
          <w:szCs w:val="20"/>
          <w:lang w:val="en-US" w:eastAsia="zh-CN"/>
        </w:rPr>
        <w:t>实际控制人、控股股东及其近亲属全资或控股的企业，进一步说明是否存在与公司利益冲突的情形、是否存在与公司及其子公司从事相同或相似业务的情形，如存在，请说明对公司独立性的影响。（2）</w:t>
      </w:r>
      <w:r>
        <w:rPr>
          <w:rFonts w:hint="default" w:cs="宋体"/>
          <w:kern w:val="2"/>
          <w:sz w:val="28"/>
          <w:szCs w:val="20"/>
          <w:lang w:eastAsia="zh-CN"/>
        </w:rPr>
        <w:t>说明</w:t>
      </w:r>
      <w:r>
        <w:rPr>
          <w:rFonts w:hint="default" w:cs="宋体"/>
          <w:kern w:val="2"/>
          <w:sz w:val="28"/>
          <w:szCs w:val="20"/>
          <w:lang w:val="en-US" w:eastAsia="zh-CN"/>
        </w:rPr>
        <w:t>认定不存在同业竞争关系时，是否已经审慎核查并完整地披露发行人控股股东、实际控制人及其近亲属直接或间接控制的全部关联企业。（3）</w:t>
      </w:r>
      <w:r>
        <w:rPr>
          <w:rFonts w:hint="default" w:cs="宋体"/>
          <w:kern w:val="2"/>
          <w:sz w:val="28"/>
          <w:szCs w:val="20"/>
          <w:lang w:eastAsia="zh-CN"/>
        </w:rPr>
        <w:t>说明</w:t>
      </w:r>
      <w:r>
        <w:rPr>
          <w:rFonts w:hint="default" w:cs="宋体"/>
          <w:kern w:val="2"/>
          <w:sz w:val="28"/>
          <w:szCs w:val="20"/>
          <w:lang w:val="en-US" w:eastAsia="zh-CN"/>
        </w:rPr>
        <w:t>上述企业的实际经营业务，说明是否简单依据经营范围对同业竞争做出判断，是否仅以经营区域、细分产品、细分市场的不同来认定不构成同业竞争。（4）</w:t>
      </w:r>
      <w:r>
        <w:rPr>
          <w:rFonts w:hint="default" w:cs="宋体"/>
          <w:kern w:val="2"/>
          <w:sz w:val="28"/>
          <w:szCs w:val="20"/>
          <w:lang w:eastAsia="zh-CN"/>
        </w:rPr>
        <w:t>说明</w:t>
      </w:r>
      <w:r>
        <w:rPr>
          <w:rFonts w:hint="default" w:cs="宋体"/>
          <w:kern w:val="2"/>
          <w:sz w:val="28"/>
          <w:szCs w:val="20"/>
          <w:lang w:val="en-US" w:eastAsia="zh-CN"/>
        </w:rPr>
        <w:t>上述企业的历史沿革、资产、人员、业务和技术等方面与发行人的关系，</w:t>
      </w:r>
      <w:r>
        <w:rPr>
          <w:rFonts w:hint="default" w:cs="宋体"/>
          <w:kern w:val="2"/>
          <w:sz w:val="28"/>
          <w:szCs w:val="20"/>
          <w:lang w:eastAsia="zh-CN"/>
        </w:rPr>
        <w:t>经营的合法合规性，</w:t>
      </w:r>
      <w:r>
        <w:rPr>
          <w:rFonts w:hint="default" w:cs="宋体"/>
          <w:kern w:val="2"/>
          <w:sz w:val="28"/>
          <w:szCs w:val="20"/>
          <w:lang w:val="en-US" w:eastAsia="zh-CN"/>
        </w:rPr>
        <w:t>采购销售渠道、客户、供应商等方面是否影响发行人的独立性</w:t>
      </w:r>
      <w:r>
        <w:rPr>
          <w:rFonts w:hint="default" w:cs="宋体"/>
          <w:kern w:val="2"/>
          <w:sz w:val="28"/>
          <w:szCs w:val="20"/>
          <w:lang w:eastAsia="zh-CN"/>
        </w:rPr>
        <w:t>，未将广华化工、秀博电子、广华环保整合进上市主体的原因。</w:t>
      </w:r>
      <w:r>
        <w:rPr>
          <w:rFonts w:hint="default" w:cs="宋体"/>
          <w:kern w:val="2"/>
          <w:sz w:val="28"/>
          <w:szCs w:val="20"/>
          <w:lang w:val="en-US" w:eastAsia="zh-CN"/>
        </w:rPr>
        <w:t>请保荐机构、发行人律师核查并发表意见。</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560" w:firstLineChars="200"/>
        <w:jc w:val="left"/>
        <w:textAlignment w:val="auto"/>
        <w:rPr>
          <w:rFonts w:hint="eastAsia"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5、</w:t>
      </w:r>
      <w:r>
        <w:rPr>
          <w:rFonts w:hint="default" w:ascii="宋体" w:hAnsi="宋体" w:eastAsia="宋体" w:cs="宋体"/>
          <w:b w:val="0"/>
          <w:bCs w:val="0"/>
          <w:color w:val="000000"/>
          <w:kern w:val="2"/>
          <w:sz w:val="28"/>
          <w:szCs w:val="28"/>
          <w:lang w:val="en-US" w:eastAsia="zh-CN" w:bidi="ar-SA"/>
        </w:rPr>
        <w:t>发行人客户主要为</w:t>
      </w:r>
      <w:r>
        <w:rPr>
          <w:rFonts w:hint="eastAsia" w:ascii="宋体" w:hAnsi="宋体" w:eastAsia="宋体" w:cs="宋体"/>
          <w:b w:val="0"/>
          <w:bCs w:val="0"/>
          <w:color w:val="000000"/>
          <w:kern w:val="2"/>
          <w:sz w:val="28"/>
          <w:szCs w:val="28"/>
          <w:lang w:val="en-US" w:eastAsia="zh-CN" w:bidi="ar-SA"/>
        </w:rPr>
        <w:t>电子产品制造商、PCB企业</w:t>
      </w:r>
      <w:r>
        <w:rPr>
          <w:rFonts w:hint="default" w:ascii="宋体" w:hAnsi="宋体" w:eastAsia="宋体" w:cs="宋体"/>
          <w:b w:val="0"/>
          <w:bCs w:val="0"/>
          <w:color w:val="000000"/>
          <w:kern w:val="2"/>
          <w:sz w:val="28"/>
          <w:szCs w:val="28"/>
          <w:lang w:val="en-US" w:eastAsia="zh-CN" w:bidi="ar-SA"/>
        </w:rPr>
        <w:t>及</w:t>
      </w:r>
      <w:r>
        <w:rPr>
          <w:rFonts w:hint="eastAsia" w:ascii="宋体" w:hAnsi="宋体" w:eastAsia="宋体" w:cs="宋体"/>
          <w:b w:val="0"/>
          <w:bCs w:val="0"/>
          <w:color w:val="000000"/>
          <w:kern w:val="2"/>
          <w:sz w:val="28"/>
          <w:szCs w:val="28"/>
          <w:lang w:val="en-US" w:eastAsia="zh-CN" w:bidi="ar-SA"/>
        </w:rPr>
        <w:t>贸易商</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en-US" w:eastAsia="zh-CN" w:bidi="ar-SA"/>
        </w:rPr>
        <w:t>报告期内，</w:t>
      </w:r>
      <w:r>
        <w:rPr>
          <w:rFonts w:hint="default" w:ascii="宋体" w:hAnsi="宋体" w:eastAsia="宋体" w:cs="宋体"/>
          <w:b w:val="0"/>
          <w:bCs w:val="0"/>
          <w:color w:val="000000"/>
          <w:kern w:val="2"/>
          <w:sz w:val="28"/>
          <w:szCs w:val="28"/>
          <w:lang w:val="en-US" w:eastAsia="zh-CN" w:bidi="ar-SA"/>
        </w:rPr>
        <w:t>发行人</w:t>
      </w:r>
      <w:r>
        <w:rPr>
          <w:rFonts w:hint="eastAsia" w:ascii="宋体" w:hAnsi="宋体" w:eastAsia="宋体" w:cs="宋体"/>
          <w:b w:val="0"/>
          <w:bCs w:val="0"/>
          <w:color w:val="000000"/>
          <w:kern w:val="2"/>
          <w:sz w:val="28"/>
          <w:szCs w:val="28"/>
          <w:lang w:val="en-US" w:eastAsia="zh-CN" w:bidi="ar-SA"/>
        </w:rPr>
        <w:t>来自前五大客户的收入占营业收入的比例分别为</w:t>
      </w:r>
      <w:r>
        <w:rPr>
          <w:rFonts w:hint="default" w:ascii="宋体" w:hAnsi="宋体" w:eastAsia="宋体" w:cs="宋体"/>
          <w:b w:val="0"/>
          <w:bCs w:val="0"/>
          <w:color w:val="000000"/>
          <w:kern w:val="2"/>
          <w:sz w:val="28"/>
          <w:szCs w:val="28"/>
          <w:lang w:val="en-US" w:eastAsia="zh-CN" w:bidi="ar-SA"/>
        </w:rPr>
        <w:t>66.41</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、67.57%</w:t>
      </w:r>
      <w:r>
        <w:rPr>
          <w:rFonts w:hint="eastAsia" w:ascii="宋体" w:hAnsi="宋体" w:eastAsia="宋体" w:cs="宋体"/>
          <w:b w:val="0"/>
          <w:bCs w:val="0"/>
          <w:color w:val="000000"/>
          <w:kern w:val="2"/>
          <w:sz w:val="28"/>
          <w:szCs w:val="28"/>
          <w:lang w:val="en-US" w:eastAsia="zh-CN" w:bidi="ar-SA"/>
        </w:rPr>
        <w:t>和</w:t>
      </w:r>
      <w:r>
        <w:rPr>
          <w:rFonts w:hint="default" w:ascii="宋体" w:hAnsi="宋体" w:eastAsia="宋体" w:cs="宋体"/>
          <w:b w:val="0"/>
          <w:bCs w:val="0"/>
          <w:color w:val="000000"/>
          <w:kern w:val="2"/>
          <w:sz w:val="28"/>
          <w:szCs w:val="28"/>
          <w:lang w:val="en-US" w:eastAsia="zh-CN" w:bidi="ar-SA"/>
        </w:rPr>
        <w:t>70.53</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，集中度较高</w:t>
      </w:r>
      <w:r>
        <w:rPr>
          <w:rFonts w:hint="eastAsia" w:ascii="宋体" w:hAnsi="宋体" w:eastAsia="宋体" w:cs="宋体"/>
          <w:b w:val="0"/>
          <w:bCs w:val="0"/>
          <w:color w:val="000000"/>
          <w:kern w:val="2"/>
          <w:sz w:val="28"/>
          <w:szCs w:val="28"/>
          <w:lang w:val="en-US" w:eastAsia="zh-CN" w:bidi="ar-SA"/>
        </w:rPr>
        <w:t>。请</w:t>
      </w:r>
      <w:r>
        <w:rPr>
          <w:rFonts w:hint="default" w:ascii="宋体" w:hAnsi="宋体" w:eastAsia="宋体" w:cs="宋体"/>
          <w:b w:val="0"/>
          <w:bCs w:val="0"/>
          <w:color w:val="000000"/>
          <w:kern w:val="2"/>
          <w:sz w:val="28"/>
          <w:szCs w:val="28"/>
          <w:lang w:val="en-US" w:eastAsia="zh-CN" w:bidi="ar-SA"/>
        </w:rPr>
        <w:t>发行人：</w:t>
      </w:r>
      <w:r>
        <w:rPr>
          <w:rFonts w:hint="eastAsia" w:ascii="宋体" w:hAnsi="宋体" w:eastAsia="宋体" w:cs="宋体"/>
          <w:b w:val="0"/>
          <w:bCs w:val="0"/>
          <w:color w:val="000000"/>
          <w:kern w:val="2"/>
          <w:sz w:val="28"/>
          <w:szCs w:val="28"/>
          <w:lang w:val="en-US" w:eastAsia="zh-CN" w:bidi="ar-SA"/>
        </w:rPr>
        <w:t>（1）</w:t>
      </w:r>
      <w:r>
        <w:rPr>
          <w:rFonts w:hint="default" w:ascii="宋体" w:hAnsi="宋体" w:eastAsia="宋体" w:cs="宋体"/>
          <w:b w:val="0"/>
          <w:bCs w:val="0"/>
          <w:color w:val="000000"/>
          <w:kern w:val="2"/>
          <w:sz w:val="28"/>
          <w:szCs w:val="28"/>
          <w:lang w:val="en-US" w:eastAsia="zh-CN" w:bidi="ar-SA"/>
        </w:rPr>
        <w:t>结合下游行业特点及行业竞争状况等，说明向主要客户销售集中度较高的原因与合理性，是否符合行业特征，是否与同行业可比上市公司存在较大差异；（2）补充说明境内外/不同应用领域主要客户</w:t>
      </w:r>
      <w:r>
        <w:rPr>
          <w:rFonts w:hint="eastAsia" w:ascii="宋体" w:hAnsi="宋体" w:eastAsia="宋体" w:cs="宋体"/>
          <w:b w:val="0"/>
          <w:bCs w:val="0"/>
          <w:color w:val="000000"/>
          <w:kern w:val="2"/>
          <w:sz w:val="28"/>
          <w:szCs w:val="28"/>
          <w:lang w:val="en-US" w:eastAsia="zh-CN" w:bidi="ar-SA"/>
        </w:rPr>
        <w:t>的基本情况，包括但不限于成立时间、注册资本、经营范围、主要股东、与发行人合作年限、主要销售商品</w:t>
      </w:r>
      <w:r>
        <w:rPr>
          <w:rFonts w:hint="default" w:ascii="宋体" w:hAnsi="宋体" w:eastAsia="宋体" w:cs="宋体"/>
          <w:b w:val="0"/>
          <w:bCs w:val="0"/>
          <w:color w:val="000000"/>
          <w:kern w:val="2"/>
          <w:sz w:val="28"/>
          <w:szCs w:val="28"/>
          <w:lang w:val="en-US" w:eastAsia="zh-CN" w:bidi="ar-SA"/>
        </w:rPr>
        <w:t>、企业性质</w:t>
      </w:r>
      <w:r>
        <w:rPr>
          <w:rFonts w:hint="eastAsia" w:ascii="宋体" w:hAnsi="宋体" w:eastAsia="宋体" w:cs="宋体"/>
          <w:b w:val="0"/>
          <w:bCs w:val="0"/>
          <w:color w:val="000000"/>
          <w:kern w:val="2"/>
          <w:sz w:val="28"/>
          <w:szCs w:val="28"/>
          <w:lang w:val="en-US" w:eastAsia="zh-CN" w:bidi="ar-SA"/>
        </w:rPr>
        <w:t>等，信用政策、结算方式及期末应收款项情况；（</w:t>
      </w:r>
      <w:r>
        <w:rPr>
          <w:rFonts w:hint="default" w:ascii="宋体" w:hAnsi="宋体" w:eastAsia="宋体" w:cs="宋体"/>
          <w:b w:val="0"/>
          <w:bCs w:val="0"/>
          <w:color w:val="000000"/>
          <w:kern w:val="2"/>
          <w:sz w:val="28"/>
          <w:szCs w:val="28"/>
          <w:lang w:val="en-US" w:eastAsia="zh-CN" w:bidi="ar-SA"/>
        </w:rPr>
        <w:t>3</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en-US" w:eastAsia="zh-CN" w:bidi="ar-SA"/>
        </w:rPr>
        <w:t>主要客户的获取方式，发行人与主要客户的交易背景、定价政策及销售占比发生变化的原因，主要客户及其关联方与发行人是否存在关联关系、同业竞争关系或其他利益安排</w:t>
      </w:r>
      <w:r>
        <w:rPr>
          <w:rFonts w:hint="default" w:ascii="宋体" w:hAnsi="宋体" w:eastAsia="宋体" w:cs="宋体"/>
          <w:b w:val="0"/>
          <w:bCs w:val="0"/>
          <w:color w:val="000000"/>
          <w:kern w:val="2"/>
          <w:sz w:val="28"/>
          <w:szCs w:val="28"/>
          <w:lang w:val="en-US" w:eastAsia="zh-CN" w:bidi="ar-SA"/>
        </w:rPr>
        <w:t>等</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4</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结合合同订单获取方式及产品所占份额情况，说明发行人是否为主要客户的唯一供应商，并说明与主要客户的合作关系是否稳定、可持续；（5）说明主要客户变动的原因与合理性；（6）说明主要客户中是否存在成立时间较短或合作时间较短的客户，并分析相关原因与合理性；（7）补充说明发行人对不同客户的定价政策是否存在差异，同一期间对不同客户的销售价格差异情况及原因和不同期间对同一客户的销售价格差异情况及原因；（8）结合发行人与代理商签订的协议相关条款，说明代理商在销售环节的的作用，并分析代理费用变动是否与相应收入匹配；（9）说明与部分客户约定销售返利的原因与合理性，分析各年度销售返利的计提与支付情况是否与相关收入相匹配</w:t>
      </w:r>
      <w:r>
        <w:rPr>
          <w:rFonts w:hint="eastAsia" w:ascii="宋体" w:hAnsi="宋体" w:eastAsia="宋体" w:cs="宋体"/>
          <w:b w:val="0"/>
          <w:bCs w:val="0"/>
          <w:color w:val="000000"/>
          <w:kern w:val="2"/>
          <w:sz w:val="28"/>
          <w:szCs w:val="28"/>
          <w:lang w:val="en-US" w:eastAsia="zh-CN" w:bidi="ar-SA"/>
        </w:rPr>
        <w:t>。请保荐机构、会计师说明对主要客户销售核查的方法、内容与比例，并发表明确核查意见。</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560" w:firstLineChars="200"/>
        <w:jc w:val="left"/>
        <w:textAlignment w:val="auto"/>
        <w:rPr>
          <w:rFonts w:hint="eastAsia"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6、</w:t>
      </w:r>
      <w:r>
        <w:rPr>
          <w:rFonts w:hint="eastAsia" w:ascii="宋体" w:hAnsi="宋体" w:eastAsia="宋体" w:cs="宋体"/>
          <w:b w:val="0"/>
          <w:bCs w:val="0"/>
          <w:color w:val="000000"/>
          <w:kern w:val="2"/>
          <w:sz w:val="28"/>
          <w:szCs w:val="28"/>
          <w:lang w:val="en-US" w:eastAsia="zh-CN" w:bidi="ar-SA"/>
        </w:rPr>
        <w:t>报告期内，发行人对前5大供应商的采购比例为</w:t>
      </w:r>
      <w:r>
        <w:rPr>
          <w:rFonts w:hint="default" w:ascii="宋体" w:hAnsi="宋体" w:eastAsia="宋体" w:cs="宋体"/>
          <w:b w:val="0"/>
          <w:bCs w:val="0"/>
          <w:color w:val="000000"/>
          <w:kern w:val="2"/>
          <w:sz w:val="28"/>
          <w:szCs w:val="28"/>
          <w:lang w:val="en-US" w:eastAsia="zh-CN" w:bidi="ar-SA"/>
        </w:rPr>
        <w:t>53.42</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53.57</w:t>
      </w:r>
      <w:r>
        <w:rPr>
          <w:rFonts w:hint="eastAsia" w:ascii="宋体" w:hAnsi="宋体" w:eastAsia="宋体" w:cs="宋体"/>
          <w:b w:val="0"/>
          <w:bCs w:val="0"/>
          <w:color w:val="000000"/>
          <w:kern w:val="2"/>
          <w:sz w:val="28"/>
          <w:szCs w:val="28"/>
          <w:lang w:val="en-US" w:eastAsia="zh-CN" w:bidi="ar-SA"/>
        </w:rPr>
        <w:t>%和</w:t>
      </w:r>
      <w:r>
        <w:rPr>
          <w:rFonts w:hint="default" w:ascii="宋体" w:hAnsi="宋体" w:eastAsia="宋体" w:cs="宋体"/>
          <w:b w:val="0"/>
          <w:bCs w:val="0"/>
          <w:color w:val="000000"/>
          <w:kern w:val="2"/>
          <w:sz w:val="28"/>
          <w:szCs w:val="28"/>
          <w:lang w:val="en-US" w:eastAsia="zh-CN" w:bidi="ar-SA"/>
        </w:rPr>
        <w:t>52.60</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，集中度较高，发行人主要采购产品为</w:t>
      </w:r>
      <w:r>
        <w:rPr>
          <w:rFonts w:hint="eastAsia" w:ascii="宋体" w:hAnsi="宋体" w:eastAsia="宋体" w:cs="宋体"/>
          <w:b w:val="0"/>
          <w:bCs w:val="0"/>
          <w:color w:val="000000"/>
          <w:kern w:val="2"/>
          <w:sz w:val="28"/>
          <w:szCs w:val="28"/>
          <w:lang w:val="en-US" w:eastAsia="zh-CN" w:bidi="ar-SA"/>
        </w:rPr>
        <w:t>覆铜板</w:t>
      </w:r>
      <w:r>
        <w:rPr>
          <w:rFonts w:hint="default" w:ascii="宋体" w:hAnsi="宋体" w:eastAsia="宋体" w:cs="宋体"/>
          <w:b w:val="0"/>
          <w:bCs w:val="0"/>
          <w:color w:val="000000"/>
          <w:kern w:val="2"/>
          <w:sz w:val="28"/>
          <w:szCs w:val="28"/>
          <w:lang w:val="en-US" w:eastAsia="zh-CN" w:bidi="ar-SA"/>
        </w:rPr>
        <w:t>、半固化片及铜球、铜箔等</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请发行人：</w:t>
      </w:r>
      <w:r>
        <w:rPr>
          <w:rFonts w:hint="eastAsia" w:ascii="宋体" w:hAnsi="宋体" w:eastAsia="宋体" w:cs="宋体"/>
          <w:b w:val="0"/>
          <w:bCs w:val="0"/>
          <w:color w:val="000000"/>
          <w:kern w:val="2"/>
          <w:sz w:val="28"/>
          <w:szCs w:val="28"/>
          <w:lang w:val="en-US" w:eastAsia="zh-CN" w:bidi="ar-SA"/>
        </w:rPr>
        <w:t>（1）补充</w:t>
      </w:r>
      <w:r>
        <w:rPr>
          <w:rFonts w:hint="default" w:ascii="宋体" w:hAnsi="宋体" w:eastAsia="宋体" w:cs="宋体"/>
          <w:b w:val="0"/>
          <w:bCs w:val="0"/>
          <w:color w:val="000000"/>
          <w:kern w:val="2"/>
          <w:sz w:val="28"/>
          <w:szCs w:val="28"/>
          <w:lang w:val="en-US" w:eastAsia="zh-CN" w:bidi="ar-SA"/>
        </w:rPr>
        <w:t>说明并分析发行人报告期内分产品/</w:t>
      </w:r>
      <w:r>
        <w:rPr>
          <w:rFonts w:hint="eastAsia" w:ascii="宋体" w:hAnsi="宋体" w:eastAsia="宋体" w:cs="宋体"/>
          <w:b w:val="0"/>
          <w:bCs w:val="0"/>
          <w:color w:val="000000"/>
          <w:kern w:val="2"/>
          <w:sz w:val="28"/>
          <w:szCs w:val="28"/>
          <w:lang w:val="en-US" w:eastAsia="zh-CN" w:bidi="ar-SA"/>
        </w:rPr>
        <w:t>主要供应商的</w:t>
      </w:r>
      <w:r>
        <w:rPr>
          <w:rFonts w:hint="default" w:ascii="宋体" w:hAnsi="宋体" w:eastAsia="宋体" w:cs="宋体"/>
          <w:b w:val="0"/>
          <w:bCs w:val="0"/>
          <w:color w:val="000000"/>
          <w:kern w:val="2"/>
          <w:sz w:val="28"/>
          <w:szCs w:val="28"/>
          <w:lang w:val="en-US" w:eastAsia="zh-CN" w:bidi="ar-SA"/>
        </w:rPr>
        <w:t>采购</w:t>
      </w:r>
      <w:r>
        <w:rPr>
          <w:rFonts w:hint="eastAsia" w:ascii="宋体" w:hAnsi="宋体" w:eastAsia="宋体" w:cs="宋体"/>
          <w:b w:val="0"/>
          <w:bCs w:val="0"/>
          <w:color w:val="000000"/>
          <w:kern w:val="2"/>
          <w:sz w:val="28"/>
          <w:szCs w:val="28"/>
          <w:lang w:val="en-US" w:eastAsia="zh-CN" w:bidi="ar-SA"/>
        </w:rPr>
        <w:t>基本情况</w:t>
      </w:r>
      <w:r>
        <w:rPr>
          <w:rFonts w:hint="default" w:ascii="宋体" w:hAnsi="宋体" w:eastAsia="宋体" w:cs="宋体"/>
          <w:b w:val="0"/>
          <w:bCs w:val="0"/>
          <w:color w:val="000000"/>
          <w:kern w:val="2"/>
          <w:sz w:val="28"/>
          <w:szCs w:val="28"/>
          <w:lang w:val="en-US" w:eastAsia="zh-CN" w:bidi="ar-SA"/>
        </w:rPr>
        <w:t>，说明与分产品类别主要供应商的</w:t>
      </w:r>
      <w:r>
        <w:rPr>
          <w:rFonts w:hint="eastAsia" w:ascii="宋体" w:hAnsi="宋体" w:eastAsia="宋体" w:cs="宋体"/>
          <w:b w:val="0"/>
          <w:bCs w:val="0"/>
          <w:color w:val="000000"/>
          <w:kern w:val="2"/>
          <w:sz w:val="28"/>
          <w:szCs w:val="28"/>
          <w:lang w:val="en-US" w:eastAsia="zh-CN" w:bidi="ar-SA"/>
        </w:rPr>
        <w:t>合作历史、采购方式、采购内容、定价方式、采购金额、</w:t>
      </w:r>
      <w:r>
        <w:rPr>
          <w:rFonts w:hint="default" w:ascii="宋体" w:hAnsi="宋体" w:eastAsia="宋体" w:cs="宋体"/>
          <w:b w:val="0"/>
          <w:bCs w:val="0"/>
          <w:color w:val="000000"/>
          <w:kern w:val="2"/>
          <w:sz w:val="28"/>
          <w:szCs w:val="28"/>
          <w:lang w:val="en-US" w:eastAsia="zh-CN" w:bidi="ar-SA"/>
        </w:rPr>
        <w:t>采购单价、</w:t>
      </w:r>
      <w:r>
        <w:rPr>
          <w:rFonts w:hint="eastAsia" w:ascii="宋体" w:hAnsi="宋体" w:eastAsia="宋体" w:cs="宋体"/>
          <w:b w:val="0"/>
          <w:bCs w:val="0"/>
          <w:color w:val="000000"/>
          <w:kern w:val="2"/>
          <w:sz w:val="28"/>
          <w:szCs w:val="28"/>
          <w:lang w:val="en-US" w:eastAsia="zh-CN" w:bidi="ar-SA"/>
        </w:rPr>
        <w:t>结算方式等</w:t>
      </w:r>
      <w:r>
        <w:rPr>
          <w:rFonts w:hint="default" w:ascii="宋体" w:hAnsi="宋体" w:eastAsia="宋体" w:cs="宋体"/>
          <w:b w:val="0"/>
          <w:bCs w:val="0"/>
          <w:color w:val="000000"/>
          <w:kern w:val="2"/>
          <w:sz w:val="28"/>
          <w:szCs w:val="28"/>
          <w:lang w:val="en-US" w:eastAsia="zh-CN" w:bidi="ar-SA"/>
        </w:rPr>
        <w:t>，说明主要供应商是否为贸易商，并分析向贸易商采购的原因与合理性</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（2）</w:t>
      </w:r>
      <w:r>
        <w:rPr>
          <w:rFonts w:hint="eastAsia" w:ascii="宋体" w:hAnsi="宋体" w:eastAsia="宋体" w:cs="宋体"/>
          <w:b w:val="0"/>
          <w:bCs w:val="0"/>
          <w:color w:val="000000"/>
          <w:kern w:val="2"/>
          <w:sz w:val="28"/>
          <w:szCs w:val="28"/>
          <w:lang w:val="en-US" w:eastAsia="zh-CN" w:bidi="ar-SA"/>
        </w:rPr>
        <w:t>补充</w:t>
      </w:r>
      <w:r>
        <w:rPr>
          <w:rFonts w:hint="default" w:ascii="宋体" w:hAnsi="宋体" w:eastAsia="宋体" w:cs="宋体"/>
          <w:b w:val="0"/>
          <w:bCs w:val="0"/>
          <w:color w:val="000000"/>
          <w:kern w:val="2"/>
          <w:sz w:val="28"/>
          <w:szCs w:val="28"/>
          <w:lang w:val="en-US" w:eastAsia="zh-CN" w:bidi="ar-SA"/>
        </w:rPr>
        <w:t>分析</w:t>
      </w:r>
      <w:r>
        <w:rPr>
          <w:rFonts w:hint="eastAsia" w:ascii="宋体" w:hAnsi="宋体" w:eastAsia="宋体" w:cs="宋体"/>
          <w:b w:val="0"/>
          <w:bCs w:val="0"/>
          <w:color w:val="000000"/>
          <w:kern w:val="2"/>
          <w:sz w:val="28"/>
          <w:szCs w:val="28"/>
          <w:lang w:val="en-US" w:eastAsia="zh-CN" w:bidi="ar-SA"/>
        </w:rPr>
        <w:t>说明</w:t>
      </w:r>
      <w:r>
        <w:rPr>
          <w:rFonts w:hint="default" w:ascii="宋体" w:hAnsi="宋体" w:eastAsia="宋体" w:cs="宋体"/>
          <w:b w:val="0"/>
          <w:bCs w:val="0"/>
          <w:color w:val="000000"/>
          <w:kern w:val="2"/>
          <w:sz w:val="28"/>
          <w:szCs w:val="28"/>
          <w:lang w:val="en-US" w:eastAsia="zh-CN" w:bidi="ar-SA"/>
        </w:rPr>
        <w:t>报告期各期</w:t>
      </w:r>
      <w:r>
        <w:rPr>
          <w:rFonts w:hint="eastAsia" w:ascii="宋体" w:hAnsi="宋体" w:eastAsia="宋体" w:cs="宋体"/>
          <w:b w:val="0"/>
          <w:bCs w:val="0"/>
          <w:color w:val="000000"/>
          <w:kern w:val="2"/>
          <w:sz w:val="28"/>
          <w:szCs w:val="28"/>
          <w:lang w:val="en-US" w:eastAsia="zh-CN" w:bidi="ar-SA"/>
        </w:rPr>
        <w:t>各类原</w:t>
      </w:r>
      <w:r>
        <w:rPr>
          <w:rFonts w:hint="default" w:ascii="宋体" w:hAnsi="宋体" w:eastAsia="宋体" w:cs="宋体"/>
          <w:b w:val="0"/>
          <w:bCs w:val="0"/>
          <w:color w:val="000000"/>
          <w:kern w:val="2"/>
          <w:sz w:val="28"/>
          <w:szCs w:val="28"/>
          <w:lang w:val="en-US" w:eastAsia="zh-CN" w:bidi="ar-SA"/>
        </w:rPr>
        <w:t>材</w:t>
      </w:r>
      <w:r>
        <w:rPr>
          <w:rFonts w:hint="eastAsia" w:ascii="宋体" w:hAnsi="宋体" w:eastAsia="宋体" w:cs="宋体"/>
          <w:b w:val="0"/>
          <w:bCs w:val="0"/>
          <w:color w:val="000000"/>
          <w:kern w:val="2"/>
          <w:sz w:val="28"/>
          <w:szCs w:val="28"/>
          <w:lang w:val="en-US" w:eastAsia="zh-CN" w:bidi="ar-SA"/>
        </w:rPr>
        <w:t>料采购</w:t>
      </w:r>
      <w:r>
        <w:rPr>
          <w:rFonts w:hint="default" w:ascii="宋体" w:hAnsi="宋体" w:eastAsia="宋体" w:cs="宋体"/>
          <w:b w:val="0"/>
          <w:bCs w:val="0"/>
          <w:color w:val="000000"/>
          <w:kern w:val="2"/>
          <w:sz w:val="28"/>
          <w:szCs w:val="28"/>
          <w:lang w:val="en-US" w:eastAsia="zh-CN" w:bidi="ar-SA"/>
        </w:rPr>
        <w:t>量</w:t>
      </w:r>
      <w:r>
        <w:rPr>
          <w:rFonts w:hint="eastAsia" w:ascii="宋体" w:hAnsi="宋体" w:eastAsia="宋体" w:cs="宋体"/>
          <w:b w:val="0"/>
          <w:bCs w:val="0"/>
          <w:color w:val="000000"/>
          <w:kern w:val="2"/>
          <w:sz w:val="28"/>
          <w:szCs w:val="28"/>
          <w:lang w:val="en-US" w:eastAsia="zh-CN" w:bidi="ar-SA"/>
        </w:rPr>
        <w:t>与产量是否匹配；（</w:t>
      </w:r>
      <w:r>
        <w:rPr>
          <w:rFonts w:hint="default" w:ascii="宋体" w:hAnsi="宋体" w:eastAsia="宋体" w:cs="宋体"/>
          <w:b w:val="0"/>
          <w:bCs w:val="0"/>
          <w:color w:val="000000"/>
          <w:kern w:val="2"/>
          <w:sz w:val="28"/>
          <w:szCs w:val="28"/>
          <w:lang w:val="en-US" w:eastAsia="zh-CN" w:bidi="ar-SA"/>
        </w:rPr>
        <w:t>3</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结合上游行业供需情况，补充披露报告期内主要供应商采购集中度变动的原因与合理性</w:t>
      </w:r>
      <w:r>
        <w:rPr>
          <w:rFonts w:hint="eastAsia" w:ascii="宋体" w:hAnsi="宋体" w:eastAsia="宋体" w:cs="宋体"/>
          <w:b w:val="0"/>
          <w:bCs w:val="0"/>
          <w:color w:val="000000"/>
          <w:kern w:val="2"/>
          <w:sz w:val="28"/>
          <w:szCs w:val="28"/>
          <w:lang w:val="en-US" w:eastAsia="zh-CN" w:bidi="ar-SA"/>
        </w:rPr>
        <w:t>；（4）说明供应商及其关联方与发行人、发行人股东、实际控制人、董监高及其他核心人员是否存在关联关系或其他利益输送情形</w:t>
      </w:r>
      <w:r>
        <w:rPr>
          <w:rFonts w:hint="default" w:ascii="宋体" w:hAnsi="宋体" w:eastAsia="宋体" w:cs="宋体"/>
          <w:b w:val="0"/>
          <w:bCs w:val="0"/>
          <w:color w:val="000000"/>
          <w:kern w:val="2"/>
          <w:sz w:val="28"/>
          <w:szCs w:val="28"/>
          <w:lang w:val="en-US" w:eastAsia="zh-CN" w:bidi="ar-SA"/>
        </w:rPr>
        <w:t>；（5）说明报告期内发行人主要供应商增减变动及采购占比变动的原因与合理性；（6）补充披露主要原材料及配件的采购途径，包括国内采购、进口采购，如存在进口采购，说明贸易摩擦是否对发行人原材料采购构成不利影响及相关应对措施；（7）说明报告期发行人各原材料及配件采购价格是否与市场平均价格存在较大差异并分析原因；（8）说明主要供应商中是否存在成立时间较短或合作时间较短的情况，分析说明原因与合理性；（9）补充说明外协加工金额逐期增长的原因与合理性，说明主要外协厂商与发行人的合作情况，分析外协加工厂商变动原因与合理性及外协加工价格公允性；（10）补充说明是否存在与发行人终止合作后注销的供应商，并分析原因及交易真实性。</w:t>
      </w:r>
      <w:r>
        <w:rPr>
          <w:rFonts w:hint="eastAsia" w:ascii="宋体" w:hAnsi="宋体" w:eastAsia="宋体" w:cs="宋体"/>
          <w:b w:val="0"/>
          <w:bCs w:val="0"/>
          <w:color w:val="000000"/>
          <w:kern w:val="2"/>
          <w:sz w:val="28"/>
          <w:szCs w:val="28"/>
          <w:lang w:val="en-US" w:eastAsia="zh-CN" w:bidi="ar-SA"/>
        </w:rPr>
        <w:t>请保荐机构、会计师核查上述事项，说明对核查方式、程序、范围、比例等，并发表明确意见。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560" w:firstLineChars="200"/>
        <w:jc w:val="left"/>
        <w:textAlignment w:val="auto"/>
        <w:rPr>
          <w:rFonts w:hint="eastAsia"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7、</w:t>
      </w:r>
      <w:r>
        <w:rPr>
          <w:rFonts w:hint="eastAsia" w:ascii="宋体" w:hAnsi="宋体" w:eastAsia="宋体" w:cs="宋体"/>
          <w:b w:val="0"/>
          <w:bCs w:val="0"/>
          <w:color w:val="000000"/>
          <w:kern w:val="2"/>
          <w:sz w:val="28"/>
          <w:szCs w:val="28"/>
          <w:lang w:val="en-US" w:eastAsia="zh-CN" w:bidi="ar-SA"/>
        </w:rPr>
        <w:t>报告期各期，发行人主营业务收入分别为</w:t>
      </w:r>
      <w:r>
        <w:rPr>
          <w:rFonts w:hint="default" w:ascii="宋体" w:hAnsi="宋体" w:eastAsia="宋体" w:cs="宋体"/>
          <w:b w:val="0"/>
          <w:bCs w:val="0"/>
          <w:color w:val="000000"/>
          <w:kern w:val="2"/>
          <w:sz w:val="28"/>
          <w:szCs w:val="28"/>
          <w:lang w:val="en-US" w:eastAsia="zh-CN" w:bidi="ar-SA"/>
        </w:rPr>
        <w:t>13.05亿</w:t>
      </w:r>
      <w:r>
        <w:rPr>
          <w:rFonts w:hint="eastAsia" w:ascii="宋体" w:hAnsi="宋体" w:eastAsia="宋体" w:cs="宋体"/>
          <w:b w:val="0"/>
          <w:bCs w:val="0"/>
          <w:color w:val="000000"/>
          <w:kern w:val="2"/>
          <w:sz w:val="28"/>
          <w:szCs w:val="28"/>
          <w:lang w:val="en-US" w:eastAsia="zh-CN" w:bidi="ar-SA"/>
        </w:rPr>
        <w:t>元、</w:t>
      </w:r>
      <w:r>
        <w:rPr>
          <w:rFonts w:hint="default" w:ascii="宋体" w:hAnsi="宋体" w:eastAsia="宋体" w:cs="宋体"/>
          <w:b w:val="0"/>
          <w:bCs w:val="0"/>
          <w:color w:val="000000"/>
          <w:kern w:val="2"/>
          <w:sz w:val="28"/>
          <w:szCs w:val="28"/>
          <w:lang w:val="en-US" w:eastAsia="zh-CN" w:bidi="ar-SA"/>
        </w:rPr>
        <w:t>15.55亿</w:t>
      </w:r>
      <w:r>
        <w:rPr>
          <w:rFonts w:hint="eastAsia" w:ascii="宋体" w:hAnsi="宋体" w:eastAsia="宋体" w:cs="宋体"/>
          <w:b w:val="0"/>
          <w:bCs w:val="0"/>
          <w:color w:val="000000"/>
          <w:kern w:val="2"/>
          <w:sz w:val="28"/>
          <w:szCs w:val="28"/>
          <w:lang w:val="en-US" w:eastAsia="zh-CN" w:bidi="ar-SA"/>
        </w:rPr>
        <w:t>元和</w:t>
      </w:r>
      <w:r>
        <w:rPr>
          <w:rFonts w:hint="default" w:ascii="宋体" w:hAnsi="宋体" w:eastAsia="宋体" w:cs="宋体"/>
          <w:b w:val="0"/>
          <w:bCs w:val="0"/>
          <w:color w:val="000000"/>
          <w:kern w:val="2"/>
          <w:sz w:val="28"/>
          <w:szCs w:val="28"/>
          <w:lang w:val="en-US" w:eastAsia="zh-CN" w:bidi="ar-SA"/>
        </w:rPr>
        <w:t>19.70亿</w:t>
      </w:r>
      <w:r>
        <w:rPr>
          <w:rFonts w:hint="eastAsia" w:ascii="宋体" w:hAnsi="宋体" w:eastAsia="宋体" w:cs="宋体"/>
          <w:b w:val="0"/>
          <w:bCs w:val="0"/>
          <w:color w:val="000000"/>
          <w:kern w:val="2"/>
          <w:sz w:val="28"/>
          <w:szCs w:val="28"/>
          <w:lang w:val="en-US" w:eastAsia="zh-CN" w:bidi="ar-SA"/>
        </w:rPr>
        <w:t>元</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en-US" w:eastAsia="zh-CN" w:bidi="ar-SA"/>
        </w:rPr>
        <w:t>三年年均复合增长率为24.71%</w:t>
      </w:r>
      <w:r>
        <w:rPr>
          <w:rFonts w:hint="default" w:ascii="宋体" w:hAnsi="宋体" w:eastAsia="宋体" w:cs="宋体"/>
          <w:b w:val="0"/>
          <w:bCs w:val="0"/>
          <w:color w:val="000000"/>
          <w:kern w:val="2"/>
          <w:sz w:val="28"/>
          <w:szCs w:val="28"/>
          <w:lang w:val="en-US" w:eastAsia="zh-CN" w:bidi="ar-SA"/>
        </w:rPr>
        <w:t>，增速较快</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请发行人：</w:t>
      </w:r>
      <w:r>
        <w:rPr>
          <w:rFonts w:hint="eastAsia" w:ascii="宋体" w:hAnsi="宋体" w:eastAsia="宋体" w:cs="宋体"/>
          <w:b w:val="0"/>
          <w:bCs w:val="0"/>
          <w:color w:val="000000"/>
          <w:kern w:val="2"/>
          <w:sz w:val="28"/>
          <w:szCs w:val="28"/>
          <w:lang w:val="en-US" w:eastAsia="zh-CN" w:bidi="ar-SA"/>
        </w:rPr>
        <w:t>（1）结合下游行业需求、竞争格局变化</w:t>
      </w:r>
      <w:r>
        <w:rPr>
          <w:rFonts w:hint="default" w:ascii="宋体" w:hAnsi="宋体" w:eastAsia="宋体" w:cs="宋体"/>
          <w:b w:val="0"/>
          <w:bCs w:val="0"/>
          <w:color w:val="000000"/>
          <w:kern w:val="2"/>
          <w:sz w:val="28"/>
          <w:szCs w:val="28"/>
          <w:lang w:val="en-US" w:eastAsia="zh-CN" w:bidi="ar-SA"/>
        </w:rPr>
        <w:t>、期末在手订单情况等，</w:t>
      </w:r>
      <w:r>
        <w:rPr>
          <w:rFonts w:hint="eastAsia" w:ascii="宋体" w:hAnsi="宋体" w:eastAsia="宋体" w:cs="宋体"/>
          <w:b w:val="0"/>
          <w:bCs w:val="0"/>
          <w:color w:val="000000"/>
          <w:kern w:val="2"/>
          <w:sz w:val="28"/>
          <w:szCs w:val="28"/>
          <w:lang w:val="en-US" w:eastAsia="zh-CN" w:bidi="ar-SA"/>
        </w:rPr>
        <w:t>补充</w:t>
      </w:r>
      <w:r>
        <w:rPr>
          <w:rFonts w:hint="default" w:ascii="宋体" w:hAnsi="宋体" w:eastAsia="宋体" w:cs="宋体"/>
          <w:b w:val="0"/>
          <w:bCs w:val="0"/>
          <w:color w:val="000000"/>
          <w:kern w:val="2"/>
          <w:sz w:val="28"/>
          <w:szCs w:val="28"/>
          <w:lang w:val="en-US" w:eastAsia="zh-CN" w:bidi="ar-SA"/>
        </w:rPr>
        <w:t>说明各产品</w:t>
      </w:r>
      <w:r>
        <w:rPr>
          <w:rFonts w:hint="eastAsia" w:ascii="宋体" w:hAnsi="宋体" w:eastAsia="宋体" w:cs="宋体"/>
          <w:b w:val="0"/>
          <w:bCs w:val="0"/>
          <w:color w:val="000000"/>
          <w:kern w:val="2"/>
          <w:sz w:val="28"/>
          <w:szCs w:val="28"/>
          <w:lang w:val="en-US" w:eastAsia="zh-CN" w:bidi="ar-SA"/>
        </w:rPr>
        <w:t>在报告期内</w:t>
      </w:r>
      <w:r>
        <w:rPr>
          <w:rFonts w:hint="default" w:ascii="宋体" w:hAnsi="宋体" w:eastAsia="宋体" w:cs="宋体"/>
          <w:b w:val="0"/>
          <w:bCs w:val="0"/>
          <w:color w:val="000000"/>
          <w:kern w:val="2"/>
          <w:sz w:val="28"/>
          <w:szCs w:val="28"/>
          <w:lang w:val="en-US" w:eastAsia="zh-CN" w:bidi="ar-SA"/>
        </w:rPr>
        <w:t>销售规模、</w:t>
      </w:r>
      <w:r>
        <w:rPr>
          <w:rFonts w:hint="eastAsia" w:ascii="宋体" w:hAnsi="宋体" w:eastAsia="宋体" w:cs="宋体"/>
          <w:b w:val="0"/>
          <w:bCs w:val="0"/>
          <w:color w:val="000000"/>
          <w:kern w:val="2"/>
          <w:sz w:val="28"/>
          <w:szCs w:val="28"/>
          <w:lang w:val="en-US" w:eastAsia="zh-CN" w:bidi="ar-SA"/>
        </w:rPr>
        <w:t>销售单价、销售数量</w:t>
      </w:r>
      <w:r>
        <w:rPr>
          <w:rFonts w:hint="default" w:ascii="宋体" w:hAnsi="宋体" w:eastAsia="宋体" w:cs="宋体"/>
          <w:b w:val="0"/>
          <w:bCs w:val="0"/>
          <w:color w:val="000000"/>
          <w:kern w:val="2"/>
          <w:sz w:val="28"/>
          <w:szCs w:val="28"/>
          <w:lang w:val="en-US" w:eastAsia="zh-CN" w:bidi="ar-SA"/>
        </w:rPr>
        <w:t>变动</w:t>
      </w:r>
      <w:r>
        <w:rPr>
          <w:rFonts w:hint="eastAsia" w:ascii="宋体" w:hAnsi="宋体" w:eastAsia="宋体" w:cs="宋体"/>
          <w:b w:val="0"/>
          <w:bCs w:val="0"/>
          <w:color w:val="000000"/>
          <w:kern w:val="2"/>
          <w:sz w:val="28"/>
          <w:szCs w:val="28"/>
          <w:lang w:val="en-US" w:eastAsia="zh-CN" w:bidi="ar-SA"/>
        </w:rPr>
        <w:t>的原因及合理性，是否与同行业可比公司一致；（2）</w:t>
      </w:r>
      <w:r>
        <w:rPr>
          <w:rFonts w:hint="default" w:ascii="宋体" w:hAnsi="宋体" w:eastAsia="宋体" w:cs="宋体"/>
          <w:b w:val="0"/>
          <w:bCs w:val="0"/>
          <w:color w:val="000000"/>
          <w:kern w:val="2"/>
          <w:sz w:val="28"/>
          <w:szCs w:val="28"/>
          <w:lang w:val="en-US" w:eastAsia="zh-CN" w:bidi="ar-SA"/>
        </w:rPr>
        <w:t>分析说明分产品/分应用领域/分客户类型在报告期内收入变动的原因与合理性；（3）</w:t>
      </w:r>
      <w:r>
        <w:rPr>
          <w:rFonts w:hint="eastAsia" w:ascii="宋体" w:hAnsi="宋体" w:eastAsia="宋体" w:cs="宋体"/>
          <w:b w:val="0"/>
          <w:bCs w:val="0"/>
          <w:color w:val="000000"/>
          <w:kern w:val="2"/>
          <w:sz w:val="28"/>
          <w:szCs w:val="28"/>
          <w:lang w:val="en-US" w:eastAsia="zh-CN" w:bidi="ar-SA"/>
        </w:rPr>
        <w:t>补充</w:t>
      </w:r>
      <w:r>
        <w:rPr>
          <w:rFonts w:hint="default" w:ascii="宋体" w:hAnsi="宋体" w:eastAsia="宋体" w:cs="宋体"/>
          <w:b w:val="0"/>
          <w:bCs w:val="0"/>
          <w:color w:val="000000"/>
          <w:kern w:val="2"/>
          <w:sz w:val="28"/>
          <w:szCs w:val="28"/>
          <w:lang w:val="en-US" w:eastAsia="zh-CN" w:bidi="ar-SA"/>
        </w:rPr>
        <w:t>说明对直接客户</w:t>
      </w:r>
      <w:r>
        <w:rPr>
          <w:rFonts w:hint="eastAsia" w:ascii="宋体" w:hAnsi="宋体" w:eastAsia="宋体" w:cs="宋体"/>
          <w:b w:val="0"/>
          <w:bCs w:val="0"/>
          <w:color w:val="000000"/>
          <w:kern w:val="2"/>
          <w:sz w:val="28"/>
          <w:szCs w:val="28"/>
          <w:lang w:val="en-US" w:eastAsia="zh-CN" w:bidi="ar-SA"/>
        </w:rPr>
        <w:t>销售模式，包括但不限于</w:t>
      </w:r>
      <w:r>
        <w:rPr>
          <w:rFonts w:hint="eastAsia" w:ascii="宋体" w:hAnsi="宋体" w:eastAsia="宋体" w:cs="宋体"/>
          <w:b w:val="0"/>
          <w:bCs w:val="0"/>
          <w:color w:val="000000"/>
          <w:kern w:val="2"/>
          <w:sz w:val="28"/>
          <w:szCs w:val="28"/>
          <w:lang w:val="zh-CN" w:eastAsia="zh-CN" w:bidi="ar-SA"/>
        </w:rPr>
        <w:t>交货时点、</w:t>
      </w:r>
      <w:r>
        <w:rPr>
          <w:rFonts w:hint="default" w:ascii="宋体" w:hAnsi="宋体" w:eastAsia="宋体" w:cs="宋体"/>
          <w:b w:val="0"/>
          <w:bCs w:val="0"/>
          <w:color w:val="000000"/>
          <w:kern w:val="2"/>
          <w:sz w:val="28"/>
          <w:szCs w:val="28"/>
          <w:lang w:val="en-US" w:eastAsia="zh-CN" w:bidi="ar-SA"/>
        </w:rPr>
        <w:t>安装调试情况、</w:t>
      </w:r>
      <w:r>
        <w:rPr>
          <w:rFonts w:hint="eastAsia" w:ascii="宋体" w:hAnsi="宋体" w:eastAsia="宋体" w:cs="宋体"/>
          <w:b w:val="0"/>
          <w:bCs w:val="0"/>
          <w:color w:val="000000"/>
          <w:kern w:val="2"/>
          <w:sz w:val="28"/>
          <w:szCs w:val="28"/>
          <w:lang w:val="zh-CN" w:eastAsia="zh-CN" w:bidi="ar-SA"/>
        </w:rPr>
        <w:t>运费承担、验收程序、安全赔偿责任、退货政策、款项结算条款，并</w:t>
      </w:r>
      <w:r>
        <w:rPr>
          <w:rFonts w:hint="default" w:ascii="宋体" w:hAnsi="宋体" w:eastAsia="宋体" w:cs="宋体"/>
          <w:b w:val="0"/>
          <w:bCs w:val="0"/>
          <w:color w:val="000000"/>
          <w:kern w:val="2"/>
          <w:sz w:val="28"/>
          <w:szCs w:val="28"/>
          <w:lang w:val="en-US" w:eastAsia="zh-CN" w:bidi="ar-SA"/>
        </w:rPr>
        <w:t>结合</w:t>
      </w:r>
      <w:r>
        <w:rPr>
          <w:rFonts w:hint="eastAsia" w:ascii="宋体" w:hAnsi="宋体" w:eastAsia="宋体" w:cs="宋体"/>
          <w:b w:val="0"/>
          <w:bCs w:val="0"/>
          <w:color w:val="000000"/>
          <w:kern w:val="2"/>
          <w:sz w:val="28"/>
          <w:szCs w:val="28"/>
          <w:lang w:val="en-US" w:eastAsia="zh-CN" w:bidi="ar-SA"/>
        </w:rPr>
        <w:t>销售模式、合同条款等</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zh-CN" w:eastAsia="zh-CN" w:bidi="ar-SA"/>
        </w:rPr>
        <w:t>收入确认政策、收入确认时点及其合规性等</w:t>
      </w:r>
      <w:r>
        <w:rPr>
          <w:rFonts w:hint="default" w:ascii="宋体" w:hAnsi="宋体" w:eastAsia="宋体" w:cs="宋体"/>
          <w:b w:val="0"/>
          <w:bCs w:val="0"/>
          <w:color w:val="000000"/>
          <w:kern w:val="2"/>
          <w:sz w:val="28"/>
          <w:szCs w:val="28"/>
          <w:lang w:val="en-US" w:eastAsia="zh-CN" w:bidi="ar-SA"/>
        </w:rPr>
        <w:t>，销售确认时点是否存在充分外部支持性证据</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（4）对照同行业可比公司对相关产品的收入确认时点，说明与发行人对收入的确认时点是否存在重大差异；</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5</w:t>
      </w:r>
      <w:r>
        <w:rPr>
          <w:rFonts w:hint="eastAsia" w:ascii="宋体" w:hAnsi="宋体" w:eastAsia="宋体" w:cs="宋体"/>
          <w:b w:val="0"/>
          <w:bCs w:val="0"/>
          <w:color w:val="000000"/>
          <w:kern w:val="2"/>
          <w:sz w:val="28"/>
          <w:szCs w:val="28"/>
          <w:lang w:val="en-US" w:eastAsia="zh-CN" w:bidi="ar-SA"/>
        </w:rPr>
        <w:t>）结合售后服务政策，说明发行人售后服务是否自行提供，说明外协售后具体情况（如有），售后服务相关会计处理是否符合准则规定；</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6</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结合8层及以上板的应用场景说明该产品收入占比较高且金额逐期增长的原因与合理性；（7）补充说明服务器应收领域收入占比较高且逐年增长的原因与合理性，分析相关增长来源于新增客户还是既有客户；（8）</w:t>
      </w:r>
      <w:r>
        <w:rPr>
          <w:rFonts w:hint="eastAsia" w:ascii="宋体" w:hAnsi="宋体" w:eastAsia="宋体" w:cs="宋体"/>
          <w:b w:val="0"/>
          <w:bCs w:val="0"/>
          <w:color w:val="000000"/>
          <w:kern w:val="2"/>
          <w:sz w:val="28"/>
          <w:szCs w:val="28"/>
          <w:lang w:val="en-US" w:eastAsia="zh-CN" w:bidi="ar-SA"/>
        </w:rPr>
        <w:t>补充</w:t>
      </w:r>
      <w:r>
        <w:rPr>
          <w:rFonts w:hint="default" w:ascii="宋体" w:hAnsi="宋体" w:eastAsia="宋体" w:cs="宋体"/>
          <w:b w:val="0"/>
          <w:bCs w:val="0"/>
          <w:color w:val="000000"/>
          <w:kern w:val="2"/>
          <w:sz w:val="28"/>
          <w:szCs w:val="28"/>
          <w:lang w:val="en-US" w:eastAsia="zh-CN" w:bidi="ar-SA"/>
        </w:rPr>
        <w:t>说明发行人主营业务收入的季节性分布变动原因与合理性，是否存在期末突击确认收入的情况，是否与同行业可比公司存在较大差异；</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9</w:t>
      </w:r>
      <w:r>
        <w:rPr>
          <w:rFonts w:hint="eastAsia" w:ascii="宋体" w:hAnsi="宋体" w:eastAsia="宋体" w:cs="宋体"/>
          <w:b w:val="0"/>
          <w:bCs w:val="0"/>
          <w:color w:val="000000"/>
          <w:kern w:val="2"/>
          <w:sz w:val="28"/>
          <w:szCs w:val="28"/>
          <w:lang w:val="en-US" w:eastAsia="zh-CN" w:bidi="ar-SA"/>
        </w:rPr>
        <w:t>）说明报告期各期发生的退换货的金额、相关的会计处理，发行人对退货金额估算依据以及计提是否充足、具体会计处理</w:t>
      </w:r>
      <w:r>
        <w:rPr>
          <w:rFonts w:hint="default" w:ascii="宋体" w:hAnsi="宋体" w:eastAsia="宋体" w:cs="宋体"/>
          <w:b w:val="0"/>
          <w:bCs w:val="0"/>
          <w:color w:val="000000"/>
          <w:kern w:val="2"/>
          <w:sz w:val="28"/>
          <w:szCs w:val="28"/>
          <w:lang w:val="en-US" w:eastAsia="zh-CN" w:bidi="ar-SA"/>
        </w:rPr>
        <w:t>；（10）说明向贸易商销售的原因与合理性，贸易商是否实现终端销售。</w:t>
      </w:r>
      <w:r>
        <w:rPr>
          <w:rFonts w:hint="eastAsia" w:ascii="宋体" w:hAnsi="宋体" w:eastAsia="宋体" w:cs="宋体"/>
          <w:b w:val="0"/>
          <w:bCs w:val="0"/>
          <w:color w:val="000000"/>
          <w:kern w:val="2"/>
          <w:sz w:val="28"/>
          <w:szCs w:val="28"/>
          <w:lang w:val="en-US" w:eastAsia="zh-CN" w:bidi="ar-SA"/>
        </w:rPr>
        <w:t>请保荐机构和申报会计师对前述事项发表意见，并说明对发行人各类客户核查的情况，包括但不限于核查方法、数量、收入占比、核查结果是否存在差异并对差异说明原因。</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8、</w:t>
      </w:r>
      <w:r>
        <w:rPr>
          <w:rFonts w:hint="eastAsia" w:ascii="宋体" w:hAnsi="宋体" w:eastAsia="宋体" w:cs="宋体"/>
          <w:b w:val="0"/>
          <w:bCs w:val="0"/>
          <w:color w:val="000000"/>
          <w:kern w:val="2"/>
          <w:sz w:val="28"/>
          <w:szCs w:val="28"/>
          <w:lang w:val="en-US" w:eastAsia="zh-CN" w:bidi="ar-SA"/>
        </w:rPr>
        <w:t>报告期各期，发行人主营业务成本分别为102,248.26万元、122,177.93万元和166,394.66万元</w:t>
      </w:r>
      <w:r>
        <w:rPr>
          <w:rFonts w:hint="default" w:ascii="宋体" w:hAnsi="宋体" w:eastAsia="宋体" w:cs="宋体"/>
          <w:b w:val="0"/>
          <w:bCs w:val="0"/>
          <w:color w:val="000000"/>
          <w:kern w:val="2"/>
          <w:sz w:val="28"/>
          <w:szCs w:val="28"/>
          <w:lang w:val="en-US" w:eastAsia="zh-CN" w:bidi="ar-SA"/>
        </w:rPr>
        <w:t>，直接材料占比超过60%</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请发行人：（1）说明主营业务成本变动趋势与收入存在差异的原因与合理性；</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2</w:t>
      </w:r>
      <w:r>
        <w:rPr>
          <w:rFonts w:hint="eastAsia" w:ascii="宋体" w:hAnsi="宋体" w:eastAsia="宋体" w:cs="宋体"/>
          <w:b w:val="0"/>
          <w:bCs w:val="0"/>
          <w:color w:val="000000"/>
          <w:kern w:val="2"/>
          <w:sz w:val="28"/>
          <w:szCs w:val="28"/>
          <w:lang w:val="en-US" w:eastAsia="zh-CN" w:bidi="ar-SA"/>
        </w:rPr>
        <w:t>）量化分析说明报告期内主营业务成本各明细科目波动原因，</w:t>
      </w:r>
      <w:r>
        <w:rPr>
          <w:rFonts w:hint="default" w:ascii="宋体" w:hAnsi="宋体" w:eastAsia="宋体" w:cs="宋体"/>
          <w:b w:val="0"/>
          <w:bCs w:val="0"/>
          <w:color w:val="000000"/>
          <w:kern w:val="2"/>
          <w:sz w:val="28"/>
          <w:szCs w:val="28"/>
          <w:lang w:val="en-US" w:eastAsia="zh-CN" w:bidi="ar-SA"/>
        </w:rPr>
        <w:t>分析成本变动的原因与合理性</w:t>
      </w:r>
      <w:r>
        <w:rPr>
          <w:rFonts w:hint="eastAsia"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3</w:t>
      </w:r>
      <w:r>
        <w:rPr>
          <w:rFonts w:hint="eastAsia"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en-US" w:eastAsia="zh-CN" w:bidi="ar-SA"/>
        </w:rPr>
        <w:t>结合具体业务流程补充</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en-US" w:eastAsia="zh-CN" w:bidi="ar-SA"/>
        </w:rPr>
        <w:t>公司成本核算流程和方法，直接材料、人工费用、制造费用的归集和分配方法，产品成本结转方法，是否符合企业会计准则相关要求</w:t>
      </w:r>
      <w:r>
        <w:rPr>
          <w:rFonts w:hint="eastAsia" w:ascii="宋体" w:hAnsi="宋体" w:eastAsia="宋体" w:cs="宋体"/>
          <w:b w:val="0"/>
          <w:bCs w:val="0"/>
          <w:color w:val="000000"/>
          <w:kern w:val="2"/>
          <w:sz w:val="28"/>
          <w:szCs w:val="28"/>
          <w:lang w:val="zh-CN" w:eastAsia="zh-CN" w:bidi="ar-SA"/>
        </w:rPr>
        <w:t>补充</w:t>
      </w:r>
      <w:r>
        <w:rPr>
          <w:rFonts w:hint="default" w:ascii="宋体" w:hAnsi="宋体" w:eastAsia="宋体" w:cs="宋体"/>
          <w:b w:val="0"/>
          <w:bCs w:val="0"/>
          <w:color w:val="000000"/>
          <w:kern w:val="2"/>
          <w:sz w:val="28"/>
          <w:szCs w:val="28"/>
          <w:lang w:val="en-US" w:eastAsia="zh-CN" w:bidi="ar-SA"/>
        </w:rPr>
        <w:t>说明生产成本中各产品</w:t>
      </w:r>
      <w:r>
        <w:rPr>
          <w:rFonts w:hint="eastAsia" w:ascii="宋体" w:hAnsi="宋体" w:eastAsia="宋体" w:cs="宋体"/>
          <w:b w:val="0"/>
          <w:bCs w:val="0"/>
          <w:color w:val="000000"/>
          <w:kern w:val="2"/>
          <w:sz w:val="28"/>
          <w:szCs w:val="28"/>
          <w:lang w:val="zh-CN" w:eastAsia="zh-CN" w:bidi="ar-SA"/>
        </w:rPr>
        <w:t>的直接材料的主要构成、变动原因；（</w:t>
      </w:r>
      <w:r>
        <w:rPr>
          <w:rFonts w:hint="default" w:ascii="宋体" w:hAnsi="宋体" w:eastAsia="宋体" w:cs="宋体"/>
          <w:b w:val="0"/>
          <w:bCs w:val="0"/>
          <w:color w:val="000000"/>
          <w:kern w:val="2"/>
          <w:sz w:val="28"/>
          <w:szCs w:val="28"/>
          <w:lang w:val="en-US" w:eastAsia="zh-CN" w:bidi="ar-SA"/>
        </w:rPr>
        <w:t>4</w:t>
      </w:r>
      <w:r>
        <w:rPr>
          <w:rFonts w:hint="eastAsia" w:ascii="宋体" w:hAnsi="宋体" w:eastAsia="宋体" w:cs="宋体"/>
          <w:b w:val="0"/>
          <w:bCs w:val="0"/>
          <w:color w:val="000000"/>
          <w:kern w:val="2"/>
          <w:sz w:val="28"/>
          <w:szCs w:val="28"/>
          <w:lang w:val="zh-CN" w:eastAsia="zh-CN" w:bidi="ar-SA"/>
        </w:rPr>
        <w:t>）请结合销量、原材料价格变动情况</w:t>
      </w:r>
      <w:r>
        <w:rPr>
          <w:rFonts w:hint="default" w:ascii="宋体" w:hAnsi="宋体" w:eastAsia="宋体" w:cs="宋体"/>
          <w:b w:val="0"/>
          <w:bCs w:val="0"/>
          <w:color w:val="000000"/>
          <w:kern w:val="2"/>
          <w:sz w:val="28"/>
          <w:szCs w:val="28"/>
          <w:lang w:val="en-US" w:eastAsia="zh-CN" w:bidi="ar-SA"/>
        </w:rPr>
        <w:t>、成品采购情况，</w:t>
      </w:r>
      <w:r>
        <w:rPr>
          <w:rFonts w:hint="eastAsia" w:ascii="宋体" w:hAnsi="宋体" w:eastAsia="宋体" w:cs="宋体"/>
          <w:b w:val="0"/>
          <w:bCs w:val="0"/>
          <w:color w:val="000000"/>
          <w:kern w:val="2"/>
          <w:sz w:val="28"/>
          <w:szCs w:val="28"/>
          <w:lang w:val="zh-CN" w:eastAsia="zh-CN" w:bidi="ar-SA"/>
        </w:rPr>
        <w:t>量化</w:t>
      </w:r>
      <w:r>
        <w:rPr>
          <w:rFonts w:hint="default" w:ascii="宋体" w:hAnsi="宋体" w:eastAsia="宋体" w:cs="宋体"/>
          <w:b w:val="0"/>
          <w:bCs w:val="0"/>
          <w:color w:val="000000"/>
          <w:kern w:val="2"/>
          <w:sz w:val="28"/>
          <w:szCs w:val="28"/>
          <w:lang w:val="en-US" w:eastAsia="zh-CN" w:bidi="ar-SA"/>
        </w:rPr>
        <w:t>分析</w:t>
      </w:r>
      <w:r>
        <w:rPr>
          <w:rFonts w:hint="eastAsia" w:ascii="宋体" w:hAnsi="宋体" w:eastAsia="宋体" w:cs="宋体"/>
          <w:b w:val="0"/>
          <w:bCs w:val="0"/>
          <w:color w:val="000000"/>
          <w:kern w:val="2"/>
          <w:sz w:val="28"/>
          <w:szCs w:val="28"/>
          <w:lang w:val="zh-CN" w:eastAsia="zh-CN" w:bidi="ar-SA"/>
        </w:rPr>
        <w:t>发行人营业成本、</w:t>
      </w:r>
      <w:r>
        <w:rPr>
          <w:rFonts w:hint="default" w:ascii="宋体" w:hAnsi="宋体" w:eastAsia="宋体" w:cs="宋体"/>
          <w:b w:val="0"/>
          <w:bCs w:val="0"/>
          <w:color w:val="000000"/>
          <w:kern w:val="2"/>
          <w:sz w:val="28"/>
          <w:szCs w:val="28"/>
          <w:lang w:val="en-US" w:eastAsia="zh-CN" w:bidi="ar-SA"/>
        </w:rPr>
        <w:t>各类产品</w:t>
      </w:r>
      <w:r>
        <w:rPr>
          <w:rFonts w:hint="eastAsia" w:ascii="宋体" w:hAnsi="宋体" w:eastAsia="宋体" w:cs="宋体"/>
          <w:b w:val="0"/>
          <w:bCs w:val="0"/>
          <w:color w:val="000000"/>
          <w:kern w:val="2"/>
          <w:sz w:val="28"/>
          <w:szCs w:val="28"/>
          <w:lang w:val="zh-CN" w:eastAsia="zh-CN" w:bidi="ar-SA"/>
        </w:rPr>
        <w:t>直接材料成本、单位成本变动的原因及合理性；（</w:t>
      </w:r>
      <w:r>
        <w:rPr>
          <w:rFonts w:hint="default" w:ascii="宋体" w:hAnsi="宋体" w:eastAsia="宋体" w:cs="宋体"/>
          <w:b w:val="0"/>
          <w:bCs w:val="0"/>
          <w:color w:val="000000"/>
          <w:kern w:val="2"/>
          <w:sz w:val="28"/>
          <w:szCs w:val="28"/>
          <w:lang w:val="en-US" w:eastAsia="zh-CN" w:bidi="ar-SA"/>
        </w:rPr>
        <w:t>5</w:t>
      </w:r>
      <w:r>
        <w:rPr>
          <w:rFonts w:hint="eastAsia" w:ascii="宋体" w:hAnsi="宋体" w:eastAsia="宋体" w:cs="宋体"/>
          <w:b w:val="0"/>
          <w:bCs w:val="0"/>
          <w:color w:val="000000"/>
          <w:kern w:val="2"/>
          <w:sz w:val="28"/>
          <w:szCs w:val="28"/>
          <w:lang w:val="zh-CN" w:eastAsia="zh-CN" w:bidi="ar-SA"/>
        </w:rPr>
        <w:t>）请发行人结合报告期内工人人数变动、工人工资政策调整、工人平均工资的变化说明</w:t>
      </w:r>
      <w:r>
        <w:rPr>
          <w:rFonts w:hint="default" w:ascii="宋体" w:hAnsi="宋体" w:eastAsia="宋体" w:cs="宋体"/>
          <w:b w:val="0"/>
          <w:bCs w:val="0"/>
          <w:color w:val="000000"/>
          <w:kern w:val="2"/>
          <w:sz w:val="28"/>
          <w:szCs w:val="28"/>
          <w:lang w:val="en-US" w:eastAsia="zh-CN" w:bidi="ar-SA"/>
        </w:rPr>
        <w:t>人工成本</w:t>
      </w:r>
      <w:r>
        <w:rPr>
          <w:rFonts w:hint="eastAsia" w:ascii="宋体" w:hAnsi="宋体" w:eastAsia="宋体" w:cs="宋体"/>
          <w:b w:val="0"/>
          <w:bCs w:val="0"/>
          <w:color w:val="000000"/>
          <w:kern w:val="2"/>
          <w:sz w:val="28"/>
          <w:szCs w:val="28"/>
          <w:lang w:val="zh-CN" w:eastAsia="zh-CN" w:bidi="ar-SA"/>
        </w:rPr>
        <w:t>变动</w:t>
      </w:r>
      <w:r>
        <w:rPr>
          <w:rFonts w:hint="default" w:ascii="宋体" w:hAnsi="宋体" w:eastAsia="宋体" w:cs="宋体"/>
          <w:b w:val="0"/>
          <w:bCs w:val="0"/>
          <w:color w:val="000000"/>
          <w:kern w:val="2"/>
          <w:sz w:val="28"/>
          <w:szCs w:val="28"/>
          <w:lang w:val="en-US" w:eastAsia="zh-CN" w:bidi="ar-SA"/>
        </w:rPr>
        <w:t>的</w:t>
      </w:r>
      <w:r>
        <w:rPr>
          <w:rFonts w:hint="eastAsia" w:ascii="宋体" w:hAnsi="宋体" w:eastAsia="宋体" w:cs="宋体"/>
          <w:b w:val="0"/>
          <w:bCs w:val="0"/>
          <w:color w:val="000000"/>
          <w:kern w:val="2"/>
          <w:sz w:val="28"/>
          <w:szCs w:val="28"/>
          <w:lang w:val="zh-CN" w:eastAsia="zh-CN" w:bidi="ar-SA"/>
        </w:rPr>
        <w:t>合理性</w:t>
      </w:r>
      <w:r>
        <w:rPr>
          <w:rFonts w:hint="default" w:ascii="宋体" w:hAnsi="宋体" w:eastAsia="宋体" w:cs="宋体"/>
          <w:b w:val="0"/>
          <w:bCs w:val="0"/>
          <w:color w:val="000000"/>
          <w:kern w:val="2"/>
          <w:sz w:val="28"/>
          <w:szCs w:val="28"/>
          <w:lang w:val="en-US" w:eastAsia="zh-CN" w:bidi="ar-SA"/>
        </w:rPr>
        <w:t>，并说明直接人工成本金额及占比逐年下降，与收入增长趋势存在差异的原因与合理性</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6</w:t>
      </w:r>
      <w:r>
        <w:rPr>
          <w:rFonts w:hint="eastAsia" w:ascii="宋体" w:hAnsi="宋体" w:eastAsia="宋体" w:cs="宋体"/>
          <w:b w:val="0"/>
          <w:bCs w:val="0"/>
          <w:color w:val="000000"/>
          <w:kern w:val="2"/>
          <w:sz w:val="28"/>
          <w:szCs w:val="28"/>
          <w:lang w:val="zh-CN" w:eastAsia="zh-CN" w:bidi="ar-SA"/>
        </w:rPr>
        <w:t>）请补充</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zh-CN" w:eastAsia="zh-CN" w:bidi="ar-SA"/>
        </w:rPr>
        <w:t>制造费用的明细及各部分变动具体原因，并结合各期的产量情况说明水</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zh-CN" w:eastAsia="zh-CN" w:bidi="ar-SA"/>
        </w:rPr>
        <w:t>电、燃料的耗用是否合理</w:t>
      </w:r>
      <w:r>
        <w:rPr>
          <w:rFonts w:hint="default" w:ascii="宋体" w:hAnsi="宋体" w:eastAsia="宋体" w:cs="宋体"/>
          <w:b w:val="0"/>
          <w:bCs w:val="0"/>
          <w:color w:val="000000"/>
          <w:kern w:val="2"/>
          <w:sz w:val="28"/>
          <w:szCs w:val="28"/>
          <w:lang w:val="en-US" w:eastAsia="zh-CN" w:bidi="ar-SA"/>
        </w:rPr>
        <w:t>，说明制造费用波动趋势与收入增长趋势存在差异的原因与合理性；（7）结合发行人产能利用率、产销率等因素分析说明发行人主营业务成本变动的原因与合理性，是否与同行业可比公司存在较大差异，并分析原因；（8）结合</w:t>
      </w:r>
      <w:r>
        <w:rPr>
          <w:rFonts w:hint="eastAsia" w:ascii="宋体" w:hAnsi="宋体" w:eastAsia="宋体" w:cs="宋体"/>
          <w:b w:val="0"/>
          <w:bCs w:val="0"/>
          <w:color w:val="000000"/>
          <w:kern w:val="2"/>
          <w:sz w:val="28"/>
          <w:szCs w:val="28"/>
          <w:lang w:val="en-US" w:eastAsia="zh-CN" w:bidi="ar-SA"/>
        </w:rPr>
        <w:t>发行人合同中关于售后服务条款的约定情况，</w:t>
      </w:r>
      <w:r>
        <w:rPr>
          <w:rFonts w:hint="default" w:ascii="宋体" w:hAnsi="宋体" w:eastAsia="宋体" w:cs="宋体"/>
          <w:b w:val="0"/>
          <w:bCs w:val="0"/>
          <w:color w:val="000000"/>
          <w:kern w:val="2"/>
          <w:sz w:val="28"/>
          <w:szCs w:val="28"/>
          <w:lang w:val="en-US" w:eastAsia="zh-CN" w:bidi="ar-SA"/>
        </w:rPr>
        <w:t>说明对销售产品的售后服务情况，包括但不限于维修/调试频次、维修/调试产品金额占销售收入金额比例、维修/调试费用占比等，</w:t>
      </w:r>
      <w:r>
        <w:rPr>
          <w:rFonts w:hint="eastAsia" w:ascii="宋体" w:hAnsi="宋体" w:eastAsia="宋体" w:cs="宋体"/>
          <w:b w:val="0"/>
          <w:bCs w:val="0"/>
          <w:color w:val="000000"/>
          <w:kern w:val="2"/>
          <w:sz w:val="28"/>
          <w:szCs w:val="28"/>
          <w:lang w:val="en-US" w:eastAsia="zh-CN" w:bidi="ar-SA"/>
        </w:rPr>
        <w:t>是否与收入变动趋势存在较大差异，如存在，请分析并说明原因与合理性，并说明相关会计处理是否符合会计准则规定；（</w:t>
      </w:r>
      <w:r>
        <w:rPr>
          <w:rFonts w:hint="default" w:ascii="宋体" w:hAnsi="宋体" w:eastAsia="宋体" w:cs="宋体"/>
          <w:b w:val="0"/>
          <w:bCs w:val="0"/>
          <w:color w:val="000000"/>
          <w:kern w:val="2"/>
          <w:sz w:val="28"/>
          <w:szCs w:val="28"/>
          <w:lang w:val="en-US" w:eastAsia="zh-CN" w:bidi="ar-SA"/>
        </w:rPr>
        <w:t>9</w:t>
      </w:r>
      <w:r>
        <w:rPr>
          <w:rFonts w:hint="eastAsia" w:ascii="宋体" w:hAnsi="宋体" w:eastAsia="宋体" w:cs="宋体"/>
          <w:b w:val="0"/>
          <w:bCs w:val="0"/>
          <w:color w:val="000000"/>
          <w:kern w:val="2"/>
          <w:sz w:val="28"/>
          <w:szCs w:val="28"/>
          <w:lang w:val="en-US" w:eastAsia="zh-CN" w:bidi="ar-SA"/>
        </w:rPr>
        <w:t>）结合销售人员提供技术支持服务的具体情况，说明相关技术服务费用的归集情况及会计处理；（</w:t>
      </w:r>
      <w:r>
        <w:rPr>
          <w:rFonts w:hint="default" w:ascii="宋体" w:hAnsi="宋体" w:eastAsia="宋体" w:cs="宋体"/>
          <w:b w:val="0"/>
          <w:bCs w:val="0"/>
          <w:color w:val="000000"/>
          <w:kern w:val="2"/>
          <w:sz w:val="28"/>
          <w:szCs w:val="28"/>
          <w:lang w:val="en-US" w:eastAsia="zh-CN" w:bidi="ar-SA"/>
        </w:rPr>
        <w:t>10</w:t>
      </w:r>
      <w:r>
        <w:rPr>
          <w:rFonts w:hint="eastAsia" w:ascii="宋体" w:hAnsi="宋体" w:eastAsia="宋体" w:cs="宋体"/>
          <w:b w:val="0"/>
          <w:bCs w:val="0"/>
          <w:color w:val="000000"/>
          <w:kern w:val="2"/>
          <w:sz w:val="28"/>
          <w:szCs w:val="28"/>
          <w:lang w:val="en-US" w:eastAsia="zh-CN" w:bidi="ar-SA"/>
        </w:rPr>
        <w:t>）结合主要产品质保期说明发行人对相关预计负债的计提情况及会计处理情况，并说明计提是否充分；（</w:t>
      </w:r>
      <w:r>
        <w:rPr>
          <w:rFonts w:hint="default" w:ascii="宋体" w:hAnsi="宋体" w:eastAsia="宋体" w:cs="宋体"/>
          <w:b w:val="0"/>
          <w:bCs w:val="0"/>
          <w:color w:val="000000"/>
          <w:kern w:val="2"/>
          <w:sz w:val="28"/>
          <w:szCs w:val="28"/>
          <w:lang w:val="en-US" w:eastAsia="zh-CN" w:bidi="ar-SA"/>
        </w:rPr>
        <w:t>11</w:t>
      </w:r>
      <w:r>
        <w:rPr>
          <w:rFonts w:hint="eastAsia" w:ascii="宋体" w:hAnsi="宋体" w:eastAsia="宋体" w:cs="宋体"/>
          <w:b w:val="0"/>
          <w:bCs w:val="0"/>
          <w:color w:val="000000"/>
          <w:kern w:val="2"/>
          <w:sz w:val="28"/>
          <w:szCs w:val="28"/>
          <w:lang w:val="en-US" w:eastAsia="zh-CN" w:bidi="ar-SA"/>
        </w:rPr>
        <w:t>）发行人主要原材料外购件及金属材料，请结合相关产品供需情况及市场价格波动情况说明原材料波动对发行人业绩的影响情况，并充分提示相关风险。请保荐机构、会计师核查发行人成本核算的准确性、完整性，并</w:t>
      </w:r>
      <w:r>
        <w:rPr>
          <w:rFonts w:hint="default" w:ascii="宋体" w:hAnsi="宋体" w:eastAsia="宋体" w:cs="宋体"/>
          <w:b w:val="0"/>
          <w:bCs w:val="0"/>
          <w:color w:val="000000"/>
          <w:kern w:val="2"/>
          <w:sz w:val="28"/>
          <w:szCs w:val="28"/>
          <w:lang w:val="en-US" w:eastAsia="zh-CN" w:bidi="ar-SA"/>
        </w:rPr>
        <w:t>对前述问题逐条</w:t>
      </w:r>
      <w:r>
        <w:rPr>
          <w:rFonts w:hint="eastAsia" w:ascii="宋体" w:hAnsi="宋体" w:eastAsia="宋体" w:cs="宋体"/>
          <w:b w:val="0"/>
          <w:bCs w:val="0"/>
          <w:color w:val="000000"/>
          <w:kern w:val="2"/>
          <w:sz w:val="28"/>
          <w:szCs w:val="28"/>
          <w:lang w:val="en-US" w:eastAsia="zh-CN" w:bidi="ar-SA"/>
        </w:rPr>
        <w:t>发表明确意见。</w:t>
      </w:r>
    </w:p>
    <w:p>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Chars="0" w:firstLine="560" w:firstLineChars="200"/>
        <w:jc w:val="left"/>
        <w:textAlignment w:val="auto"/>
        <w:rPr>
          <w:rFonts w:hint="default" w:cs="宋体"/>
          <w:kern w:val="2"/>
          <w:sz w:val="28"/>
          <w:szCs w:val="20"/>
          <w:lang w:val="en-US" w:eastAsia="zh-CN"/>
        </w:rPr>
      </w:pPr>
      <w:r>
        <w:rPr>
          <w:rFonts w:hint="default" w:ascii="宋体" w:hAnsi="宋体" w:cs="宋体"/>
          <w:b w:val="0"/>
          <w:bCs w:val="0"/>
          <w:color w:val="000000"/>
          <w:kern w:val="2"/>
          <w:sz w:val="28"/>
          <w:szCs w:val="28"/>
          <w:lang w:eastAsia="zh-CN" w:bidi="ar-SA"/>
        </w:rPr>
        <w:t>9、</w:t>
      </w:r>
      <w:r>
        <w:rPr>
          <w:rFonts w:hint="default" w:ascii="宋体" w:hAnsi="宋体" w:eastAsia="宋体" w:cs="宋体"/>
          <w:b w:val="0"/>
          <w:bCs w:val="0"/>
          <w:color w:val="000000"/>
          <w:kern w:val="2"/>
          <w:sz w:val="28"/>
          <w:szCs w:val="28"/>
          <w:lang w:val="en-US" w:eastAsia="zh-CN" w:bidi="ar-SA"/>
        </w:rPr>
        <w:t>2019年和2020年，发行人主营业务毛利率较稳定，2021年，主营业务毛利率大幅下滑</w:t>
      </w:r>
      <w:r>
        <w:rPr>
          <w:rFonts w:hint="eastAsia" w:ascii="宋体" w:hAnsi="宋体" w:eastAsia="宋体" w:cs="宋体"/>
          <w:b w:val="0"/>
          <w:bCs w:val="0"/>
          <w:color w:val="000000"/>
          <w:kern w:val="2"/>
          <w:sz w:val="28"/>
          <w:szCs w:val="28"/>
          <w:lang w:val="zh-CN" w:eastAsia="zh-CN" w:bidi="ar-SA"/>
        </w:rPr>
        <w:t>。请发行人</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en-US" w:eastAsia="zh-CN" w:bidi="ar-SA"/>
        </w:rPr>
        <w:t>1</w:t>
      </w:r>
      <w:r>
        <w:rPr>
          <w:rFonts w:hint="eastAsia" w:ascii="宋体" w:hAnsi="宋体" w:eastAsia="宋体" w:cs="宋体"/>
          <w:b w:val="0"/>
          <w:bCs w:val="0"/>
          <w:color w:val="000000"/>
          <w:kern w:val="2"/>
          <w:sz w:val="28"/>
          <w:szCs w:val="28"/>
          <w:lang w:val="zh-CN" w:eastAsia="zh-CN" w:bidi="ar-SA"/>
        </w:rPr>
        <w:t>）结合可比公司的业务模式、产品结构等说明可比公司的选取依据及可比性；（</w:t>
      </w:r>
      <w:r>
        <w:rPr>
          <w:rFonts w:hint="eastAsia" w:ascii="宋体" w:hAnsi="宋体" w:eastAsia="宋体" w:cs="宋体"/>
          <w:b w:val="0"/>
          <w:bCs w:val="0"/>
          <w:color w:val="000000"/>
          <w:kern w:val="2"/>
          <w:sz w:val="28"/>
          <w:szCs w:val="28"/>
          <w:lang w:val="en-US" w:eastAsia="zh-CN" w:bidi="ar-SA"/>
        </w:rPr>
        <w:t>2</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结合发行人产品分布、行业竞争状况、行业地位及核心竞争力等</w:t>
      </w:r>
      <w:r>
        <w:rPr>
          <w:rFonts w:hint="eastAsia" w:ascii="宋体" w:hAnsi="宋体" w:eastAsia="宋体" w:cs="宋体"/>
          <w:b w:val="0"/>
          <w:bCs w:val="0"/>
          <w:color w:val="000000"/>
          <w:kern w:val="2"/>
          <w:sz w:val="28"/>
          <w:szCs w:val="28"/>
          <w:lang w:val="zh-CN" w:eastAsia="zh-CN" w:bidi="ar-SA"/>
        </w:rPr>
        <w:t>补充</w:t>
      </w:r>
      <w:r>
        <w:rPr>
          <w:rFonts w:hint="default" w:ascii="宋体" w:hAnsi="宋体" w:eastAsia="宋体" w:cs="宋体"/>
          <w:b w:val="0"/>
          <w:bCs w:val="0"/>
          <w:color w:val="000000"/>
          <w:kern w:val="2"/>
          <w:sz w:val="28"/>
          <w:szCs w:val="28"/>
          <w:lang w:val="en-US" w:eastAsia="zh-CN" w:bidi="ar-SA"/>
        </w:rPr>
        <w:t>说明发行人主营业务毛利率2021年大幅下滑的</w:t>
      </w:r>
      <w:r>
        <w:rPr>
          <w:rFonts w:hint="eastAsia" w:ascii="宋体" w:hAnsi="宋体" w:eastAsia="宋体" w:cs="宋体"/>
          <w:b w:val="0"/>
          <w:bCs w:val="0"/>
          <w:color w:val="000000"/>
          <w:kern w:val="2"/>
          <w:sz w:val="28"/>
          <w:szCs w:val="28"/>
          <w:lang w:val="zh-CN" w:eastAsia="zh-CN" w:bidi="ar-SA"/>
        </w:rPr>
        <w:t>原因及合理性；（</w:t>
      </w:r>
      <w:r>
        <w:rPr>
          <w:rFonts w:hint="default" w:ascii="宋体" w:hAnsi="宋体" w:eastAsia="宋体" w:cs="宋体"/>
          <w:b w:val="0"/>
          <w:bCs w:val="0"/>
          <w:color w:val="000000"/>
          <w:kern w:val="2"/>
          <w:sz w:val="28"/>
          <w:szCs w:val="28"/>
          <w:lang w:val="en-US" w:eastAsia="zh-CN" w:bidi="ar-SA"/>
        </w:rPr>
        <w:t>3</w:t>
      </w:r>
      <w:r>
        <w:rPr>
          <w:rFonts w:hint="eastAsia" w:ascii="宋体" w:hAnsi="宋体" w:eastAsia="宋体" w:cs="宋体"/>
          <w:b w:val="0"/>
          <w:bCs w:val="0"/>
          <w:color w:val="000000"/>
          <w:kern w:val="2"/>
          <w:sz w:val="28"/>
          <w:szCs w:val="28"/>
          <w:lang w:val="zh-CN" w:eastAsia="zh-CN" w:bidi="ar-SA"/>
        </w:rPr>
        <w:t>）定量分析各期原材料价格、单位耗用量、直接材料成本占单位成本比重对毛利率的影响，并进一步说明报告期内</w:t>
      </w:r>
      <w:r>
        <w:rPr>
          <w:rFonts w:hint="default" w:ascii="宋体" w:hAnsi="宋体" w:eastAsia="宋体" w:cs="宋体"/>
          <w:b w:val="0"/>
          <w:bCs w:val="0"/>
          <w:color w:val="000000"/>
          <w:kern w:val="2"/>
          <w:sz w:val="28"/>
          <w:szCs w:val="28"/>
          <w:lang w:val="en-US" w:eastAsia="zh-CN" w:bidi="ar-SA"/>
        </w:rPr>
        <w:t>各</w:t>
      </w:r>
      <w:r>
        <w:rPr>
          <w:rFonts w:hint="eastAsia" w:ascii="宋体" w:hAnsi="宋体" w:eastAsia="宋体" w:cs="宋体"/>
          <w:b w:val="0"/>
          <w:bCs w:val="0"/>
          <w:color w:val="000000"/>
          <w:kern w:val="2"/>
          <w:sz w:val="28"/>
          <w:szCs w:val="28"/>
          <w:lang w:val="zh-CN" w:eastAsia="zh-CN" w:bidi="ar-SA"/>
        </w:rPr>
        <w:t>产品毛利率的变动原因；（</w:t>
      </w:r>
      <w:r>
        <w:rPr>
          <w:rFonts w:hint="default" w:ascii="宋体" w:hAnsi="宋体" w:eastAsia="宋体" w:cs="宋体"/>
          <w:b w:val="0"/>
          <w:bCs w:val="0"/>
          <w:color w:val="000000"/>
          <w:kern w:val="2"/>
          <w:sz w:val="28"/>
          <w:szCs w:val="28"/>
          <w:lang w:val="en-US" w:eastAsia="zh-CN" w:bidi="ar-SA"/>
        </w:rPr>
        <w:t>4</w:t>
      </w:r>
      <w:r>
        <w:rPr>
          <w:rFonts w:hint="eastAsia" w:ascii="宋体" w:hAnsi="宋体" w:eastAsia="宋体" w:cs="宋体"/>
          <w:b w:val="0"/>
          <w:bCs w:val="0"/>
          <w:color w:val="000000"/>
          <w:kern w:val="2"/>
          <w:sz w:val="28"/>
          <w:szCs w:val="28"/>
          <w:lang w:val="zh-CN" w:eastAsia="zh-CN" w:bidi="ar-SA"/>
        </w:rPr>
        <w:t>）补充</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zh-CN" w:eastAsia="zh-CN" w:bidi="ar-SA"/>
        </w:rPr>
        <w:t>报告期</w:t>
      </w:r>
      <w:r>
        <w:rPr>
          <w:rFonts w:hint="default" w:ascii="宋体" w:hAnsi="宋体" w:eastAsia="宋体" w:cs="宋体"/>
          <w:b w:val="0"/>
          <w:bCs w:val="0"/>
          <w:color w:val="000000"/>
          <w:kern w:val="2"/>
          <w:sz w:val="28"/>
          <w:szCs w:val="28"/>
          <w:lang w:val="en-US" w:eastAsia="zh-CN" w:bidi="ar-SA"/>
        </w:rPr>
        <w:t>各期分客户</w:t>
      </w:r>
      <w:r>
        <w:rPr>
          <w:rFonts w:hint="eastAsia" w:ascii="宋体" w:hAnsi="宋体" w:eastAsia="宋体" w:cs="宋体"/>
          <w:b w:val="0"/>
          <w:bCs w:val="0"/>
          <w:color w:val="000000"/>
          <w:kern w:val="2"/>
          <w:sz w:val="28"/>
          <w:szCs w:val="28"/>
          <w:lang w:val="zh-CN" w:eastAsia="zh-CN" w:bidi="ar-SA"/>
        </w:rPr>
        <w:t>的销售毛利率，</w:t>
      </w:r>
      <w:r>
        <w:rPr>
          <w:rFonts w:hint="default" w:ascii="宋体" w:hAnsi="宋体" w:eastAsia="宋体" w:cs="宋体"/>
          <w:b w:val="0"/>
          <w:bCs w:val="0"/>
          <w:color w:val="000000"/>
          <w:kern w:val="2"/>
          <w:sz w:val="28"/>
          <w:szCs w:val="28"/>
          <w:lang w:val="en-US" w:eastAsia="zh-CN" w:bidi="ar-SA"/>
        </w:rPr>
        <w:t>并分析各报告期毛利率</w:t>
      </w:r>
      <w:r>
        <w:rPr>
          <w:rFonts w:hint="eastAsia" w:ascii="宋体" w:hAnsi="宋体" w:eastAsia="宋体" w:cs="宋体"/>
          <w:b w:val="0"/>
          <w:bCs w:val="0"/>
          <w:color w:val="000000"/>
          <w:kern w:val="2"/>
          <w:sz w:val="28"/>
          <w:szCs w:val="28"/>
          <w:lang w:val="zh-CN" w:eastAsia="zh-CN" w:bidi="ar-SA"/>
        </w:rPr>
        <w:t>变动原因</w:t>
      </w:r>
      <w:r>
        <w:rPr>
          <w:rFonts w:hint="default" w:ascii="宋体" w:hAnsi="宋体" w:eastAsia="宋体" w:cs="宋体"/>
          <w:b w:val="0"/>
          <w:bCs w:val="0"/>
          <w:color w:val="000000"/>
          <w:kern w:val="2"/>
          <w:sz w:val="28"/>
          <w:szCs w:val="28"/>
          <w:lang w:val="en-US" w:eastAsia="zh-CN" w:bidi="ar-SA"/>
        </w:rPr>
        <w:t>，结合2022年上半年对主要客户的销售毛利率变动情况，分析毛利率是否存在持续下滑风险；（5）结合生产模式、业务模式、销售渠道和产品分布等因素进一步分析发行人毛利率低于同行业可比上市公司的原因与合理性</w:t>
      </w:r>
      <w:r>
        <w:rPr>
          <w:rFonts w:hint="eastAsia" w:ascii="宋体" w:hAnsi="宋体" w:eastAsia="宋体" w:cs="宋体"/>
          <w:b w:val="0"/>
          <w:bCs w:val="0"/>
          <w:color w:val="000000"/>
          <w:kern w:val="2"/>
          <w:sz w:val="28"/>
          <w:szCs w:val="28"/>
          <w:lang w:val="zh-CN" w:eastAsia="zh-CN" w:bidi="ar-SA"/>
        </w:rPr>
        <w:t>。请保荐机构、会计师核查上述事项，并发表明确意见。</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0" w:firstLineChars="200"/>
        <w:jc w:val="both"/>
        <w:textAlignment w:val="auto"/>
        <w:outlineLvl w:val="0"/>
        <w:rPr>
          <w:rFonts w:hint="default" w:ascii="Times New Roman" w:hAnsi="Times New Roman" w:eastAsia="黑体" w:cs="Times New Roman"/>
          <w:sz w:val="28"/>
          <w:lang w:val="en-US" w:eastAsia="zh-CN"/>
        </w:rPr>
      </w:pPr>
      <w:r>
        <w:rPr>
          <w:rFonts w:hint="default" w:cs="宋体"/>
          <w:kern w:val="2"/>
          <w:sz w:val="28"/>
          <w:szCs w:val="20"/>
          <w:lang w:val="en-US" w:eastAsia="zh-CN"/>
        </w:rPr>
        <w:t xml:space="preserve"> </w:t>
      </w:r>
      <w:r>
        <w:rPr>
          <w:rFonts w:hint="eastAsia" w:ascii="Times New Roman" w:hAnsi="Times New Roman" w:eastAsia="黑体" w:cs="Times New Roman"/>
          <w:sz w:val="28"/>
          <w:lang w:val="en-US" w:eastAsia="zh-CN"/>
        </w:rPr>
        <w:t>信息披露</w:t>
      </w:r>
      <w:r>
        <w:rPr>
          <w:rFonts w:hint="default" w:ascii="Times New Roman" w:hAnsi="Times New Roman" w:eastAsia="黑体" w:cs="Times New Roman"/>
          <w:sz w:val="28"/>
          <w:lang w:val="en-US" w:eastAsia="zh-CN"/>
        </w:rPr>
        <w:t>问题</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lang w:eastAsia="zh-CN"/>
        </w:rPr>
      </w:pPr>
      <w:r>
        <w:rPr>
          <w:rFonts w:hint="default" w:cs="宋体"/>
          <w:kern w:val="2"/>
          <w:sz w:val="28"/>
          <w:szCs w:val="20"/>
          <w:lang w:eastAsia="zh-CN"/>
        </w:rPr>
        <w:t>10、关于股东。发行人通过</w:t>
      </w:r>
      <w:r>
        <w:rPr>
          <w:rFonts w:hint="default" w:cs="宋体"/>
          <w:kern w:val="2"/>
          <w:sz w:val="28"/>
          <w:szCs w:val="20"/>
          <w:lang w:val="en-US" w:eastAsia="zh-CN"/>
        </w:rPr>
        <w:t>股东广谐投资、广生投资、广财投资</w:t>
      </w:r>
      <w:r>
        <w:rPr>
          <w:rFonts w:hint="default" w:cs="宋体"/>
          <w:kern w:val="2"/>
          <w:sz w:val="28"/>
          <w:szCs w:val="20"/>
          <w:lang w:eastAsia="zh-CN"/>
        </w:rPr>
        <w:t>进行股权激励</w:t>
      </w:r>
      <w:r>
        <w:rPr>
          <w:rFonts w:hint="default" w:cs="宋体"/>
          <w:kern w:val="2"/>
          <w:sz w:val="28"/>
          <w:szCs w:val="20"/>
          <w:lang w:val="en-US" w:eastAsia="zh-CN"/>
        </w:rPr>
        <w:t>。请发行人</w:t>
      </w:r>
      <w:r>
        <w:rPr>
          <w:rFonts w:hint="default" w:cs="宋体"/>
          <w:kern w:val="2"/>
          <w:sz w:val="28"/>
          <w:szCs w:val="20"/>
          <w:lang w:eastAsia="zh-CN"/>
        </w:rPr>
        <w:t>说明</w:t>
      </w:r>
      <w:r>
        <w:rPr>
          <w:rFonts w:hint="default" w:cs="宋体"/>
          <w:kern w:val="2"/>
          <w:sz w:val="28"/>
          <w:szCs w:val="20"/>
          <w:lang w:val="en-US" w:eastAsia="zh-CN"/>
        </w:rPr>
        <w:t>：（1）广谐投资、广生投资、广财投资合伙人在发行人的任职情况，</w:t>
      </w:r>
      <w:r>
        <w:rPr>
          <w:rFonts w:hint="default" w:cs="宋体"/>
          <w:kern w:val="2"/>
          <w:sz w:val="28"/>
          <w:szCs w:val="20"/>
          <w:lang w:eastAsia="zh-CN"/>
        </w:rPr>
        <w:t>设立多个股权激励平台的原因，</w:t>
      </w:r>
      <w:r>
        <w:rPr>
          <w:rFonts w:hint="default" w:cs="宋体"/>
          <w:kern w:val="2"/>
          <w:sz w:val="28"/>
          <w:szCs w:val="20"/>
          <w:lang w:val="en-US" w:eastAsia="zh-CN"/>
        </w:rPr>
        <w:t>是否存在外部投资人，未在发行人处任职的合伙人与发行人股东、董监高、客户、供应商及其股东之间的关系情况，员工持股平台合伙人与发行人股东、董监高、核心技术人员是否存在亲属关系、关联关系、委托持股关系。（2）广谐投资、广生投资、广财投资合伙人在平台内部的流转、退出机制</w:t>
      </w:r>
      <w:r>
        <w:rPr>
          <w:rFonts w:hint="default" w:cs="宋体"/>
          <w:kern w:val="2"/>
          <w:sz w:val="28"/>
          <w:szCs w:val="20"/>
          <w:lang w:eastAsia="zh-CN"/>
        </w:rPr>
        <w:t>、合伙份额的锁定期安排</w:t>
      </w:r>
      <w:r>
        <w:rPr>
          <w:rFonts w:hint="default" w:cs="宋体"/>
          <w:kern w:val="2"/>
          <w:sz w:val="28"/>
          <w:szCs w:val="20"/>
          <w:lang w:val="en-US" w:eastAsia="zh-CN"/>
        </w:rPr>
        <w:t>，以及股权管理机制。（3）合伙人出资款项来源及合法合规性，是否存在委托持股或其他利益安排，出资是否存在纠纷或潜在纠纷。（4）广谐投资、广生投资、广财投资出资发行人及历次股权变动是否构成股份支付及判断依据。请保荐机构和发行人律师核查并发表明确意见。</w:t>
      </w:r>
    </w:p>
    <w:p>
      <w:pPr>
        <w:pStyle w:val="10"/>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eastAsia="zh-CN"/>
        </w:rPr>
      </w:pPr>
      <w:r>
        <w:rPr>
          <w:rFonts w:hint="default" w:cs="宋体"/>
          <w:kern w:val="2"/>
          <w:sz w:val="28"/>
          <w:szCs w:val="20"/>
          <w:lang w:eastAsia="zh-CN"/>
        </w:rPr>
        <w:t>11、关于历史关联方。</w:t>
      </w:r>
      <w:r>
        <w:rPr>
          <w:rFonts w:hint="default" w:cs="宋体"/>
          <w:kern w:val="2"/>
          <w:sz w:val="28"/>
          <w:szCs w:val="20"/>
          <w:lang w:val="en-US" w:eastAsia="zh-CN"/>
        </w:rPr>
        <w:t>报告期内，发行人实际控制人</w:t>
      </w:r>
      <w:r>
        <w:rPr>
          <w:rFonts w:hint="default" w:cs="宋体"/>
          <w:kern w:val="2"/>
          <w:sz w:val="28"/>
          <w:szCs w:val="20"/>
          <w:lang w:eastAsia="zh-CN"/>
        </w:rPr>
        <w:t>持股或担任董事的多家关联公司注销</w:t>
      </w:r>
      <w:r>
        <w:rPr>
          <w:rFonts w:hint="default" w:cs="宋体"/>
          <w:kern w:val="2"/>
          <w:sz w:val="28"/>
          <w:szCs w:val="20"/>
          <w:lang w:val="en-US" w:eastAsia="zh-CN"/>
        </w:rPr>
        <w:t>。请</w:t>
      </w:r>
      <w:r>
        <w:rPr>
          <w:rFonts w:hint="default" w:cs="宋体"/>
          <w:kern w:val="2"/>
          <w:sz w:val="28"/>
          <w:szCs w:val="20"/>
          <w:lang w:eastAsia="zh-CN"/>
        </w:rPr>
        <w:t>发行人</w:t>
      </w:r>
      <w:r>
        <w:rPr>
          <w:rFonts w:hint="default" w:cs="宋体"/>
          <w:kern w:val="2"/>
          <w:sz w:val="28"/>
          <w:szCs w:val="20"/>
          <w:lang w:val="en-US" w:eastAsia="zh-CN"/>
        </w:rPr>
        <w:t>说明：</w:t>
      </w:r>
      <w:r>
        <w:rPr>
          <w:rFonts w:hint="default" w:cs="宋体"/>
          <w:kern w:val="2"/>
          <w:sz w:val="28"/>
          <w:szCs w:val="20"/>
          <w:lang w:eastAsia="zh-CN"/>
        </w:rPr>
        <w:t>（1）</w:t>
      </w:r>
      <w:r>
        <w:rPr>
          <w:rFonts w:hint="default" w:cs="宋体"/>
          <w:kern w:val="2"/>
          <w:sz w:val="28"/>
          <w:szCs w:val="20"/>
          <w:lang w:val="en-US" w:eastAsia="zh-CN"/>
        </w:rPr>
        <w:t>相关关联方注销的具体原因，最近一期的主要财务数据，注销后资产、业务、人员的去向，注销程序及债务处置的合规性</w:t>
      </w:r>
      <w:r>
        <w:rPr>
          <w:rFonts w:hint="default" w:cs="宋体"/>
          <w:kern w:val="2"/>
          <w:sz w:val="28"/>
          <w:szCs w:val="20"/>
          <w:lang w:eastAsia="zh-CN"/>
        </w:rPr>
        <w:t>。</w:t>
      </w:r>
      <w:r>
        <w:rPr>
          <w:rFonts w:hint="default" w:cs="宋体"/>
          <w:kern w:val="2"/>
          <w:sz w:val="28"/>
          <w:szCs w:val="20"/>
          <w:lang w:val="en-US" w:eastAsia="zh-CN"/>
        </w:rPr>
        <w:t>（2）是否存在为发行人代为承担成本费用等情况，上述企业实际经营的业务内容，是否曾与公司存在同业竞争或者关联交易。请保荐机构及发行人律师发表核查意见</w:t>
      </w:r>
      <w:r>
        <w:rPr>
          <w:rFonts w:hint="default" w:cs="宋体"/>
          <w:kern w:val="2"/>
          <w:sz w:val="28"/>
          <w:szCs w:val="20"/>
          <w:lang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12、关于发行人与BTI交易。</w:t>
      </w:r>
      <w:r>
        <w:rPr>
          <w:rFonts w:hint="default" w:cs="宋体"/>
          <w:kern w:val="2"/>
          <w:sz w:val="28"/>
          <w:szCs w:val="20"/>
          <w:lang w:val="en-US" w:eastAsia="zh-CN"/>
        </w:rPr>
        <w:t>自2016年起，</w:t>
      </w:r>
      <w:r>
        <w:rPr>
          <w:rFonts w:hint="default" w:cs="宋体"/>
          <w:kern w:val="2"/>
          <w:sz w:val="28"/>
          <w:szCs w:val="20"/>
          <w:lang w:eastAsia="zh-CN"/>
        </w:rPr>
        <w:t>发行人</w:t>
      </w:r>
      <w:r>
        <w:rPr>
          <w:rFonts w:hint="default" w:cs="宋体"/>
          <w:kern w:val="2"/>
          <w:sz w:val="28"/>
          <w:szCs w:val="20"/>
          <w:lang w:val="en-US" w:eastAsia="zh-CN"/>
        </w:rPr>
        <w:t>对BTI关联方广元科技、广大科技的PCB业务、经营性资产进行整合。</w:t>
      </w:r>
      <w:r>
        <w:rPr>
          <w:rFonts w:hint="default" w:cs="宋体"/>
          <w:kern w:val="2"/>
          <w:sz w:val="28"/>
          <w:szCs w:val="20"/>
          <w:lang w:eastAsia="zh-CN"/>
        </w:rPr>
        <w:t>2016年起，发行人</w:t>
      </w:r>
      <w:r>
        <w:rPr>
          <w:rFonts w:hint="default" w:cs="宋体"/>
          <w:kern w:val="2"/>
          <w:sz w:val="28"/>
          <w:szCs w:val="20"/>
          <w:lang w:val="en-US" w:eastAsia="zh-CN"/>
        </w:rPr>
        <w:t>通过BTI对外销售并承担运营费用</w:t>
      </w:r>
      <w:r>
        <w:rPr>
          <w:rFonts w:hint="default" w:cs="宋体"/>
          <w:kern w:val="2"/>
          <w:sz w:val="28"/>
          <w:szCs w:val="20"/>
          <w:lang w:eastAsia="zh-CN"/>
        </w:rPr>
        <w:t>，</w:t>
      </w:r>
      <w:r>
        <w:rPr>
          <w:rFonts w:hint="default" w:cs="宋体"/>
          <w:kern w:val="2"/>
          <w:sz w:val="28"/>
          <w:szCs w:val="20"/>
          <w:lang w:val="en-US" w:eastAsia="zh-CN"/>
        </w:rPr>
        <w:t>2019年BTI配合将其客户资源转移至公司在香港设立的子公司</w:t>
      </w:r>
      <w:r>
        <w:rPr>
          <w:rFonts w:hint="default" w:cs="宋体"/>
          <w:kern w:val="2"/>
          <w:sz w:val="28"/>
          <w:szCs w:val="20"/>
          <w:lang w:eastAsia="zh-CN"/>
        </w:rPr>
        <w:t>。请发行人说明：（1）对</w:t>
      </w:r>
      <w:r>
        <w:rPr>
          <w:rFonts w:hint="default" w:cs="宋体"/>
          <w:kern w:val="2"/>
          <w:sz w:val="28"/>
          <w:szCs w:val="20"/>
          <w:lang w:val="en-US" w:eastAsia="zh-CN"/>
        </w:rPr>
        <w:t>BTI关联方广元科技、广大科技</w:t>
      </w:r>
      <w:r>
        <w:rPr>
          <w:rFonts w:hint="default" w:cs="宋体"/>
          <w:kern w:val="2"/>
          <w:sz w:val="28"/>
          <w:szCs w:val="20"/>
          <w:lang w:eastAsia="zh-CN"/>
        </w:rPr>
        <w:t>进行整合的具体情况，包括整合的背景、原因，整合时上述企业的基本情况，与发行人主营业务的关系，整合的具体过程及履行程序的合规性，对相关资产的评估情况，支付的对价及公允性、是否已支付完毕，是否存在纠纷或潜在纠纷。（2）发行人与BTI</w:t>
      </w:r>
      <w:r>
        <w:rPr>
          <w:rFonts w:hint="default" w:cs="宋体"/>
          <w:kern w:val="2"/>
          <w:sz w:val="28"/>
          <w:szCs w:val="20"/>
          <w:lang w:val="en-US" w:eastAsia="zh-CN"/>
        </w:rPr>
        <w:t>签订《采购框架协议》</w:t>
      </w:r>
      <w:r>
        <w:rPr>
          <w:rFonts w:hint="default" w:cs="宋体"/>
          <w:kern w:val="2"/>
          <w:sz w:val="28"/>
          <w:szCs w:val="20"/>
          <w:lang w:eastAsia="zh-CN"/>
        </w:rPr>
        <w:t>的背景、原因，发行人实际控制权变更后BTI对发行人是否提供技术、资金、人员、客户资源、渠道等支持，发行人通过BTI代理销售的原因，BTI是否实质上控制发行人客户资源，结合2016年以来通过BTI代理实现的销售收入及占比情况，说明发行人是否具有独立拓展客户、获取订单的能力，是否对BTI存在重大依赖。（3）发行人承担的运营费用定价依据及公允性，通过BTI代理销售是否符合行业惯例，代理运营费率和同行业相关是否存在差异。（4）</w:t>
      </w:r>
      <w:r>
        <w:rPr>
          <w:rFonts w:hint="default" w:cs="宋体"/>
          <w:kern w:val="2"/>
          <w:sz w:val="28"/>
          <w:szCs w:val="20"/>
          <w:lang w:val="en-US" w:eastAsia="zh-CN"/>
        </w:rPr>
        <w:t>2019年BTI将其客户资源转移至公司在香港设立的子公司</w:t>
      </w:r>
      <w:r>
        <w:rPr>
          <w:rFonts w:hint="default" w:cs="宋体"/>
          <w:kern w:val="2"/>
          <w:sz w:val="28"/>
          <w:szCs w:val="20"/>
          <w:lang w:eastAsia="zh-CN"/>
        </w:rPr>
        <w:t>的原因，转移对价的定价依据及公允性，</w:t>
      </w:r>
      <w:r>
        <w:rPr>
          <w:rFonts w:hint="default" w:cs="宋体"/>
          <w:kern w:val="2"/>
          <w:sz w:val="28"/>
          <w:szCs w:val="20"/>
          <w:lang w:val="en-US" w:eastAsia="zh-CN"/>
        </w:rPr>
        <w:t>BTI</w:t>
      </w:r>
      <w:r>
        <w:rPr>
          <w:rFonts w:hint="default" w:cs="宋体"/>
          <w:kern w:val="2"/>
          <w:sz w:val="28"/>
          <w:szCs w:val="20"/>
          <w:lang w:eastAsia="zh-CN"/>
        </w:rPr>
        <w:t>与发行人及其关联方是否存在香港子公司股权代持、协议控制等相关约定，转移完成后</w:t>
      </w:r>
      <w:r>
        <w:rPr>
          <w:rFonts w:hint="default" w:cs="宋体"/>
          <w:kern w:val="2"/>
          <w:sz w:val="28"/>
          <w:szCs w:val="20"/>
          <w:lang w:val="en-US" w:eastAsia="zh-CN"/>
        </w:rPr>
        <w:t>BTI</w:t>
      </w:r>
      <w:r>
        <w:rPr>
          <w:rFonts w:hint="default" w:cs="宋体"/>
          <w:kern w:val="2"/>
          <w:sz w:val="28"/>
          <w:szCs w:val="20"/>
          <w:lang w:eastAsia="zh-CN"/>
        </w:rPr>
        <w:t>是否仍实质控制发行人香港子公司及相关客户资源。（5）</w:t>
      </w:r>
      <w:r>
        <w:rPr>
          <w:rFonts w:hint="default" w:cs="宋体"/>
          <w:kern w:val="2"/>
          <w:sz w:val="28"/>
          <w:szCs w:val="20"/>
          <w:lang w:val="en-US" w:eastAsia="zh-CN"/>
        </w:rPr>
        <w:t>BTI</w:t>
      </w:r>
      <w:r>
        <w:rPr>
          <w:rFonts w:hint="default" w:cs="宋体"/>
          <w:kern w:val="2"/>
          <w:sz w:val="28"/>
          <w:szCs w:val="20"/>
          <w:lang w:eastAsia="zh-CN"/>
        </w:rPr>
        <w:t>代理的主要客户基本情况、收入及占比，</w:t>
      </w:r>
      <w:r>
        <w:rPr>
          <w:rFonts w:hint="default" w:cs="宋体"/>
          <w:kern w:val="2"/>
          <w:sz w:val="28"/>
          <w:szCs w:val="20"/>
          <w:lang w:val="en-US" w:eastAsia="zh-CN"/>
        </w:rPr>
        <w:t>BTI客户资源转移</w:t>
      </w:r>
      <w:r>
        <w:rPr>
          <w:rFonts w:hint="default" w:cs="宋体"/>
          <w:kern w:val="2"/>
          <w:sz w:val="28"/>
          <w:szCs w:val="20"/>
          <w:lang w:eastAsia="zh-CN"/>
        </w:rPr>
        <w:t>后是否存在客户终止合作情形，发行人对相关客户的收入、单价、毛利率、信用政策、结算方式和回款情况是否存在重大不利变化。请保荐机构、发行人律师及申报会计师核查并发表明确意见。请保荐机构、申报会计师说明对发行人及关联方与</w:t>
      </w:r>
      <w:r>
        <w:rPr>
          <w:rFonts w:hint="default" w:cs="宋体"/>
          <w:kern w:val="2"/>
          <w:sz w:val="28"/>
          <w:szCs w:val="20"/>
          <w:lang w:val="en-US" w:eastAsia="zh-CN"/>
        </w:rPr>
        <w:t>BTI</w:t>
      </w:r>
      <w:r>
        <w:rPr>
          <w:rFonts w:hint="default" w:cs="宋体"/>
          <w:kern w:val="2"/>
          <w:sz w:val="28"/>
          <w:szCs w:val="20"/>
          <w:lang w:eastAsia="zh-CN"/>
        </w:rPr>
        <w:t>及关联方之间资金流水核查情况。</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13、关于房产土地。发行人存在加建餐厅、部分租赁房产未取得产权证书情形。请发行人说明：（1）</w:t>
      </w:r>
      <w:r>
        <w:rPr>
          <w:rFonts w:hint="default" w:cs="宋体"/>
          <w:kern w:val="2"/>
          <w:sz w:val="28"/>
          <w:szCs w:val="20"/>
          <w:lang w:val="en-US" w:eastAsia="zh-CN"/>
        </w:rPr>
        <w:t>发行人自有土地使用权取得过程是否合规，是否符合规划用途；自建房屋</w:t>
      </w:r>
      <w:r>
        <w:rPr>
          <w:rFonts w:hint="default" w:cs="宋体"/>
          <w:kern w:val="2"/>
          <w:sz w:val="28"/>
          <w:szCs w:val="20"/>
          <w:lang w:eastAsia="zh-CN"/>
        </w:rPr>
        <w:t>是否均已</w:t>
      </w:r>
      <w:r>
        <w:rPr>
          <w:rFonts w:hint="default" w:cs="宋体"/>
          <w:kern w:val="2"/>
          <w:sz w:val="28"/>
          <w:szCs w:val="20"/>
          <w:lang w:val="en-US" w:eastAsia="zh-CN"/>
        </w:rPr>
        <w:t>取得产权证书、是否属于合法建筑、是否可能被行政处罚、是否构成重大违法行为。（2）租赁</w:t>
      </w:r>
      <w:r>
        <w:rPr>
          <w:rFonts w:hint="default" w:cs="宋体"/>
          <w:kern w:val="2"/>
          <w:sz w:val="28"/>
          <w:szCs w:val="20"/>
          <w:lang w:eastAsia="zh-CN"/>
        </w:rPr>
        <w:t>房屋</w:t>
      </w:r>
      <w:r>
        <w:rPr>
          <w:rFonts w:hint="default" w:cs="宋体"/>
          <w:kern w:val="2"/>
          <w:sz w:val="28"/>
          <w:szCs w:val="20"/>
          <w:lang w:val="en-US" w:eastAsia="zh-CN"/>
        </w:rPr>
        <w:t>是否符合土地房产用途，瑕疵</w:t>
      </w:r>
      <w:r>
        <w:rPr>
          <w:rFonts w:hint="default" w:cs="宋体"/>
          <w:kern w:val="2"/>
          <w:sz w:val="28"/>
          <w:szCs w:val="20"/>
          <w:lang w:eastAsia="zh-CN"/>
        </w:rPr>
        <w:t>租赁房产面积及占比，对发行人生产经营的影响程度，</w:t>
      </w:r>
      <w:r>
        <w:rPr>
          <w:rFonts w:hint="default" w:cs="宋体"/>
          <w:kern w:val="2"/>
          <w:sz w:val="28"/>
          <w:szCs w:val="20"/>
          <w:lang w:val="en-US" w:eastAsia="zh-CN"/>
        </w:rPr>
        <w:t>是否对发行人持续经营构成重大影响。（3）如因瑕疵不动产相关问题被处罚的责任承担主体、搬迁的费用及承担主体、有无下一步解决措施等，发行人是否存在受到行政处罚或生产经营受阻的可能，并补充披露相关风险提示。请保荐机构及发行人律师</w:t>
      </w:r>
      <w:r>
        <w:rPr>
          <w:rFonts w:hint="default" w:cs="宋体"/>
          <w:kern w:val="2"/>
          <w:sz w:val="28"/>
          <w:szCs w:val="20"/>
          <w:lang w:eastAsia="zh-CN"/>
        </w:rPr>
        <w:t>核查并</w:t>
      </w:r>
      <w:r>
        <w:rPr>
          <w:rFonts w:hint="default" w:cs="宋体"/>
          <w:kern w:val="2"/>
          <w:sz w:val="28"/>
          <w:szCs w:val="20"/>
          <w:lang w:val="en-US" w:eastAsia="zh-CN"/>
        </w:rPr>
        <w:t>发表明确意见</w:t>
      </w:r>
      <w:r>
        <w:rPr>
          <w:rFonts w:hint="default" w:cs="宋体"/>
          <w:kern w:val="2"/>
          <w:sz w:val="28"/>
          <w:szCs w:val="20"/>
          <w:lang w:eastAsia="zh-CN"/>
        </w:rPr>
        <w:t>。</w:t>
      </w:r>
    </w:p>
    <w:p>
      <w:pPr>
        <w:pStyle w:val="10"/>
        <w:keepNext w:val="0"/>
        <w:keepLines w:val="0"/>
        <w:pageBreakBefore w:val="0"/>
        <w:widowControl w:val="0"/>
        <w:kinsoku/>
        <w:wordWrap/>
        <w:overflowPunct/>
        <w:topLinePunct w:val="0"/>
        <w:autoSpaceDE/>
        <w:autoSpaceDN/>
        <w:bidi w:val="0"/>
        <w:adjustRightInd/>
        <w:snapToGrid/>
        <w:spacing w:after="0" w:line="460" w:lineRule="exact"/>
        <w:ind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14、关于劳动用工。</w:t>
      </w:r>
      <w:r>
        <w:rPr>
          <w:rFonts w:hint="default" w:cs="宋体"/>
          <w:kern w:val="2"/>
          <w:sz w:val="28"/>
          <w:szCs w:val="20"/>
          <w:lang w:val="en-US" w:eastAsia="zh-CN"/>
        </w:rPr>
        <w:t>发行人未为部分员工缴纳社会保险</w:t>
      </w:r>
      <w:r>
        <w:rPr>
          <w:rFonts w:hint="default" w:cs="宋体"/>
          <w:kern w:val="2"/>
          <w:sz w:val="28"/>
          <w:szCs w:val="20"/>
          <w:lang w:eastAsia="zh-CN"/>
        </w:rPr>
        <w:t>和公积金，同时</w:t>
      </w:r>
      <w:r>
        <w:rPr>
          <w:rFonts w:hint="default" w:cs="宋体"/>
          <w:kern w:val="2"/>
          <w:sz w:val="28"/>
          <w:szCs w:val="20"/>
          <w:lang w:val="en-US" w:eastAsia="zh-CN"/>
        </w:rPr>
        <w:t>存在使用劳务派遣工的情况</w:t>
      </w:r>
      <w:r>
        <w:rPr>
          <w:rFonts w:hint="default" w:cs="宋体"/>
          <w:kern w:val="2"/>
          <w:sz w:val="28"/>
          <w:szCs w:val="20"/>
          <w:lang w:eastAsia="zh-CN"/>
        </w:rPr>
        <w:t>。</w:t>
      </w:r>
      <w:r>
        <w:rPr>
          <w:rFonts w:hint="default" w:cs="宋体"/>
          <w:kern w:val="2"/>
          <w:sz w:val="28"/>
          <w:szCs w:val="20"/>
          <w:lang w:val="en-US" w:eastAsia="zh-CN"/>
        </w:rPr>
        <w:t>请发行人：（1）说明如足额缴纳社会保险</w:t>
      </w:r>
      <w:r>
        <w:rPr>
          <w:rFonts w:hint="default" w:cs="宋体"/>
          <w:kern w:val="2"/>
          <w:sz w:val="28"/>
          <w:szCs w:val="20"/>
          <w:lang w:eastAsia="zh-CN"/>
        </w:rPr>
        <w:t>和公积金</w:t>
      </w:r>
      <w:r>
        <w:rPr>
          <w:rFonts w:hint="default" w:cs="宋体"/>
          <w:kern w:val="2"/>
          <w:sz w:val="28"/>
          <w:szCs w:val="20"/>
          <w:lang w:val="en-US" w:eastAsia="zh-CN"/>
        </w:rPr>
        <w:t>对</w:t>
      </w:r>
      <w:r>
        <w:rPr>
          <w:rFonts w:hint="default" w:cs="宋体"/>
          <w:kern w:val="2"/>
          <w:sz w:val="28"/>
          <w:szCs w:val="20"/>
          <w:lang w:eastAsia="zh-CN"/>
        </w:rPr>
        <w:t>发行人</w:t>
      </w:r>
      <w:r>
        <w:rPr>
          <w:rFonts w:hint="default" w:cs="宋体"/>
          <w:kern w:val="2"/>
          <w:sz w:val="28"/>
          <w:szCs w:val="20"/>
          <w:lang w:val="en-US" w:eastAsia="zh-CN"/>
        </w:rPr>
        <w:t>经营业绩的影响</w:t>
      </w:r>
      <w:r>
        <w:rPr>
          <w:rFonts w:hint="default" w:cs="宋体"/>
          <w:kern w:val="2"/>
          <w:sz w:val="28"/>
          <w:szCs w:val="20"/>
          <w:lang w:eastAsia="zh-CN"/>
        </w:rPr>
        <w:t>及</w:t>
      </w:r>
      <w:r>
        <w:rPr>
          <w:rFonts w:hint="default" w:cs="宋体"/>
          <w:kern w:val="2"/>
          <w:sz w:val="28"/>
          <w:szCs w:val="20"/>
          <w:lang w:val="en-US" w:eastAsia="zh-CN"/>
        </w:rPr>
        <w:t>应对方案</w:t>
      </w:r>
      <w:r>
        <w:rPr>
          <w:rFonts w:hint="default" w:cs="宋体"/>
          <w:kern w:val="2"/>
          <w:sz w:val="28"/>
          <w:szCs w:val="20"/>
          <w:lang w:eastAsia="zh-CN"/>
        </w:rPr>
        <w:t>，</w:t>
      </w:r>
      <w:r>
        <w:rPr>
          <w:rFonts w:hint="default" w:cs="宋体"/>
          <w:kern w:val="2"/>
          <w:sz w:val="28"/>
          <w:szCs w:val="20"/>
          <w:lang w:val="en-US" w:eastAsia="zh-CN"/>
        </w:rPr>
        <w:t>是否存在因违反社会保险、住房公积金相关法律法规而受到处罚的情形，是否构成重大违法行为。（</w:t>
      </w:r>
      <w:r>
        <w:rPr>
          <w:rFonts w:hint="default" w:cs="宋体"/>
          <w:kern w:val="2"/>
          <w:sz w:val="28"/>
          <w:szCs w:val="20"/>
          <w:lang w:eastAsia="zh-CN"/>
        </w:rPr>
        <w:t>2</w:t>
      </w:r>
      <w:r>
        <w:rPr>
          <w:rFonts w:hint="default" w:cs="宋体"/>
          <w:kern w:val="2"/>
          <w:sz w:val="28"/>
          <w:szCs w:val="20"/>
          <w:lang w:val="en-US" w:eastAsia="zh-CN"/>
        </w:rPr>
        <w:t>）</w:t>
      </w:r>
      <w:r>
        <w:rPr>
          <w:rFonts w:hint="default" w:cs="宋体"/>
          <w:kern w:val="2"/>
          <w:sz w:val="28"/>
          <w:szCs w:val="20"/>
          <w:lang w:eastAsia="zh-CN"/>
        </w:rPr>
        <w:t>说明报告期内劳务派遣用工人数逐年增长的原因，岗位分布、薪酬情况，劳务派遣单位情况、是否拥有相应业务资质，并说明是否符合我国劳务派遣相关法律法规的规定</w:t>
      </w:r>
      <w:r>
        <w:rPr>
          <w:rFonts w:hint="default" w:cs="宋体"/>
          <w:kern w:val="2"/>
          <w:sz w:val="28"/>
          <w:szCs w:val="20"/>
          <w:lang w:val="en-US" w:eastAsia="zh-CN"/>
        </w:rPr>
        <w:t>。请保荐机构、发行人律师核查并发表明确意见。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eastAsia" w:cs="宋体"/>
          <w:kern w:val="2"/>
          <w:sz w:val="28"/>
          <w:szCs w:val="20"/>
          <w:lang w:val="en-US" w:eastAsia="zh-CN"/>
        </w:rPr>
      </w:pPr>
      <w:r>
        <w:rPr>
          <w:rFonts w:hint="default" w:cs="宋体"/>
          <w:kern w:val="2"/>
          <w:sz w:val="28"/>
          <w:szCs w:val="20"/>
          <w:lang w:eastAsia="zh-CN"/>
        </w:rPr>
        <w:t>15</w:t>
      </w:r>
      <w:r>
        <w:rPr>
          <w:rFonts w:hint="default" w:cs="宋体"/>
          <w:kern w:val="2"/>
          <w:sz w:val="28"/>
          <w:szCs w:val="20"/>
          <w:lang w:val="en-US" w:eastAsia="zh-CN"/>
        </w:rPr>
        <w:t>、关于</w:t>
      </w:r>
      <w:r>
        <w:rPr>
          <w:rFonts w:hint="default" w:cs="宋体"/>
          <w:kern w:val="2"/>
          <w:sz w:val="28"/>
          <w:szCs w:val="20"/>
          <w:lang w:eastAsia="zh-CN"/>
        </w:rPr>
        <w:t>合规经营</w:t>
      </w:r>
      <w:r>
        <w:rPr>
          <w:rFonts w:hint="default" w:cs="宋体"/>
          <w:kern w:val="2"/>
          <w:sz w:val="28"/>
          <w:szCs w:val="20"/>
          <w:lang w:val="en-US" w:eastAsia="zh-CN"/>
        </w:rPr>
        <w:t>。2021年度因发行人</w:t>
      </w:r>
      <w:r>
        <w:rPr>
          <w:rFonts w:hint="eastAsia" w:cs="宋体"/>
          <w:kern w:val="2"/>
          <w:sz w:val="28"/>
          <w:szCs w:val="20"/>
          <w:lang w:val="en-US" w:eastAsia="zh-CN"/>
        </w:rPr>
        <w:t>税前扣除</w:t>
      </w:r>
      <w:r>
        <w:rPr>
          <w:rFonts w:hint="default" w:cs="宋体"/>
          <w:kern w:val="2"/>
          <w:sz w:val="28"/>
          <w:szCs w:val="20"/>
          <w:lang w:val="en-US" w:eastAsia="zh-CN"/>
        </w:rPr>
        <w:t>的</w:t>
      </w:r>
      <w:r>
        <w:rPr>
          <w:rFonts w:hint="eastAsia" w:cs="宋体"/>
          <w:kern w:val="2"/>
          <w:sz w:val="28"/>
          <w:szCs w:val="20"/>
          <w:lang w:val="en-US" w:eastAsia="zh-CN"/>
        </w:rPr>
        <w:t>相关发票被税务部门认定为不合规发票</w:t>
      </w:r>
      <w:r>
        <w:rPr>
          <w:rFonts w:hint="default" w:cs="宋体"/>
          <w:kern w:val="2"/>
          <w:sz w:val="28"/>
          <w:szCs w:val="20"/>
          <w:lang w:val="en-US" w:eastAsia="zh-CN"/>
        </w:rPr>
        <w:t>被税务机关要求</w:t>
      </w:r>
      <w:r>
        <w:rPr>
          <w:rFonts w:hint="eastAsia" w:cs="宋体"/>
          <w:kern w:val="2"/>
          <w:sz w:val="28"/>
          <w:szCs w:val="20"/>
          <w:lang w:val="zh-CN" w:eastAsia="zh-CN"/>
        </w:rPr>
        <w:t>补缴企业</w:t>
      </w:r>
      <w:r>
        <w:rPr>
          <w:rFonts w:hint="default" w:cs="宋体"/>
          <w:kern w:val="2"/>
          <w:sz w:val="28"/>
          <w:szCs w:val="20"/>
          <w:lang w:val="zh-CN" w:eastAsia="zh-CN"/>
        </w:rPr>
        <w:t>所得税</w:t>
      </w:r>
      <w:r>
        <w:rPr>
          <w:rFonts w:hint="eastAsia" w:cs="宋体"/>
          <w:kern w:val="2"/>
          <w:sz w:val="28"/>
          <w:szCs w:val="20"/>
          <w:lang w:val="zh-CN" w:eastAsia="zh-CN"/>
        </w:rPr>
        <w:t>1</w:t>
      </w:r>
      <w:r>
        <w:rPr>
          <w:rFonts w:hint="default" w:cs="宋体"/>
          <w:kern w:val="2"/>
          <w:sz w:val="28"/>
          <w:szCs w:val="20"/>
          <w:lang w:val="zh-CN" w:eastAsia="zh-CN"/>
        </w:rPr>
        <w:t>.23</w:t>
      </w:r>
      <w:r>
        <w:rPr>
          <w:rFonts w:hint="eastAsia" w:cs="宋体"/>
          <w:kern w:val="2"/>
          <w:sz w:val="28"/>
          <w:szCs w:val="20"/>
          <w:lang w:val="zh-CN" w:eastAsia="zh-CN"/>
        </w:rPr>
        <w:t>万元及</w:t>
      </w:r>
      <w:r>
        <w:rPr>
          <w:rFonts w:hint="default" w:cs="宋体"/>
          <w:kern w:val="2"/>
          <w:sz w:val="28"/>
          <w:szCs w:val="20"/>
          <w:lang w:val="zh-CN" w:eastAsia="zh-CN"/>
        </w:rPr>
        <w:t>滞纳金</w:t>
      </w:r>
      <w:r>
        <w:rPr>
          <w:rFonts w:hint="eastAsia" w:cs="宋体"/>
          <w:kern w:val="2"/>
          <w:sz w:val="28"/>
          <w:szCs w:val="20"/>
          <w:lang w:val="zh-CN" w:eastAsia="zh-CN"/>
        </w:rPr>
        <w:t>0</w:t>
      </w:r>
      <w:r>
        <w:rPr>
          <w:rFonts w:hint="default" w:cs="宋体"/>
          <w:kern w:val="2"/>
          <w:sz w:val="28"/>
          <w:szCs w:val="20"/>
          <w:lang w:val="zh-CN" w:eastAsia="zh-CN"/>
        </w:rPr>
        <w:t>.27</w:t>
      </w:r>
      <w:r>
        <w:rPr>
          <w:rFonts w:hint="eastAsia" w:cs="宋体"/>
          <w:kern w:val="2"/>
          <w:sz w:val="28"/>
          <w:szCs w:val="20"/>
          <w:lang w:val="zh-CN" w:eastAsia="zh-CN"/>
        </w:rPr>
        <w:t>万元</w:t>
      </w:r>
      <w:r>
        <w:rPr>
          <w:rFonts w:hint="default" w:cs="宋体"/>
          <w:kern w:val="2"/>
          <w:sz w:val="28"/>
          <w:szCs w:val="20"/>
          <w:lang w:val="en-US" w:eastAsia="zh-CN"/>
        </w:rPr>
        <w:t>。</w:t>
      </w:r>
      <w:r>
        <w:rPr>
          <w:rFonts w:hint="eastAsia" w:cs="宋体"/>
          <w:kern w:val="2"/>
          <w:sz w:val="28"/>
          <w:szCs w:val="20"/>
          <w:lang w:val="en-US" w:eastAsia="zh-CN"/>
        </w:rPr>
        <w:t>请发行人：（1）按照《首发业务若干问题解答》相关规定说明报告期内发行人、控股股东、实际控制人是否存在重大违法违规行为，是否对发行上市构成障碍。</w:t>
      </w:r>
      <w:r>
        <w:rPr>
          <w:rFonts w:hint="default" w:cs="宋体"/>
          <w:kern w:val="2"/>
          <w:sz w:val="28"/>
          <w:szCs w:val="20"/>
          <w:lang w:val="zh-CN" w:eastAsia="zh-CN"/>
        </w:rPr>
        <w:t>（2）说明发行人</w:t>
      </w:r>
      <w:r>
        <w:rPr>
          <w:rFonts w:hint="default" w:cs="宋体"/>
          <w:kern w:val="2"/>
          <w:sz w:val="28"/>
          <w:szCs w:val="20"/>
          <w:lang w:val="en-US" w:eastAsia="zh-CN"/>
        </w:rPr>
        <w:t>税前扣除不合规发票所涉</w:t>
      </w:r>
      <w:r>
        <w:rPr>
          <w:rFonts w:hint="default" w:cs="宋体"/>
          <w:kern w:val="2"/>
          <w:sz w:val="28"/>
          <w:szCs w:val="20"/>
          <w:lang w:val="zh-CN" w:eastAsia="zh-CN"/>
        </w:rPr>
        <w:t>事项具体内容、处罚依据、整改情况，并结合相关法律法规对违法行为的情节、性质、责任规定以及主管机关认定意见说明是否是否属于重大违法违规，是否构成本次发行上市障碍。</w:t>
      </w:r>
      <w:r>
        <w:rPr>
          <w:rFonts w:hint="eastAsia" w:cs="宋体"/>
          <w:kern w:val="2"/>
          <w:sz w:val="28"/>
          <w:szCs w:val="20"/>
          <w:lang w:val="en-US" w:eastAsia="zh-CN"/>
        </w:rPr>
        <w:t>（3）说明报告期内发行人是否发生产品质量事故或纠纷，是否因产品质量问题受到主管部门处罚或调查，本次申报报告期内发行人的产品质量安全相关检查、处罚、纠纷等情况是否已真实、准确、完整披露，相关风险揭示是否充分。（</w:t>
      </w:r>
      <w:r>
        <w:rPr>
          <w:rFonts w:hint="default" w:cs="宋体"/>
          <w:kern w:val="2"/>
          <w:sz w:val="28"/>
          <w:szCs w:val="20"/>
          <w:lang w:val="en-US" w:eastAsia="zh-CN"/>
        </w:rPr>
        <w:t>4</w:t>
      </w:r>
      <w:r>
        <w:rPr>
          <w:rFonts w:hint="eastAsia" w:cs="宋体"/>
          <w:kern w:val="2"/>
          <w:sz w:val="28"/>
          <w:szCs w:val="20"/>
          <w:lang w:val="en-US" w:eastAsia="zh-CN"/>
        </w:rPr>
        <w:t>）说明发行人是否已建立完善的安全生产管理制度，以及安全生产管理制度的有效性和执行情况，报告期内发行人是否发生安全生产事故，如有，说明具体情况，是否存在纠纷或处罚。（5）说明发行人最近36个月是否存在受到环保领域行政处罚的情况，是否构成重大违法违规，是否发生环保事故和重大群体性环保事件，是否存在关于发行人环保情况的负面媒体报道。（6）说明发行人及控股股东、实际控制人、董监高、</w:t>
      </w:r>
      <w:r>
        <w:rPr>
          <w:rFonts w:hint="default" w:cs="宋体"/>
          <w:kern w:val="2"/>
          <w:sz w:val="28"/>
          <w:szCs w:val="20"/>
          <w:lang w:val="en-US" w:eastAsia="zh-CN"/>
        </w:rPr>
        <w:t>员工</w:t>
      </w:r>
      <w:r>
        <w:rPr>
          <w:rFonts w:hint="eastAsia" w:cs="宋体"/>
          <w:kern w:val="2"/>
          <w:sz w:val="28"/>
          <w:szCs w:val="20"/>
          <w:lang w:val="en-US" w:eastAsia="zh-CN"/>
        </w:rPr>
        <w:t>是否曾因商业贿赂而受到处罚，是否存在涉及前述各类人员行贿事实的裁判文书或正处于调查取证阶段的案件，若有，是否可能对本次发行构成重大不利影响，是否导致发行人不满足发行条件。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16、关于业务资质。请发行人说明：发行人从事相关生产经营及境外销售是否已取得全部相关资质、许可、认证，报告期内发行人是否持续符合拥有该等资质、许可、认证所需的条件，相关资质、认证、许可的有效期及是否覆盖报告期，是否存在超越许可范围从事生产经营的情形，是否存在受到行政处罚的法律风险。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17、关于诉讼、仲裁。请发行人说明：报告期内发行人及控股股东、实际控制人、董事、监事、高级管理人员及核心技术人员是否存在未披露的诉讼、仲裁事项，如有，相关诉讼、仲裁的案件受理情况和基本案情，诉讼或仲裁请求，判决、裁决结果及执行情况，诉讼或仲裁事项对发行人的影响等。请保荐机构、发行人律师核查并发表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18、关于董监高。发行人多位董事、高管、核心技术人员均曾任职于公司的主要竞争对手生益电子。请发行人：（1）说明董事、监事、高级管理人员任职是否具备任职资格，独立董事任职是否符合党政领导干部在企业兼职（任职）的相关规定。（2）结合发行人董事、高级管理人员、监事、核心技术人员的履历，说明是否有人员曾任职于竞争对手；如有，是否存在竞业禁止协议，其在发行人任职期间的研究项目、申请的专利是否与原工作内容相关，是否侵犯原单位知识产权，是否存在纠纷或潜在纠纷。（3）说明发行人最近3年董事、监事、高管发生变化情况、原因，最近3年内董事、监事、高级管理人员的变动是否构成重大变化，是否构成发行上市障碍。请保荐机构和发行人律师进行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val="en-US" w:eastAsia="zh-CN"/>
        </w:rPr>
      </w:pPr>
      <w:r>
        <w:rPr>
          <w:rFonts w:hint="default" w:cs="宋体"/>
          <w:kern w:val="2"/>
          <w:sz w:val="28"/>
          <w:szCs w:val="20"/>
          <w:lang w:eastAsia="zh-CN"/>
        </w:rPr>
        <w:t>19、关于境外销售。</w:t>
      </w:r>
      <w:r>
        <w:rPr>
          <w:rFonts w:hint="default" w:cs="宋体"/>
          <w:kern w:val="2"/>
          <w:sz w:val="28"/>
          <w:szCs w:val="20"/>
          <w:lang w:val="en-US" w:eastAsia="zh-CN"/>
        </w:rPr>
        <w:t>公司产品以外销为主，报告期</w:t>
      </w:r>
      <w:r>
        <w:rPr>
          <w:rFonts w:hint="default" w:cs="宋体"/>
          <w:kern w:val="2"/>
          <w:sz w:val="28"/>
          <w:szCs w:val="20"/>
          <w:lang w:eastAsia="zh-CN"/>
        </w:rPr>
        <w:t>内</w:t>
      </w:r>
      <w:r>
        <w:rPr>
          <w:rFonts w:hint="default" w:cs="宋体"/>
          <w:kern w:val="2"/>
          <w:sz w:val="28"/>
          <w:szCs w:val="20"/>
          <w:lang w:val="en-US" w:eastAsia="zh-CN"/>
        </w:rPr>
        <w:t>，公司外销收入占当期主营业务收入的比例分别为71.20%、75.17%及75.96%。如果因国际贸易摩擦而导致相关国家对我国PCB产品采取限制政策、提高关税及采取其他方面的贸易保护主义措施，将可能对公司的业务发展产生不利影响。</w:t>
      </w:r>
      <w:r>
        <w:rPr>
          <w:rFonts w:hint="default" w:cs="宋体"/>
          <w:kern w:val="2"/>
          <w:sz w:val="28"/>
          <w:szCs w:val="20"/>
          <w:lang w:eastAsia="zh-CN"/>
        </w:rPr>
        <w:t>请发行人说明：</w:t>
      </w:r>
      <w:r>
        <w:rPr>
          <w:rFonts w:hint="default" w:cs="宋体"/>
          <w:kern w:val="2"/>
          <w:sz w:val="28"/>
          <w:szCs w:val="20"/>
          <w:lang w:val="en-US" w:eastAsia="zh-CN"/>
        </w:rPr>
        <w:t>（1）主要进口国的贸易政策情况、贸易摩擦对产品进口的影响以及进口国同类产品的竞争格局等内容。（2）发行人产品出口是否符合海关、税务等相关法律法规的规定，发行人产品出口是否存在被进口国、地区采取贸易政策限制的情形。</w:t>
      </w:r>
      <w:r>
        <w:rPr>
          <w:rFonts w:hint="default" w:cs="宋体"/>
          <w:kern w:val="2"/>
          <w:sz w:val="28"/>
          <w:szCs w:val="20"/>
          <w:lang w:eastAsia="zh-CN"/>
        </w:rPr>
        <w:t>（3）境外子公司历史沿革履行商务、发改、外汇等部门审批或备案情况，境外经营是否合法合规。</w:t>
      </w:r>
      <w:r>
        <w:rPr>
          <w:rFonts w:hint="default" w:cs="宋体"/>
          <w:kern w:val="2"/>
          <w:sz w:val="28"/>
          <w:szCs w:val="20"/>
          <w:lang w:val="en-US" w:eastAsia="zh-CN"/>
        </w:rPr>
        <w:t>请保荐机构、发行人律师核查并发表明确意见。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20、关于知识产权。报告期内发行人与华南理工大学合作研发项目。请发行人说明：（1）发行人核心技术对合作研发是否存在依赖，持续经营能力是否依赖于合作研发或相关单位，合作研发事项是否清晰约定权利义务，是否存在纠纷或潜在纠纷。（2）发行人是否存在使用他人知识产权的情形，如存在，请说明是否构成侵权行为及对发行人的影响。（3）发行人许可他人使用知识产权的情况、原因及商业合理性，是否存在相关利益安排，是否存在争议或纠纷。（4）发行人是否存在知识产权的侵权纠纷，如存在，具体情况，对发行人的影响。（5）相关知识产权管理的内部控制制度是否建立健全并有效运行，保护范围是否覆盖公司全部产品。请保荐机构和发行人律师核查并发表明确意见。</w:t>
      </w:r>
    </w:p>
    <w:p>
      <w:pPr>
        <w:pStyle w:val="10"/>
        <w:keepNext w:val="0"/>
        <w:keepLines w:val="0"/>
        <w:pageBreakBefore w:val="0"/>
        <w:widowControl w:val="0"/>
        <w:kinsoku/>
        <w:wordWrap/>
        <w:overflowPunct/>
        <w:topLinePunct w:val="0"/>
        <w:autoSpaceDE/>
        <w:autoSpaceDN/>
        <w:bidi w:val="0"/>
        <w:adjustRightInd/>
        <w:snapToGrid/>
        <w:spacing w:after="0" w:line="460" w:lineRule="exact"/>
        <w:ind w:left="0" w:leftChars="0" w:firstLine="560" w:firstLineChars="200"/>
        <w:textAlignment w:val="auto"/>
        <w:rPr>
          <w:rFonts w:hint="default" w:cs="宋体"/>
          <w:kern w:val="2"/>
          <w:sz w:val="28"/>
          <w:szCs w:val="20"/>
          <w:lang w:eastAsia="zh-CN"/>
        </w:rPr>
      </w:pPr>
      <w:r>
        <w:rPr>
          <w:rFonts w:hint="default" w:cs="宋体"/>
          <w:kern w:val="2"/>
          <w:sz w:val="28"/>
          <w:szCs w:val="20"/>
          <w:lang w:eastAsia="zh-CN"/>
        </w:rPr>
        <w:t>21、关于募集资金运用。请发行人说明：（1）募投项目是否均已取得相关备案及环保批准文件，是否已取得募投用地，如未取得，披露募投用地的计划、进展，是否存在重大不确定性，并完善相关风险提示。（2）结合宏观市场环境、下游市场需求、行业竞争态势、市场开拓、主要产品产能利用率较低等情况，说明本次募投项目实施的必要性及合理性，募投项目新增产能对应客户及与客户销售规模的匹配性，是否存在新增产品无法消化的风险。（3）结合账面可用货币资金、现金流变动、报告期内现金分红等情况说明补充流动资金的具体用途、合理性、必要性，以及偿还银行贷款的明细贷款使用情况。请保荐机构、发行人律师核查并发表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eastAsia"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22、</w:t>
      </w:r>
      <w:r>
        <w:rPr>
          <w:rFonts w:hint="eastAsia" w:ascii="宋体" w:hAnsi="宋体" w:eastAsia="宋体" w:cs="宋体"/>
          <w:b w:val="0"/>
          <w:bCs w:val="0"/>
          <w:color w:val="000000"/>
          <w:kern w:val="2"/>
          <w:sz w:val="28"/>
          <w:szCs w:val="28"/>
          <w:lang w:val="en-US" w:eastAsia="zh-CN" w:bidi="ar-SA"/>
        </w:rPr>
        <w:t>发行人设立以来进行了多次</w:t>
      </w:r>
      <w:r>
        <w:rPr>
          <w:rFonts w:hint="default" w:ascii="宋体" w:hAnsi="宋体" w:eastAsia="宋体" w:cs="宋体"/>
          <w:b w:val="0"/>
          <w:bCs w:val="0"/>
          <w:color w:val="000000"/>
          <w:kern w:val="2"/>
          <w:sz w:val="28"/>
          <w:szCs w:val="28"/>
          <w:lang w:val="en-US" w:eastAsia="zh-CN" w:bidi="ar-SA"/>
        </w:rPr>
        <w:t>增资和</w:t>
      </w:r>
      <w:r>
        <w:rPr>
          <w:rFonts w:hint="eastAsia" w:ascii="宋体" w:hAnsi="宋体" w:eastAsia="宋体" w:cs="宋体"/>
          <w:b w:val="0"/>
          <w:bCs w:val="0"/>
          <w:color w:val="000000"/>
          <w:kern w:val="2"/>
          <w:sz w:val="28"/>
          <w:szCs w:val="28"/>
          <w:lang w:val="en-US" w:eastAsia="zh-CN" w:bidi="ar-SA"/>
        </w:rPr>
        <w:t>股权转让。请</w:t>
      </w:r>
      <w:r>
        <w:rPr>
          <w:rFonts w:hint="default" w:ascii="宋体" w:hAnsi="宋体" w:eastAsia="宋体" w:cs="宋体"/>
          <w:b w:val="0"/>
          <w:bCs w:val="0"/>
          <w:color w:val="000000"/>
          <w:kern w:val="2"/>
          <w:sz w:val="28"/>
          <w:szCs w:val="28"/>
          <w:lang w:val="en-US" w:eastAsia="zh-CN" w:bidi="ar-SA"/>
        </w:rPr>
        <w:t>发行人</w:t>
      </w:r>
      <w:r>
        <w:rPr>
          <w:rFonts w:hint="eastAsia" w:ascii="宋体" w:hAnsi="宋体" w:eastAsia="宋体" w:cs="宋体"/>
          <w:b w:val="0"/>
          <w:bCs w:val="0"/>
          <w:color w:val="000000"/>
          <w:kern w:val="2"/>
          <w:sz w:val="28"/>
          <w:szCs w:val="28"/>
          <w:lang w:val="en-US" w:eastAsia="zh-CN" w:bidi="ar-SA"/>
        </w:rPr>
        <w:t>：（1）</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en-US" w:eastAsia="zh-CN" w:bidi="ar-SA"/>
        </w:rPr>
        <w:t>每次</w:t>
      </w:r>
      <w:r>
        <w:rPr>
          <w:rFonts w:hint="default" w:ascii="宋体" w:hAnsi="宋体" w:eastAsia="宋体" w:cs="宋体"/>
          <w:b w:val="0"/>
          <w:bCs w:val="0"/>
          <w:color w:val="000000"/>
          <w:kern w:val="2"/>
          <w:sz w:val="28"/>
          <w:szCs w:val="28"/>
          <w:lang w:val="en-US" w:eastAsia="zh-CN" w:bidi="ar-SA"/>
        </w:rPr>
        <w:t>增资和</w:t>
      </w:r>
      <w:r>
        <w:rPr>
          <w:rFonts w:hint="eastAsia" w:ascii="宋体" w:hAnsi="宋体" w:eastAsia="宋体" w:cs="宋体"/>
          <w:b w:val="0"/>
          <w:bCs w:val="0"/>
          <w:color w:val="000000"/>
          <w:kern w:val="2"/>
          <w:sz w:val="28"/>
          <w:szCs w:val="28"/>
          <w:lang w:val="en-US" w:eastAsia="zh-CN" w:bidi="ar-SA"/>
        </w:rPr>
        <w:t>股权转让的定价方法和依据，</w:t>
      </w:r>
      <w:r>
        <w:rPr>
          <w:rFonts w:hint="default" w:ascii="宋体" w:hAnsi="宋体" w:eastAsia="宋体" w:cs="宋体"/>
          <w:b w:val="0"/>
          <w:bCs w:val="0"/>
          <w:color w:val="000000"/>
          <w:kern w:val="2"/>
          <w:sz w:val="28"/>
          <w:szCs w:val="28"/>
          <w:lang w:val="en-US" w:eastAsia="zh-CN" w:bidi="ar-SA"/>
        </w:rPr>
        <w:t>定价</w:t>
      </w:r>
      <w:r>
        <w:rPr>
          <w:rFonts w:hint="eastAsia" w:ascii="宋体" w:hAnsi="宋体" w:eastAsia="宋体" w:cs="宋体"/>
          <w:b w:val="0"/>
          <w:bCs w:val="0"/>
          <w:color w:val="000000"/>
          <w:kern w:val="2"/>
          <w:sz w:val="28"/>
          <w:szCs w:val="28"/>
          <w:lang w:val="en-US" w:eastAsia="zh-CN" w:bidi="ar-SA"/>
        </w:rPr>
        <w:t>不同的原因，是否符合有关法规和公司章程的规定，是否履行了必要的程序；（2）</w:t>
      </w:r>
      <w:r>
        <w:rPr>
          <w:rFonts w:hint="default" w:ascii="宋体" w:hAnsi="宋体" w:eastAsia="宋体" w:cs="宋体"/>
          <w:b w:val="0"/>
          <w:bCs w:val="0"/>
          <w:color w:val="000000"/>
          <w:kern w:val="2"/>
          <w:sz w:val="28"/>
          <w:szCs w:val="28"/>
          <w:lang w:val="en-US" w:eastAsia="zh-CN" w:bidi="ar-SA"/>
        </w:rPr>
        <w:t>说明并披露</w:t>
      </w:r>
      <w:r>
        <w:rPr>
          <w:rFonts w:hint="eastAsia" w:ascii="宋体" w:hAnsi="宋体" w:eastAsia="宋体" w:cs="宋体"/>
          <w:b w:val="0"/>
          <w:bCs w:val="0"/>
          <w:color w:val="000000"/>
          <w:kern w:val="2"/>
          <w:sz w:val="28"/>
          <w:szCs w:val="28"/>
          <w:lang w:val="en-US" w:eastAsia="zh-CN" w:bidi="ar-SA"/>
        </w:rPr>
        <w:t>上述</w:t>
      </w:r>
      <w:r>
        <w:rPr>
          <w:rFonts w:hint="default" w:ascii="宋体" w:hAnsi="宋体" w:eastAsia="宋体" w:cs="宋体"/>
          <w:b w:val="0"/>
          <w:bCs w:val="0"/>
          <w:color w:val="000000"/>
          <w:kern w:val="2"/>
          <w:sz w:val="28"/>
          <w:szCs w:val="28"/>
          <w:lang w:val="en-US" w:eastAsia="zh-CN" w:bidi="ar-SA"/>
        </w:rPr>
        <w:t>增资和股权转让</w:t>
      </w:r>
      <w:r>
        <w:rPr>
          <w:rFonts w:hint="eastAsia" w:ascii="宋体" w:hAnsi="宋体" w:eastAsia="宋体" w:cs="宋体"/>
          <w:b w:val="0"/>
          <w:bCs w:val="0"/>
          <w:color w:val="000000"/>
          <w:kern w:val="2"/>
          <w:sz w:val="28"/>
          <w:szCs w:val="28"/>
          <w:lang w:val="en-US" w:eastAsia="zh-CN" w:bidi="ar-SA"/>
        </w:rPr>
        <w:t>股权转让是否涉及股份支付，如果涉及，说明股份支付公允价值确定的方法和依据，股份支付的范围是否全面。请保荐机构、会计师对上述事项进行核查并发表核查意见</w:t>
      </w:r>
      <w:r>
        <w:rPr>
          <w:rFonts w:hint="default" w:ascii="宋体" w:hAnsi="宋体" w:eastAsia="宋体" w:cs="宋体"/>
          <w:b w:val="0"/>
          <w:bCs w:val="0"/>
          <w:color w:val="000000"/>
          <w:kern w:val="2"/>
          <w:sz w:val="28"/>
          <w:szCs w:val="28"/>
          <w:lang w:val="en-US"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23、</w:t>
      </w:r>
      <w:r>
        <w:rPr>
          <w:rFonts w:hint="eastAsia" w:ascii="宋体" w:hAnsi="宋体" w:eastAsia="宋体" w:cs="宋体"/>
          <w:b w:val="0"/>
          <w:bCs w:val="0"/>
          <w:color w:val="000000"/>
          <w:kern w:val="2"/>
          <w:sz w:val="28"/>
          <w:szCs w:val="28"/>
          <w:lang w:val="en-US" w:eastAsia="zh-CN" w:bidi="ar-SA"/>
        </w:rPr>
        <w:t>发行人</w:t>
      </w:r>
      <w:r>
        <w:rPr>
          <w:rFonts w:hint="default" w:ascii="宋体" w:hAnsi="宋体" w:eastAsia="宋体" w:cs="宋体"/>
          <w:b w:val="0"/>
          <w:bCs w:val="0"/>
          <w:color w:val="000000"/>
          <w:kern w:val="2"/>
          <w:sz w:val="28"/>
          <w:szCs w:val="28"/>
          <w:lang w:val="en-US" w:eastAsia="zh-CN" w:bidi="ar-SA"/>
        </w:rPr>
        <w:t>是否存在《首发若干问题解答》所述第三方回款、现金收款及财务内控不规范情形，如有，请发行人按《首发若干问题解答》相关要求进行补充说明和披露，请保荐机构、发行人律师和申报会计师补充核查并发表核查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24、</w:t>
      </w:r>
      <w:r>
        <w:rPr>
          <w:rFonts w:hint="eastAsia" w:ascii="宋体" w:hAnsi="宋体" w:eastAsia="宋体" w:cs="宋体"/>
          <w:b w:val="0"/>
          <w:bCs w:val="0"/>
          <w:color w:val="000000"/>
          <w:kern w:val="2"/>
          <w:sz w:val="28"/>
          <w:szCs w:val="28"/>
          <w:lang w:val="en-US" w:eastAsia="zh-CN" w:bidi="ar-SA"/>
        </w:rPr>
        <w:t>请发行人说明并请保荐机构和申报会计师核查发行人是否存在以下情形：①为满足贷款银行受托支付要求，在无真实业务支持情况下，通过供应商等取得银行贷款或为客户提供银行贷款资金走账通道（简称“转贷”行为）；②向关联方或供应商开具无真实交易背景的商业票据，通过票据贴现后获取银行融资；③与第三方直接进行资金拆借；④通过关联方或第三方代收货款；⑤利用个人账户对外收付款项；⑥出借公司账户为他人收付款项；⑦违反内部资金管理规定对外支付大额款项、大额现金借支和还款、挪用资金等重大不规范情形；如有，请列示各期的金额、发生的原因、整改措施、整改效果，首次申报审计截止日后以上行为是否仍存在，并请保荐机构和申报会计师对发行人的财务内控是否有效发表核查意见</w:t>
      </w:r>
      <w:r>
        <w:rPr>
          <w:rFonts w:hint="default" w:ascii="宋体" w:hAnsi="宋体" w:eastAsia="宋体" w:cs="宋体"/>
          <w:b w:val="0"/>
          <w:bCs w:val="0"/>
          <w:color w:val="000000"/>
          <w:kern w:val="2"/>
          <w:sz w:val="28"/>
          <w:szCs w:val="28"/>
          <w:lang w:val="en-US"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25、</w:t>
      </w:r>
      <w:r>
        <w:rPr>
          <w:rFonts w:hint="default" w:ascii="宋体" w:hAnsi="宋体" w:eastAsia="宋体" w:cs="宋体"/>
          <w:b w:val="0"/>
          <w:bCs w:val="0"/>
          <w:color w:val="000000"/>
          <w:kern w:val="2"/>
          <w:sz w:val="28"/>
          <w:szCs w:val="28"/>
          <w:lang w:val="en-US" w:eastAsia="zh-CN" w:bidi="ar-SA"/>
        </w:rPr>
        <w:t>发行人</w:t>
      </w:r>
      <w:r>
        <w:rPr>
          <w:rFonts w:hint="eastAsia" w:ascii="宋体" w:hAnsi="宋体" w:eastAsia="宋体" w:cs="宋体"/>
          <w:b w:val="0"/>
          <w:bCs w:val="0"/>
          <w:color w:val="000000"/>
          <w:kern w:val="2"/>
          <w:sz w:val="28"/>
          <w:szCs w:val="28"/>
          <w:lang w:val="en-US" w:eastAsia="zh-CN" w:bidi="ar-SA"/>
        </w:rPr>
        <w:t>享受</w:t>
      </w:r>
      <w:r>
        <w:rPr>
          <w:rFonts w:hint="default" w:ascii="宋体" w:hAnsi="宋体" w:eastAsia="宋体" w:cs="宋体"/>
          <w:b w:val="0"/>
          <w:bCs w:val="0"/>
          <w:color w:val="000000"/>
          <w:kern w:val="2"/>
          <w:sz w:val="28"/>
          <w:szCs w:val="28"/>
          <w:lang w:val="en-US" w:eastAsia="zh-CN" w:bidi="ar-SA"/>
        </w:rPr>
        <w:t>多项税收优惠政策</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请发行人补充披露上述税收优惠政策对企业净利润的影响情况，发行人对前述税收优惠政策是否存在依赖，并说明前述税收优惠政策是否具有可持续性。请保荐机构、发行人律师、申报会计师核查上述问题并发表明确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26、</w:t>
      </w:r>
      <w:r>
        <w:rPr>
          <w:rFonts w:hint="default" w:ascii="宋体" w:hAnsi="宋体" w:eastAsia="宋体" w:cs="宋体"/>
          <w:b w:val="0"/>
          <w:bCs w:val="0"/>
          <w:color w:val="000000"/>
          <w:kern w:val="2"/>
          <w:sz w:val="28"/>
          <w:szCs w:val="28"/>
          <w:lang w:val="en-US" w:eastAsia="zh-CN" w:bidi="ar-SA"/>
        </w:rPr>
        <w:t>报告期内发行人存在</w:t>
      </w:r>
      <w:r>
        <w:rPr>
          <w:rFonts w:hint="default" w:ascii="宋体" w:hAnsi="宋体" w:eastAsia="宋体" w:cs="宋体"/>
          <w:b w:val="0"/>
          <w:bCs w:val="0"/>
          <w:color w:val="000000"/>
          <w:kern w:val="2"/>
          <w:sz w:val="28"/>
          <w:szCs w:val="28"/>
          <w:lang w:eastAsia="zh-CN" w:bidi="ar-SA"/>
        </w:rPr>
        <w:t>一定</w:t>
      </w:r>
      <w:r>
        <w:rPr>
          <w:rFonts w:hint="default" w:ascii="宋体" w:hAnsi="宋体" w:eastAsia="宋体" w:cs="宋体"/>
          <w:b w:val="0"/>
          <w:bCs w:val="0"/>
          <w:color w:val="000000"/>
          <w:kern w:val="2"/>
          <w:sz w:val="28"/>
          <w:szCs w:val="28"/>
          <w:lang w:val="en-US" w:eastAsia="zh-CN" w:bidi="ar-SA"/>
        </w:rPr>
        <w:t>量关联方销售业务。请发行人说明向关联方销售的原因与合理性，并分析交易价格是否公允。请保荐机构和申报会计师核查上述问题并发表明确意见</w:t>
      </w:r>
      <w:r>
        <w:rPr>
          <w:rFonts w:hint="default" w:ascii="宋体" w:hAnsi="宋体" w:eastAsia="宋体" w:cs="宋体"/>
          <w:b w:val="0"/>
          <w:bCs w:val="0"/>
          <w:color w:val="000000"/>
          <w:kern w:val="2"/>
          <w:sz w:val="28"/>
          <w:szCs w:val="28"/>
          <w:lang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eastAsia="zh-CN" w:bidi="ar-SA"/>
        </w:rPr>
      </w:pPr>
      <w:r>
        <w:rPr>
          <w:rFonts w:hint="default" w:ascii="宋体" w:hAnsi="宋体" w:cs="宋体"/>
          <w:b w:val="0"/>
          <w:bCs w:val="0"/>
          <w:color w:val="000000"/>
          <w:kern w:val="2"/>
          <w:sz w:val="28"/>
          <w:szCs w:val="28"/>
          <w:lang w:eastAsia="zh-CN" w:bidi="ar-SA"/>
        </w:rPr>
        <w:t>27、</w:t>
      </w:r>
      <w:r>
        <w:rPr>
          <w:rFonts w:hint="default" w:ascii="宋体" w:hAnsi="宋体" w:eastAsia="宋体" w:cs="宋体"/>
          <w:b w:val="0"/>
          <w:bCs w:val="0"/>
          <w:color w:val="000000"/>
          <w:kern w:val="2"/>
          <w:sz w:val="28"/>
          <w:szCs w:val="28"/>
          <w:lang w:val="en-US" w:eastAsia="zh-CN" w:bidi="ar-SA"/>
        </w:rPr>
        <w:t>报告期发行人存在向关联方借出资金及为关联方提供担保的情况</w:t>
      </w:r>
      <w:r>
        <w:rPr>
          <w:rFonts w:hint="eastAsia" w:ascii="宋体" w:hAnsi="宋体" w:eastAsia="宋体" w:cs="宋体"/>
          <w:b w:val="0"/>
          <w:bCs w:val="0"/>
          <w:color w:val="000000"/>
          <w:kern w:val="2"/>
          <w:sz w:val="28"/>
          <w:szCs w:val="28"/>
          <w:lang w:val="en-US" w:eastAsia="zh-CN" w:bidi="ar-SA"/>
        </w:rPr>
        <w:t>。请发行人：（1）补充说明</w:t>
      </w:r>
      <w:r>
        <w:rPr>
          <w:rFonts w:hint="default" w:ascii="宋体" w:hAnsi="宋体" w:eastAsia="宋体" w:cs="宋体"/>
          <w:b w:val="0"/>
          <w:bCs w:val="0"/>
          <w:color w:val="000000"/>
          <w:kern w:val="2"/>
          <w:sz w:val="28"/>
          <w:szCs w:val="28"/>
          <w:lang w:val="en-US" w:eastAsia="zh-CN" w:bidi="ar-SA"/>
        </w:rPr>
        <w:t>向向关联方借出</w:t>
      </w:r>
      <w:r>
        <w:rPr>
          <w:rFonts w:hint="eastAsia" w:ascii="宋体" w:hAnsi="宋体" w:eastAsia="宋体" w:cs="宋体"/>
          <w:b w:val="0"/>
          <w:bCs w:val="0"/>
          <w:color w:val="000000"/>
          <w:kern w:val="2"/>
          <w:sz w:val="28"/>
          <w:szCs w:val="28"/>
          <w:lang w:val="en-US" w:eastAsia="zh-CN" w:bidi="ar-SA"/>
        </w:rPr>
        <w:t>资金的具体原因、发生时间、金额、利率及定价公允性、资金用途、还款时间、还款资金来源、履行的决策程序及对发行人经营业绩的影响；（2）补充说明并披露发行人与关联方担保事项原因、背景，是否收取/支付利息或担保费，是否履行相关决策程序，报告期内发行人是否因为担保出现损失</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3</w:t>
      </w:r>
      <w:r>
        <w:rPr>
          <w:rFonts w:hint="eastAsia" w:ascii="宋体" w:hAnsi="宋体" w:eastAsia="宋体" w:cs="宋体"/>
          <w:b w:val="0"/>
          <w:bCs w:val="0"/>
          <w:color w:val="000000"/>
          <w:kern w:val="2"/>
          <w:sz w:val="28"/>
          <w:szCs w:val="28"/>
          <w:lang w:val="en-US" w:eastAsia="zh-CN" w:bidi="ar-SA"/>
        </w:rPr>
        <w:t>）补充说明发行人财务是否独立，相关内控制度的建立健全情况、设计和执行效果。请保荐机构和申报会计师对上述问题发表核查意见</w:t>
      </w:r>
      <w:r>
        <w:rPr>
          <w:rFonts w:hint="default" w:ascii="宋体" w:hAnsi="宋体" w:eastAsia="宋体" w:cs="宋体"/>
          <w:b w:val="0"/>
          <w:bCs w:val="0"/>
          <w:color w:val="000000"/>
          <w:kern w:val="2"/>
          <w:sz w:val="28"/>
          <w:szCs w:val="28"/>
          <w:lang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eastAsia"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28、</w:t>
      </w:r>
      <w:r>
        <w:rPr>
          <w:rFonts w:hint="default" w:ascii="宋体" w:hAnsi="宋体" w:eastAsia="宋体" w:cs="宋体"/>
          <w:b w:val="0"/>
          <w:bCs w:val="0"/>
          <w:color w:val="000000"/>
          <w:kern w:val="2"/>
          <w:sz w:val="28"/>
          <w:szCs w:val="28"/>
          <w:lang w:val="en-US" w:eastAsia="zh-CN" w:bidi="ar-SA"/>
        </w:rPr>
        <w:t>关于合同订单。请发行人列表说明主要订单情况，包括但不限于合同对手方、合同金额、产品类型、产品单价、相关产品自产与外采情况、安装调试情况、成本、毛利率等，并分析不同合同订单相同或相似产品的定价差异情况、毛利率差异情况的原因与合理性。请保荐机构和申报会计师核查上述情况并发表明确意见</w:t>
      </w:r>
      <w:r>
        <w:rPr>
          <w:rFonts w:hint="eastAsia" w:ascii="宋体" w:hAnsi="宋体" w:eastAsia="宋体" w:cs="宋体"/>
          <w:b w:val="0"/>
          <w:bCs w:val="0"/>
          <w:color w:val="000000"/>
          <w:kern w:val="2"/>
          <w:sz w:val="28"/>
          <w:szCs w:val="28"/>
          <w:lang w:val="en-US"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eastAsia"/>
          <w:lang w:val="en-US" w:eastAsia="zh-CN"/>
        </w:rPr>
      </w:pPr>
      <w:r>
        <w:rPr>
          <w:rFonts w:hint="default" w:ascii="宋体" w:hAnsi="宋体" w:cs="宋体"/>
          <w:b w:val="0"/>
          <w:bCs w:val="0"/>
          <w:color w:val="000000"/>
          <w:kern w:val="2"/>
          <w:sz w:val="28"/>
          <w:szCs w:val="28"/>
          <w:lang w:eastAsia="zh-CN" w:bidi="ar-SA"/>
        </w:rPr>
        <w:t>29、</w:t>
      </w:r>
      <w:r>
        <w:rPr>
          <w:rFonts w:hint="eastAsia" w:ascii="宋体" w:hAnsi="宋体" w:eastAsia="宋体" w:cs="宋体"/>
          <w:b w:val="0"/>
          <w:bCs w:val="0"/>
          <w:color w:val="000000"/>
          <w:kern w:val="2"/>
          <w:sz w:val="28"/>
          <w:szCs w:val="28"/>
          <w:lang w:val="en-US" w:eastAsia="zh-CN" w:bidi="ar-SA"/>
        </w:rPr>
        <w:t>请发行人：（1）</w:t>
      </w:r>
      <w:r>
        <w:rPr>
          <w:rFonts w:hint="default" w:ascii="宋体" w:hAnsi="宋体" w:eastAsia="宋体" w:cs="宋体"/>
          <w:b w:val="0"/>
          <w:bCs w:val="0"/>
          <w:color w:val="000000"/>
          <w:kern w:val="2"/>
          <w:sz w:val="28"/>
          <w:szCs w:val="28"/>
          <w:lang w:val="en-US" w:eastAsia="zh-CN" w:bidi="ar-SA"/>
        </w:rPr>
        <w:t>结合近三年发行人上下游行业政策、市场格局、行业规模变动趋势及发行人核心竞争力、竞争对手等情况，补充</w:t>
      </w:r>
      <w:r>
        <w:rPr>
          <w:rFonts w:hint="eastAsia" w:ascii="宋体" w:hAnsi="宋体" w:eastAsia="宋体" w:cs="宋体"/>
          <w:b w:val="0"/>
          <w:bCs w:val="0"/>
          <w:color w:val="000000"/>
          <w:kern w:val="2"/>
          <w:sz w:val="28"/>
          <w:szCs w:val="28"/>
          <w:lang w:val="en-US" w:eastAsia="zh-CN" w:bidi="ar-SA"/>
        </w:rPr>
        <w:t>披露</w:t>
      </w:r>
      <w:r>
        <w:rPr>
          <w:rFonts w:hint="default" w:ascii="宋体" w:hAnsi="宋体" w:eastAsia="宋体" w:cs="宋体"/>
          <w:b w:val="0"/>
          <w:bCs w:val="0"/>
          <w:color w:val="000000"/>
          <w:kern w:val="2"/>
          <w:sz w:val="28"/>
          <w:szCs w:val="28"/>
          <w:lang w:val="en-US" w:eastAsia="zh-CN" w:bidi="ar-SA"/>
        </w:rPr>
        <w:t>公司所处行业经营环境是否发生重大不利不变，是否出现周期性衰退、产能过剩、市场容量骤减、增长停滞等情况，</w:t>
      </w:r>
      <w:r>
        <w:rPr>
          <w:rFonts w:hint="eastAsia" w:ascii="宋体" w:hAnsi="宋体" w:eastAsia="宋体" w:cs="宋体"/>
          <w:b w:val="0"/>
          <w:bCs w:val="0"/>
          <w:color w:val="000000"/>
          <w:kern w:val="2"/>
          <w:sz w:val="28"/>
          <w:szCs w:val="28"/>
          <w:lang w:val="en-US" w:eastAsia="zh-CN" w:bidi="ar-SA"/>
        </w:rPr>
        <w:t>是否</w:t>
      </w:r>
      <w:r>
        <w:rPr>
          <w:rFonts w:hint="default" w:ascii="宋体" w:hAnsi="宋体" w:eastAsia="宋体" w:cs="宋体"/>
          <w:b w:val="0"/>
          <w:bCs w:val="0"/>
          <w:color w:val="000000"/>
          <w:kern w:val="2"/>
          <w:sz w:val="28"/>
          <w:szCs w:val="28"/>
          <w:lang w:val="en-US" w:eastAsia="zh-CN" w:bidi="ar-SA"/>
        </w:rPr>
        <w:t>存在</w:t>
      </w:r>
      <w:r>
        <w:rPr>
          <w:rFonts w:hint="eastAsia" w:ascii="宋体" w:hAnsi="宋体" w:eastAsia="宋体" w:cs="宋体"/>
          <w:b w:val="0"/>
          <w:bCs w:val="0"/>
          <w:color w:val="000000"/>
          <w:kern w:val="2"/>
          <w:sz w:val="28"/>
          <w:szCs w:val="28"/>
          <w:lang w:val="en-US" w:eastAsia="zh-CN" w:bidi="ar-SA"/>
        </w:rPr>
        <w:t>影响公司持续</w:t>
      </w:r>
      <w:r>
        <w:rPr>
          <w:rFonts w:hint="default" w:ascii="宋体" w:hAnsi="宋体" w:eastAsia="宋体" w:cs="宋体"/>
          <w:b w:val="0"/>
          <w:bCs w:val="0"/>
          <w:color w:val="000000"/>
          <w:kern w:val="2"/>
          <w:sz w:val="28"/>
          <w:szCs w:val="28"/>
          <w:lang w:val="en-US" w:eastAsia="zh-CN" w:bidi="ar-SA"/>
        </w:rPr>
        <w:t>经营</w:t>
      </w:r>
      <w:r>
        <w:rPr>
          <w:rFonts w:hint="eastAsia" w:ascii="宋体" w:hAnsi="宋体" w:eastAsia="宋体" w:cs="宋体"/>
          <w:b w:val="0"/>
          <w:bCs w:val="0"/>
          <w:color w:val="000000"/>
          <w:kern w:val="2"/>
          <w:sz w:val="28"/>
          <w:szCs w:val="28"/>
          <w:lang w:val="en-US" w:eastAsia="zh-CN" w:bidi="ar-SA"/>
        </w:rPr>
        <w:t>能力</w:t>
      </w:r>
      <w:r>
        <w:rPr>
          <w:rFonts w:hint="default" w:ascii="宋体" w:hAnsi="宋体" w:eastAsia="宋体" w:cs="宋体"/>
          <w:b w:val="0"/>
          <w:bCs w:val="0"/>
          <w:color w:val="000000"/>
          <w:kern w:val="2"/>
          <w:sz w:val="28"/>
          <w:szCs w:val="28"/>
          <w:lang w:val="en-US" w:eastAsia="zh-CN" w:bidi="ar-SA"/>
        </w:rPr>
        <w:t>情形，并充分揭示风险</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2</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结合上下游及本行业情况，补充披露新冠</w:t>
      </w:r>
      <w:r>
        <w:rPr>
          <w:rFonts w:hint="eastAsia" w:ascii="宋体" w:hAnsi="宋体" w:eastAsia="宋体" w:cs="宋体"/>
          <w:b w:val="0"/>
          <w:bCs w:val="0"/>
          <w:color w:val="000000"/>
          <w:kern w:val="2"/>
          <w:sz w:val="28"/>
          <w:szCs w:val="28"/>
          <w:lang w:val="en-US" w:eastAsia="zh-CN" w:bidi="ar-SA"/>
        </w:rPr>
        <w:t>疫情</w:t>
      </w:r>
      <w:r>
        <w:rPr>
          <w:rFonts w:hint="default" w:ascii="宋体" w:hAnsi="宋体" w:eastAsia="宋体" w:cs="宋体"/>
          <w:b w:val="0"/>
          <w:bCs w:val="0"/>
          <w:color w:val="000000"/>
          <w:kern w:val="2"/>
          <w:sz w:val="28"/>
          <w:szCs w:val="28"/>
          <w:lang w:val="en-US" w:eastAsia="zh-CN" w:bidi="ar-SA"/>
        </w:rPr>
        <w:t>/中美贸易摩擦</w:t>
      </w:r>
      <w:r>
        <w:rPr>
          <w:rFonts w:hint="eastAsia" w:ascii="宋体" w:hAnsi="宋体" w:eastAsia="宋体" w:cs="宋体"/>
          <w:b w:val="0"/>
          <w:bCs w:val="0"/>
          <w:color w:val="000000"/>
          <w:kern w:val="2"/>
          <w:sz w:val="28"/>
          <w:szCs w:val="28"/>
          <w:lang w:val="en-US" w:eastAsia="zh-CN" w:bidi="ar-SA"/>
        </w:rPr>
        <w:t>对发行人生产经营和财务状况的影响，是否已采取必要的解决措施，对发行人持续经营能力及发行条件是否有重大不利影响</w:t>
      </w:r>
      <w:r>
        <w:rPr>
          <w:rFonts w:hint="default" w:ascii="宋体" w:hAnsi="宋体" w:eastAsia="宋体" w:cs="宋体"/>
          <w:b w:val="0"/>
          <w:bCs w:val="0"/>
          <w:color w:val="000000"/>
          <w:kern w:val="2"/>
          <w:sz w:val="28"/>
          <w:szCs w:val="28"/>
          <w:lang w:val="en-US" w:eastAsia="zh-CN" w:bidi="ar-SA"/>
        </w:rPr>
        <w:t>；（3）结合发行人在手订单量变动情况，补充披露是否存在业绩大幅下滑风险。请</w:t>
      </w:r>
      <w:r>
        <w:rPr>
          <w:rFonts w:hint="eastAsia" w:ascii="宋体" w:hAnsi="宋体" w:eastAsia="宋体" w:cs="宋体"/>
          <w:b w:val="0"/>
          <w:bCs w:val="0"/>
          <w:color w:val="000000"/>
          <w:kern w:val="2"/>
          <w:sz w:val="28"/>
          <w:szCs w:val="28"/>
          <w:lang w:val="en-US" w:eastAsia="zh-CN" w:bidi="ar-SA"/>
        </w:rPr>
        <w:t>保荐机构核查并明确发表意见。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eastAsia"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30、</w:t>
      </w:r>
      <w:r>
        <w:rPr>
          <w:rFonts w:hint="default" w:ascii="宋体" w:hAnsi="宋体" w:eastAsia="宋体" w:cs="宋体"/>
          <w:b w:val="0"/>
          <w:bCs w:val="0"/>
          <w:color w:val="000000"/>
          <w:kern w:val="2"/>
          <w:sz w:val="28"/>
          <w:szCs w:val="28"/>
          <w:lang w:val="en-US" w:eastAsia="zh-CN" w:bidi="ar-SA"/>
        </w:rPr>
        <w:t>关于BTI，报告期各期，发行人对BTI销售金额分别为73,454.90万元、41,876.10万元和667.05万元，金额大幅下降，发行人在招股书中对BIT按穿透后的客户进行披露。请发行人：（1）说明对BTI按穿透后的客户进行披露的原因与合理性；（2）BTI主要客户资源向发行人转移情况，相关客户对发行人的收入贡献情况，是否存在转移客户合作金额持续下滑或终止合作的情况；（3）发行人对BTI销售金额</w:t>
      </w:r>
      <w:r>
        <w:rPr>
          <w:rFonts w:hint="default" w:ascii="宋体" w:hAnsi="宋体" w:eastAsia="宋体" w:cs="宋体"/>
          <w:b w:val="0"/>
          <w:bCs w:val="0"/>
          <w:color w:val="000000"/>
          <w:kern w:val="2"/>
          <w:sz w:val="28"/>
          <w:szCs w:val="28"/>
          <w:lang w:eastAsia="zh-CN" w:bidi="ar-SA"/>
        </w:rPr>
        <w:t>变动</w:t>
      </w:r>
      <w:r>
        <w:rPr>
          <w:rFonts w:hint="default" w:ascii="宋体" w:hAnsi="宋体" w:eastAsia="宋体" w:cs="宋体"/>
          <w:b w:val="0"/>
          <w:bCs w:val="0"/>
          <w:color w:val="000000"/>
          <w:kern w:val="2"/>
          <w:sz w:val="28"/>
          <w:szCs w:val="28"/>
          <w:lang w:val="en-US" w:eastAsia="zh-CN" w:bidi="ar-SA"/>
        </w:rPr>
        <w:t>的原因与合理性。请保荐机构和申报会计师核查上述情况并发表明确意见。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eastAsia"/>
          <w:lang w:val="en-US" w:eastAsia="zh-CN"/>
        </w:rPr>
      </w:pPr>
      <w:r>
        <w:rPr>
          <w:rFonts w:hint="default" w:ascii="宋体" w:hAnsi="宋体" w:cs="宋体"/>
          <w:b w:val="0"/>
          <w:bCs w:val="0"/>
          <w:color w:val="000000"/>
          <w:kern w:val="2"/>
          <w:sz w:val="28"/>
          <w:szCs w:val="28"/>
          <w:lang w:eastAsia="zh-CN" w:bidi="ar-SA"/>
        </w:rPr>
        <w:t>31、</w:t>
      </w:r>
      <w:r>
        <w:rPr>
          <w:rFonts w:hint="default" w:ascii="宋体" w:hAnsi="宋体" w:eastAsia="宋体" w:cs="宋体"/>
          <w:b w:val="0"/>
          <w:bCs w:val="0"/>
          <w:color w:val="000000"/>
          <w:kern w:val="2"/>
          <w:sz w:val="28"/>
          <w:szCs w:val="28"/>
          <w:lang w:val="en-US" w:eastAsia="zh-CN" w:bidi="ar-SA"/>
        </w:rPr>
        <w:t>关于外销收入。报告期内，发行人产品主要</w:t>
      </w:r>
      <w:r>
        <w:rPr>
          <w:rFonts w:hint="eastAsia" w:ascii="宋体" w:hAnsi="宋体" w:eastAsia="宋体" w:cs="宋体"/>
          <w:b w:val="0"/>
          <w:bCs w:val="0"/>
          <w:color w:val="000000"/>
          <w:kern w:val="2"/>
          <w:sz w:val="28"/>
          <w:szCs w:val="28"/>
          <w:lang w:val="en-US" w:eastAsia="zh-CN" w:bidi="ar-SA"/>
        </w:rPr>
        <w:t>以外销为主，外销业务占比</w:t>
      </w:r>
      <w:r>
        <w:rPr>
          <w:rFonts w:hint="default" w:ascii="宋体" w:hAnsi="宋体" w:eastAsia="宋体" w:cs="宋体"/>
          <w:b w:val="0"/>
          <w:bCs w:val="0"/>
          <w:color w:val="000000"/>
          <w:kern w:val="2"/>
          <w:sz w:val="28"/>
          <w:szCs w:val="28"/>
          <w:lang w:val="en-US" w:eastAsia="zh-CN" w:bidi="ar-SA"/>
        </w:rPr>
        <w:t>超过70%。请发行人：（1）说明报告期各期对外销主要客户的销售内容、销售金额及占比、应收账款余额；（2）说明与主要客户的合作基础、合作模式、定价方式、结算方式、信用期；（3）说明报告期发行人是否存在为外销应收账款购买出口信用保险的情况，如有请说明具体情况、投保对象、</w:t>
      </w:r>
      <w:r>
        <w:rPr>
          <w:rFonts w:hint="eastAsia" w:ascii="宋体" w:hAnsi="宋体" w:eastAsia="宋体" w:cs="宋体"/>
          <w:b w:val="0"/>
          <w:bCs w:val="0"/>
          <w:color w:val="000000"/>
          <w:kern w:val="2"/>
          <w:sz w:val="28"/>
          <w:szCs w:val="28"/>
          <w:lang w:val="en-US" w:eastAsia="zh-CN" w:bidi="ar-SA"/>
        </w:rPr>
        <w:t>投保金额及占比</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en-US" w:eastAsia="zh-CN" w:bidi="ar-SA"/>
        </w:rPr>
        <w:t>投保期限及赔付</w:t>
      </w:r>
      <w:r>
        <w:rPr>
          <w:rFonts w:hint="default" w:ascii="宋体" w:hAnsi="宋体" w:eastAsia="宋体" w:cs="宋体"/>
          <w:b w:val="0"/>
          <w:bCs w:val="0"/>
          <w:color w:val="000000"/>
          <w:kern w:val="2"/>
          <w:sz w:val="28"/>
          <w:szCs w:val="28"/>
          <w:lang w:val="en-US" w:eastAsia="zh-CN" w:bidi="ar-SA"/>
        </w:rPr>
        <w:t>比例</w:t>
      </w:r>
      <w:r>
        <w:rPr>
          <w:rFonts w:hint="eastAsia" w:ascii="宋体" w:hAnsi="宋体" w:eastAsia="宋体" w:cs="宋体"/>
          <w:b w:val="0"/>
          <w:bCs w:val="0"/>
          <w:color w:val="000000"/>
          <w:kern w:val="2"/>
          <w:sz w:val="28"/>
          <w:szCs w:val="28"/>
          <w:lang w:val="en-US" w:eastAsia="zh-CN" w:bidi="ar-SA"/>
        </w:rPr>
        <w:t>等，</w:t>
      </w:r>
      <w:r>
        <w:rPr>
          <w:rFonts w:hint="default" w:ascii="宋体" w:hAnsi="宋体" w:eastAsia="宋体" w:cs="宋体"/>
          <w:b w:val="0"/>
          <w:bCs w:val="0"/>
          <w:color w:val="000000"/>
          <w:kern w:val="2"/>
          <w:sz w:val="28"/>
          <w:szCs w:val="28"/>
          <w:lang w:val="en-US" w:eastAsia="zh-CN" w:bidi="ar-SA"/>
        </w:rPr>
        <w:t>并说明对投保费用的具体会计处理方式；（4）说明外销金额与海关出口数据是否一致、外销收入与出口退税金额与是否匹配，并解释差异原因与合理性；（5）补充说明并披露发行人应对汇率变动风险的主要措施。请保荐机构和申报会计师核查上述问题并发表明确意见</w:t>
      </w:r>
      <w:r>
        <w:rPr>
          <w:rFonts w:hint="default" w:ascii="宋体" w:hAnsi="宋体" w:eastAsia="宋体" w:cs="宋体"/>
          <w:b w:val="0"/>
          <w:bCs w:val="0"/>
          <w:color w:val="000000"/>
          <w:kern w:val="2"/>
          <w:sz w:val="28"/>
          <w:szCs w:val="28"/>
          <w:lang w:val="zh-CN"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eastAsia="zh-CN" w:bidi="ar-SA"/>
        </w:rPr>
      </w:pPr>
      <w:r>
        <w:rPr>
          <w:rFonts w:hint="default" w:ascii="宋体" w:hAnsi="宋体" w:cs="宋体"/>
          <w:b w:val="0"/>
          <w:bCs w:val="0"/>
          <w:color w:val="000000"/>
          <w:kern w:val="2"/>
          <w:sz w:val="28"/>
          <w:szCs w:val="28"/>
          <w:lang w:eastAsia="zh-CN" w:bidi="ar-SA"/>
        </w:rPr>
        <w:t>32、</w:t>
      </w:r>
      <w:r>
        <w:rPr>
          <w:rFonts w:hint="eastAsia" w:ascii="宋体" w:hAnsi="宋体" w:eastAsia="宋体" w:cs="宋体"/>
          <w:b w:val="0"/>
          <w:bCs w:val="0"/>
          <w:color w:val="000000"/>
          <w:kern w:val="2"/>
          <w:sz w:val="28"/>
          <w:szCs w:val="28"/>
          <w:lang w:val="en-US" w:eastAsia="zh-CN" w:bidi="ar-SA"/>
        </w:rPr>
        <w:t>报告期内销售费用</w:t>
      </w:r>
      <w:r>
        <w:rPr>
          <w:rFonts w:hint="default" w:ascii="宋体" w:hAnsi="宋体" w:eastAsia="宋体" w:cs="宋体"/>
          <w:b w:val="0"/>
          <w:bCs w:val="0"/>
          <w:color w:val="000000"/>
          <w:kern w:val="2"/>
          <w:sz w:val="28"/>
          <w:szCs w:val="28"/>
          <w:lang w:val="en-US" w:eastAsia="zh-CN" w:bidi="ar-SA"/>
        </w:rPr>
        <w:t>主要由</w:t>
      </w:r>
      <w:r>
        <w:rPr>
          <w:rFonts w:hint="eastAsia" w:ascii="宋体" w:hAnsi="宋体" w:eastAsia="宋体" w:cs="宋体"/>
          <w:b w:val="0"/>
          <w:bCs w:val="0"/>
          <w:color w:val="000000"/>
          <w:kern w:val="2"/>
          <w:sz w:val="28"/>
          <w:szCs w:val="28"/>
          <w:lang w:val="en-US" w:eastAsia="zh-CN" w:bidi="ar-SA"/>
        </w:rPr>
        <w:t>佣金、职工薪酬、运输装卸费、保险费、业务招待费</w:t>
      </w:r>
      <w:r>
        <w:rPr>
          <w:rFonts w:hint="default" w:ascii="宋体" w:hAnsi="宋体" w:eastAsia="宋体" w:cs="宋体"/>
          <w:b w:val="0"/>
          <w:bCs w:val="0"/>
          <w:color w:val="000000"/>
          <w:kern w:val="2"/>
          <w:sz w:val="28"/>
          <w:szCs w:val="28"/>
          <w:lang w:val="en-US" w:eastAsia="zh-CN" w:bidi="ar-SA"/>
        </w:rPr>
        <w:t>构成</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与收入变动趋势存在差异</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请发行人：</w:t>
      </w:r>
      <w:r>
        <w:rPr>
          <w:rFonts w:hint="eastAsia" w:ascii="宋体" w:hAnsi="宋体" w:eastAsia="宋体" w:cs="宋体"/>
          <w:b w:val="0"/>
          <w:bCs w:val="0"/>
          <w:color w:val="000000"/>
          <w:kern w:val="2"/>
          <w:sz w:val="28"/>
          <w:szCs w:val="28"/>
          <w:lang w:val="en-US" w:eastAsia="zh-CN" w:bidi="ar-SA"/>
        </w:rPr>
        <w:t>（1）结合销售模式、竞争格局等因素，补充说明销售费用</w:t>
      </w:r>
      <w:r>
        <w:rPr>
          <w:rFonts w:hint="default" w:ascii="宋体" w:hAnsi="宋体" w:eastAsia="宋体" w:cs="宋体"/>
          <w:b w:val="0"/>
          <w:bCs w:val="0"/>
          <w:color w:val="000000"/>
          <w:kern w:val="2"/>
          <w:sz w:val="28"/>
          <w:szCs w:val="28"/>
          <w:lang w:val="en-US" w:eastAsia="zh-CN" w:bidi="ar-SA"/>
        </w:rPr>
        <w:t>变动</w:t>
      </w:r>
      <w:r>
        <w:rPr>
          <w:rFonts w:hint="eastAsia" w:ascii="宋体" w:hAnsi="宋体" w:eastAsia="宋体" w:cs="宋体"/>
          <w:b w:val="0"/>
          <w:bCs w:val="0"/>
          <w:color w:val="000000"/>
          <w:kern w:val="2"/>
          <w:sz w:val="28"/>
          <w:szCs w:val="28"/>
          <w:lang w:val="en-US" w:eastAsia="zh-CN" w:bidi="ar-SA"/>
        </w:rPr>
        <w:t>的原因；（2）说明各报告期销售人员数量是否与业务量相匹配，平均</w:t>
      </w:r>
      <w:r>
        <w:rPr>
          <w:rFonts w:hint="eastAsia" w:ascii="宋体" w:hAnsi="宋体" w:eastAsia="宋体" w:cs="宋体"/>
          <w:b w:val="0"/>
          <w:bCs w:val="0"/>
          <w:color w:val="000000"/>
          <w:kern w:val="2"/>
          <w:sz w:val="28"/>
          <w:szCs w:val="28"/>
          <w:lang w:val="zh-CN" w:eastAsia="zh-CN" w:bidi="ar-SA"/>
        </w:rPr>
        <w:t>薪酬水平是否明显低于同行业、同地区平均薪酬水平，并定量说明</w:t>
      </w:r>
      <w:r>
        <w:rPr>
          <w:rFonts w:hint="eastAsia" w:ascii="宋体" w:hAnsi="宋体" w:eastAsia="宋体" w:cs="宋体"/>
          <w:b w:val="0"/>
          <w:bCs w:val="0"/>
          <w:color w:val="000000"/>
          <w:kern w:val="2"/>
          <w:sz w:val="28"/>
          <w:szCs w:val="28"/>
          <w:lang w:val="en-US" w:eastAsia="zh-CN" w:bidi="ar-SA"/>
        </w:rPr>
        <w:t>薪酬费用显著上升的原因及合理性；（</w:t>
      </w:r>
      <w:r>
        <w:rPr>
          <w:rFonts w:hint="default" w:ascii="宋体" w:hAnsi="宋体" w:eastAsia="宋体" w:cs="宋体"/>
          <w:b w:val="0"/>
          <w:bCs w:val="0"/>
          <w:color w:val="000000"/>
          <w:kern w:val="2"/>
          <w:sz w:val="28"/>
          <w:szCs w:val="28"/>
          <w:lang w:val="en-US" w:eastAsia="zh-CN" w:bidi="ar-SA"/>
        </w:rPr>
        <w:t>3</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补充披露发行人销售费用占营业收入比与同行业可比公司的比较情况及差异原因；</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4</w:t>
      </w:r>
      <w:r>
        <w:rPr>
          <w:rFonts w:hint="eastAsia" w:ascii="宋体" w:hAnsi="宋体" w:eastAsia="宋体" w:cs="宋体"/>
          <w:b w:val="0"/>
          <w:bCs w:val="0"/>
          <w:color w:val="000000"/>
          <w:kern w:val="2"/>
          <w:sz w:val="28"/>
          <w:szCs w:val="28"/>
          <w:lang w:val="en-US" w:eastAsia="zh-CN" w:bidi="ar-SA"/>
        </w:rPr>
        <w:t>）补充</w:t>
      </w:r>
      <w:r>
        <w:rPr>
          <w:rFonts w:hint="default" w:ascii="宋体" w:hAnsi="宋体" w:eastAsia="宋体" w:cs="宋体"/>
          <w:b w:val="0"/>
          <w:bCs w:val="0"/>
          <w:color w:val="000000"/>
          <w:kern w:val="2"/>
          <w:sz w:val="28"/>
          <w:szCs w:val="28"/>
          <w:lang w:val="en-US" w:eastAsia="zh-CN" w:bidi="ar-SA"/>
        </w:rPr>
        <w:t>分析报告期内运费波动</w:t>
      </w:r>
      <w:r>
        <w:rPr>
          <w:rFonts w:hint="eastAsia" w:ascii="宋体" w:hAnsi="宋体" w:eastAsia="宋体" w:cs="宋体"/>
          <w:b w:val="0"/>
          <w:bCs w:val="0"/>
          <w:color w:val="000000"/>
          <w:kern w:val="2"/>
          <w:sz w:val="28"/>
          <w:szCs w:val="28"/>
          <w:lang w:val="en-US" w:eastAsia="zh-CN" w:bidi="ar-SA"/>
        </w:rPr>
        <w:t>的原因及合理性</w:t>
      </w:r>
      <w:r>
        <w:rPr>
          <w:rFonts w:hint="default" w:ascii="宋体" w:hAnsi="宋体" w:eastAsia="宋体" w:cs="宋体"/>
          <w:b w:val="0"/>
          <w:bCs w:val="0"/>
          <w:color w:val="000000"/>
          <w:kern w:val="2"/>
          <w:sz w:val="28"/>
          <w:szCs w:val="28"/>
          <w:lang w:val="en-US" w:eastAsia="zh-CN" w:bidi="ar-SA"/>
        </w:rPr>
        <w:t>，并量化分析运费与收入增长趋势的匹配性；（5）补充说明佣金的内容与支付对象、报关费的内容与支付对象，并分析变动原因</w:t>
      </w:r>
      <w:r>
        <w:rPr>
          <w:rFonts w:hint="eastAsia"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zh-CN" w:eastAsia="zh-CN" w:bidi="ar-SA"/>
        </w:rPr>
        <w:t>请保荐机构、申报会计师对上述事项进行核查并发表明确意见，并就费用确认的完整性、是否存在关联方或第三方为发行人代为承担费用的相关情形发表意见</w:t>
      </w:r>
      <w:r>
        <w:rPr>
          <w:rFonts w:hint="default" w:ascii="宋体" w:hAnsi="宋体" w:cs="宋体"/>
          <w:b w:val="0"/>
          <w:bCs w:val="0"/>
          <w:color w:val="000000"/>
          <w:kern w:val="2"/>
          <w:sz w:val="28"/>
          <w:szCs w:val="28"/>
          <w:lang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33、</w:t>
      </w:r>
      <w:r>
        <w:rPr>
          <w:rFonts w:hint="eastAsia" w:ascii="宋体" w:hAnsi="宋体" w:eastAsia="宋体" w:cs="宋体"/>
          <w:b w:val="0"/>
          <w:bCs w:val="0"/>
          <w:color w:val="000000"/>
          <w:kern w:val="2"/>
          <w:sz w:val="28"/>
          <w:szCs w:val="28"/>
          <w:lang w:val="zh-CN" w:eastAsia="zh-CN" w:bidi="ar-SA"/>
        </w:rPr>
        <w:t>报告期内管理费用</w:t>
      </w:r>
      <w:r>
        <w:rPr>
          <w:rFonts w:hint="default" w:ascii="宋体" w:hAnsi="宋体" w:eastAsia="宋体" w:cs="宋体"/>
          <w:b w:val="0"/>
          <w:bCs w:val="0"/>
          <w:color w:val="000000"/>
          <w:kern w:val="2"/>
          <w:sz w:val="28"/>
          <w:szCs w:val="28"/>
          <w:lang w:val="en-US" w:eastAsia="zh-CN" w:bidi="ar-SA"/>
        </w:rPr>
        <w:t>金额逐期增长</w:t>
      </w:r>
      <w:r>
        <w:rPr>
          <w:rFonts w:hint="default"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zh-CN" w:eastAsia="zh-CN" w:bidi="ar-SA"/>
        </w:rPr>
        <w:t>主要由职工薪酬、股份支付、专业服务费、办公通讯费等构成</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请发行人：</w:t>
      </w:r>
      <w:r>
        <w:rPr>
          <w:rFonts w:hint="eastAsia" w:ascii="宋体" w:hAnsi="宋体" w:eastAsia="宋体" w:cs="宋体"/>
          <w:b w:val="0"/>
          <w:bCs w:val="0"/>
          <w:color w:val="000000"/>
          <w:kern w:val="2"/>
          <w:sz w:val="28"/>
          <w:szCs w:val="28"/>
          <w:lang w:val="en-US" w:eastAsia="zh-CN" w:bidi="ar-SA"/>
        </w:rPr>
        <w:t>（1）补充说明剔除董事、监事和高管薪酬后，发行人管理人员各期平均薪酬水平及其波动原因，</w:t>
      </w:r>
      <w:r>
        <w:rPr>
          <w:rFonts w:hint="eastAsia" w:ascii="宋体" w:hAnsi="宋体" w:eastAsia="宋体" w:cs="宋体"/>
          <w:b w:val="0"/>
          <w:bCs w:val="0"/>
          <w:color w:val="000000"/>
          <w:kern w:val="2"/>
          <w:sz w:val="28"/>
          <w:szCs w:val="28"/>
          <w:lang w:val="zh-CN" w:eastAsia="zh-CN" w:bidi="ar-SA"/>
        </w:rPr>
        <w:t>是否明显低于同行业、同地区平均薪酬水平；</w:t>
      </w:r>
      <w:r>
        <w:rPr>
          <w:rFonts w:hint="default" w:ascii="宋体" w:hAnsi="宋体" w:eastAsia="宋体" w:cs="宋体"/>
          <w:b w:val="0"/>
          <w:bCs w:val="0"/>
          <w:color w:val="000000"/>
          <w:kern w:val="2"/>
          <w:sz w:val="28"/>
          <w:szCs w:val="28"/>
          <w:lang w:val="en-US" w:eastAsia="zh-CN" w:bidi="ar-SA"/>
        </w:rPr>
        <w:t>说明报告期管理人员薪酬增速较快的原因与合理性；</w:t>
      </w:r>
      <w:r>
        <w:rPr>
          <w:rFonts w:hint="eastAsia"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en-US" w:eastAsia="zh-CN" w:bidi="ar-SA"/>
        </w:rPr>
        <w:t>2</w:t>
      </w:r>
      <w:r>
        <w:rPr>
          <w:rFonts w:hint="eastAsia" w:ascii="宋体" w:hAnsi="宋体" w:eastAsia="宋体" w:cs="宋体"/>
          <w:b w:val="0"/>
          <w:bCs w:val="0"/>
          <w:color w:val="000000"/>
          <w:kern w:val="2"/>
          <w:sz w:val="28"/>
          <w:szCs w:val="28"/>
          <w:lang w:val="zh-CN" w:eastAsia="zh-CN" w:bidi="ar-SA"/>
        </w:rPr>
        <w:t>）补充说明</w:t>
      </w:r>
      <w:r>
        <w:rPr>
          <w:rFonts w:hint="default" w:ascii="宋体" w:hAnsi="宋体" w:eastAsia="宋体" w:cs="宋体"/>
          <w:b w:val="0"/>
          <w:bCs w:val="0"/>
          <w:color w:val="000000"/>
          <w:kern w:val="2"/>
          <w:sz w:val="28"/>
          <w:szCs w:val="28"/>
          <w:lang w:val="en-US" w:eastAsia="zh-CN" w:bidi="ar-SA"/>
        </w:rPr>
        <w:t>公司管理费用中股份支付的具体情况，股份支付对应价格是否公允，所属期间是否合理；（3）说明发行人管理费用率与收入增长趋势存在差异的原因与合理性；（4）补充披露管理费用率与同行业可比公司比较情况并分析差异原因。</w:t>
      </w:r>
      <w:r>
        <w:rPr>
          <w:rFonts w:hint="eastAsia" w:ascii="宋体" w:hAnsi="宋体" w:eastAsia="宋体" w:cs="宋体"/>
          <w:b w:val="0"/>
          <w:bCs w:val="0"/>
          <w:color w:val="000000"/>
          <w:kern w:val="2"/>
          <w:sz w:val="28"/>
          <w:szCs w:val="28"/>
          <w:lang w:val="zh-CN" w:eastAsia="zh-CN" w:bidi="ar-SA"/>
        </w:rPr>
        <w:t>请保荐机构、申报会计师核查并发表明确意见</w:t>
      </w:r>
      <w:r>
        <w:rPr>
          <w:rFonts w:hint="default" w:ascii="宋体" w:hAnsi="宋体" w:eastAsia="宋体" w:cs="宋体"/>
          <w:b w:val="0"/>
          <w:bCs w:val="0"/>
          <w:color w:val="000000"/>
          <w:kern w:val="2"/>
          <w:sz w:val="28"/>
          <w:szCs w:val="28"/>
          <w:lang w:val="en-US"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34、</w:t>
      </w:r>
      <w:r>
        <w:rPr>
          <w:rFonts w:hint="eastAsia" w:ascii="宋体" w:hAnsi="宋体" w:eastAsia="宋体" w:cs="宋体"/>
          <w:b w:val="0"/>
          <w:bCs w:val="0"/>
          <w:color w:val="000000"/>
          <w:kern w:val="2"/>
          <w:sz w:val="28"/>
          <w:szCs w:val="28"/>
          <w:lang w:val="zh-CN" w:eastAsia="zh-CN" w:bidi="ar-SA"/>
        </w:rPr>
        <w:t>报告期内</w:t>
      </w:r>
      <w:r>
        <w:rPr>
          <w:rFonts w:hint="default" w:ascii="宋体" w:hAnsi="宋体" w:eastAsia="宋体" w:cs="宋体"/>
          <w:b w:val="0"/>
          <w:bCs w:val="0"/>
          <w:color w:val="000000"/>
          <w:kern w:val="2"/>
          <w:sz w:val="28"/>
          <w:szCs w:val="28"/>
          <w:lang w:val="en-US" w:eastAsia="zh-CN" w:bidi="ar-SA"/>
        </w:rPr>
        <w:t>研发</w:t>
      </w:r>
      <w:r>
        <w:rPr>
          <w:rFonts w:hint="eastAsia" w:ascii="宋体" w:hAnsi="宋体" w:eastAsia="宋体" w:cs="宋体"/>
          <w:b w:val="0"/>
          <w:bCs w:val="0"/>
          <w:color w:val="000000"/>
          <w:kern w:val="2"/>
          <w:sz w:val="28"/>
          <w:szCs w:val="28"/>
          <w:lang w:val="zh-CN" w:eastAsia="zh-CN" w:bidi="ar-SA"/>
        </w:rPr>
        <w:t>费用</w:t>
      </w:r>
      <w:r>
        <w:rPr>
          <w:rFonts w:hint="eastAsia" w:ascii="宋体" w:hAnsi="宋体" w:eastAsia="宋体" w:cs="宋体"/>
          <w:b w:val="0"/>
          <w:bCs w:val="0"/>
          <w:color w:val="000000"/>
          <w:kern w:val="2"/>
          <w:sz w:val="28"/>
          <w:szCs w:val="28"/>
          <w:lang w:val="en-US" w:eastAsia="zh-CN" w:bidi="ar-SA"/>
        </w:rPr>
        <w:t>由职工薪酬、材料及动力费、折旧等构成</w:t>
      </w:r>
      <w:r>
        <w:rPr>
          <w:rFonts w:hint="default" w:ascii="宋体" w:hAnsi="宋体" w:eastAsia="宋体" w:cs="宋体"/>
          <w:b w:val="0"/>
          <w:bCs w:val="0"/>
          <w:color w:val="000000"/>
          <w:kern w:val="2"/>
          <w:sz w:val="28"/>
          <w:szCs w:val="28"/>
          <w:lang w:val="en-US" w:eastAsia="zh-CN" w:bidi="ar-SA"/>
        </w:rPr>
        <w:t>。请发行人：（1）说明报告期内是否存在其他方为公司或公司为其他方承担成本或费用的情形；（2）</w:t>
      </w:r>
      <w:r>
        <w:rPr>
          <w:rFonts w:hint="eastAsia" w:ascii="宋体" w:hAnsi="宋体" w:eastAsia="宋体" w:cs="宋体"/>
          <w:b w:val="0"/>
          <w:bCs w:val="0"/>
          <w:color w:val="000000"/>
          <w:kern w:val="2"/>
          <w:sz w:val="28"/>
          <w:szCs w:val="28"/>
          <w:lang w:val="en-US" w:eastAsia="zh-CN" w:bidi="ar-SA"/>
        </w:rPr>
        <w:t>报告期内研发人员工资</w:t>
      </w:r>
      <w:r>
        <w:rPr>
          <w:rFonts w:hint="default" w:ascii="宋体" w:hAnsi="宋体" w:eastAsia="宋体" w:cs="宋体"/>
          <w:b w:val="0"/>
          <w:bCs w:val="0"/>
          <w:color w:val="000000"/>
          <w:kern w:val="2"/>
          <w:sz w:val="28"/>
          <w:szCs w:val="28"/>
          <w:lang w:val="en-US" w:eastAsia="zh-CN" w:bidi="ar-SA"/>
        </w:rPr>
        <w:t>逐年增加</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请结合管理、研发人员的数量、</w:t>
      </w:r>
      <w:r>
        <w:rPr>
          <w:rFonts w:hint="eastAsia" w:ascii="宋体" w:hAnsi="宋体" w:eastAsia="宋体" w:cs="宋体"/>
          <w:b w:val="0"/>
          <w:bCs w:val="0"/>
          <w:color w:val="000000"/>
          <w:kern w:val="2"/>
          <w:sz w:val="28"/>
          <w:szCs w:val="28"/>
          <w:lang w:val="en-US" w:eastAsia="zh-CN" w:bidi="ar-SA"/>
        </w:rPr>
        <w:t>职级</w:t>
      </w:r>
      <w:r>
        <w:rPr>
          <w:rFonts w:hint="default" w:ascii="宋体" w:hAnsi="宋体" w:eastAsia="宋体" w:cs="宋体"/>
          <w:b w:val="0"/>
          <w:bCs w:val="0"/>
          <w:color w:val="000000"/>
          <w:kern w:val="2"/>
          <w:sz w:val="28"/>
          <w:szCs w:val="28"/>
          <w:lang w:val="en-US" w:eastAsia="zh-CN" w:bidi="ar-SA"/>
        </w:rPr>
        <w:t>结构等，说明职工薪酬变化的原因，人员平均薪酬是否与同行业可比公司及当地平均工资存在差异并分析差异原因；（3）按项目说明研发项目构成情况，成果表现方式，各期研发投入金额与占比情况；（4）说明研发费用计量是否准确，是否存在将生产经营费用混入研发费用的情况，如有，测算对报表的影响情况。请保荐机构和会计师核查上述情况并逐条发表明确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eastAsia"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35、</w:t>
      </w:r>
      <w:r>
        <w:rPr>
          <w:rFonts w:hint="default" w:ascii="宋体" w:hAnsi="宋体" w:eastAsia="宋体" w:cs="宋体"/>
          <w:b w:val="0"/>
          <w:bCs w:val="0"/>
          <w:color w:val="000000"/>
          <w:kern w:val="2"/>
          <w:sz w:val="28"/>
          <w:szCs w:val="28"/>
          <w:lang w:val="en-US" w:eastAsia="zh-CN" w:bidi="ar-SA"/>
        </w:rPr>
        <w:t>关于经营活动产生的现金流量，</w:t>
      </w:r>
      <w:r>
        <w:rPr>
          <w:rFonts w:hint="eastAsia" w:ascii="宋体" w:hAnsi="宋体" w:eastAsia="宋体" w:cs="宋体"/>
          <w:b w:val="0"/>
          <w:bCs w:val="0"/>
          <w:color w:val="000000"/>
          <w:kern w:val="2"/>
          <w:sz w:val="28"/>
          <w:szCs w:val="28"/>
          <w:lang w:val="zh-CN" w:eastAsia="zh-CN" w:bidi="ar-SA"/>
        </w:rPr>
        <w:t>请发行人</w:t>
      </w:r>
      <w:r>
        <w:rPr>
          <w:rFonts w:hint="default" w:ascii="宋体" w:hAnsi="宋体" w:eastAsia="宋体" w:cs="宋体"/>
          <w:b w:val="0"/>
          <w:bCs w:val="0"/>
          <w:color w:val="000000"/>
          <w:kern w:val="2"/>
          <w:sz w:val="28"/>
          <w:szCs w:val="28"/>
          <w:lang w:val="en-US" w:eastAsia="zh-CN" w:bidi="ar-SA"/>
        </w:rPr>
        <w:t>：（1）</w:t>
      </w:r>
      <w:r>
        <w:rPr>
          <w:rFonts w:hint="eastAsia" w:ascii="宋体" w:hAnsi="宋体" w:eastAsia="宋体" w:cs="宋体"/>
          <w:b w:val="0"/>
          <w:bCs w:val="0"/>
          <w:color w:val="000000"/>
          <w:kern w:val="2"/>
          <w:sz w:val="28"/>
          <w:szCs w:val="28"/>
          <w:lang w:val="zh-CN" w:eastAsia="zh-CN" w:bidi="ar-SA"/>
        </w:rPr>
        <w:t>补充</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zh-CN" w:eastAsia="zh-CN" w:bidi="ar-SA"/>
        </w:rPr>
        <w:t>经营活动产生的现金流量</w:t>
      </w:r>
      <w:r>
        <w:rPr>
          <w:rFonts w:hint="default" w:ascii="宋体" w:hAnsi="宋体" w:eastAsia="宋体" w:cs="宋体"/>
          <w:b w:val="0"/>
          <w:bCs w:val="0"/>
          <w:color w:val="000000"/>
          <w:kern w:val="2"/>
          <w:sz w:val="28"/>
          <w:szCs w:val="28"/>
          <w:lang w:val="en-US" w:eastAsia="zh-CN" w:bidi="ar-SA"/>
        </w:rPr>
        <w:t>与</w:t>
      </w:r>
      <w:r>
        <w:rPr>
          <w:rFonts w:hint="eastAsia" w:ascii="宋体" w:hAnsi="宋体" w:eastAsia="宋体" w:cs="宋体"/>
          <w:b w:val="0"/>
          <w:bCs w:val="0"/>
          <w:color w:val="000000"/>
          <w:kern w:val="2"/>
          <w:sz w:val="28"/>
          <w:szCs w:val="28"/>
          <w:lang w:val="zh-CN" w:eastAsia="zh-CN" w:bidi="ar-SA"/>
        </w:rPr>
        <w:t>净利润</w:t>
      </w:r>
      <w:r>
        <w:rPr>
          <w:rFonts w:hint="default" w:ascii="宋体" w:hAnsi="宋体" w:eastAsia="宋体" w:cs="宋体"/>
          <w:b w:val="0"/>
          <w:bCs w:val="0"/>
          <w:color w:val="000000"/>
          <w:kern w:val="2"/>
          <w:sz w:val="28"/>
          <w:szCs w:val="28"/>
          <w:lang w:val="en-US" w:eastAsia="zh-CN" w:bidi="ar-SA"/>
        </w:rPr>
        <w:t>存在较大差异</w:t>
      </w:r>
      <w:r>
        <w:rPr>
          <w:rFonts w:hint="eastAsia" w:ascii="宋体" w:hAnsi="宋体" w:eastAsia="宋体" w:cs="宋体"/>
          <w:b w:val="0"/>
          <w:bCs w:val="0"/>
          <w:color w:val="000000"/>
          <w:kern w:val="2"/>
          <w:sz w:val="28"/>
          <w:szCs w:val="28"/>
          <w:lang w:val="zh-CN" w:eastAsia="zh-CN" w:bidi="ar-SA"/>
        </w:rPr>
        <w:t>的原因及合理性，是否与行业惯例一致，是否与销售政策、采购政策、信用政策变化情况相匹配；</w:t>
      </w:r>
      <w:r>
        <w:rPr>
          <w:rFonts w:hint="default" w:ascii="宋体" w:hAnsi="宋体" w:eastAsia="宋体" w:cs="宋体"/>
          <w:b w:val="0"/>
          <w:bCs w:val="0"/>
          <w:color w:val="000000"/>
          <w:kern w:val="2"/>
          <w:sz w:val="28"/>
          <w:szCs w:val="28"/>
          <w:lang w:val="en-US" w:eastAsia="zh-CN" w:bidi="ar-SA"/>
        </w:rPr>
        <w:t>（2）</w:t>
      </w:r>
      <w:r>
        <w:rPr>
          <w:rFonts w:hint="eastAsia" w:ascii="宋体" w:hAnsi="宋体" w:eastAsia="宋体" w:cs="宋体"/>
          <w:b w:val="0"/>
          <w:bCs w:val="0"/>
          <w:color w:val="000000"/>
          <w:kern w:val="2"/>
          <w:sz w:val="28"/>
          <w:szCs w:val="28"/>
          <w:lang w:val="zh-CN" w:eastAsia="zh-CN" w:bidi="ar-SA"/>
        </w:rPr>
        <w:t>补充</w:t>
      </w:r>
      <w:r>
        <w:rPr>
          <w:rFonts w:hint="eastAsia"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zh-CN" w:eastAsia="zh-CN" w:bidi="ar-SA"/>
        </w:rPr>
        <w:t>经营活动现金流量主要项目与资产负债表、利润表中相关项目的勾稽关系是否相符。请保荐机构、申报会计师对上述问题进行核查，并发表明确核查意见</w:t>
      </w:r>
      <w:r>
        <w:rPr>
          <w:rFonts w:hint="eastAsia" w:ascii="宋体" w:hAnsi="宋体" w:eastAsia="宋体" w:cs="宋体"/>
          <w:b w:val="0"/>
          <w:bCs w:val="0"/>
          <w:color w:val="000000"/>
          <w:kern w:val="2"/>
          <w:sz w:val="28"/>
          <w:szCs w:val="28"/>
          <w:lang w:val="en-US"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eastAsia"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36、</w:t>
      </w:r>
      <w:r>
        <w:rPr>
          <w:rFonts w:hint="default" w:ascii="宋体" w:hAnsi="宋体" w:eastAsia="宋体" w:cs="宋体"/>
          <w:b w:val="0"/>
          <w:bCs w:val="0"/>
          <w:color w:val="000000"/>
          <w:kern w:val="2"/>
          <w:sz w:val="28"/>
          <w:szCs w:val="28"/>
          <w:lang w:val="zh-CN" w:eastAsia="zh-CN" w:bidi="ar-SA"/>
        </w:rPr>
        <w:t>关于</w:t>
      </w:r>
      <w:r>
        <w:rPr>
          <w:rFonts w:hint="eastAsia" w:ascii="宋体" w:hAnsi="宋体" w:eastAsia="宋体" w:cs="宋体"/>
          <w:b w:val="0"/>
          <w:bCs w:val="0"/>
          <w:color w:val="000000"/>
          <w:kern w:val="2"/>
          <w:sz w:val="28"/>
          <w:szCs w:val="28"/>
          <w:lang w:val="zh-CN" w:eastAsia="zh-CN" w:bidi="ar-SA"/>
        </w:rPr>
        <w:t>货币资金。</w:t>
      </w:r>
      <w:r>
        <w:rPr>
          <w:rFonts w:hint="eastAsia" w:ascii="宋体" w:hAnsi="宋体" w:eastAsia="宋体" w:cs="宋体"/>
          <w:b w:val="0"/>
          <w:bCs w:val="0"/>
          <w:color w:val="000000"/>
          <w:kern w:val="2"/>
          <w:sz w:val="28"/>
          <w:szCs w:val="28"/>
          <w:lang w:val="en-US" w:eastAsia="zh-CN" w:bidi="ar-SA"/>
        </w:rPr>
        <w:t>请说明对货币资金的管理制度和内控制度以及是否执行有效。请保荐机构、申报会计师就上述事项发表核查意见，并说明对发行人货币资金真实性的核查方法和过程，是否发现异常现金收支的情形</w:t>
      </w:r>
      <w:r>
        <w:rPr>
          <w:rFonts w:hint="eastAsia" w:ascii="宋体" w:hAnsi="宋体" w:eastAsia="宋体" w:cs="宋体"/>
          <w:b w:val="0"/>
          <w:bCs w:val="0"/>
          <w:color w:val="000000"/>
          <w:kern w:val="2"/>
          <w:sz w:val="28"/>
          <w:szCs w:val="28"/>
          <w:lang w:val="zh-CN"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37、</w:t>
      </w:r>
      <w:r>
        <w:rPr>
          <w:rFonts w:hint="default" w:ascii="宋体" w:hAnsi="宋体" w:eastAsia="宋体" w:cs="宋体"/>
          <w:b w:val="0"/>
          <w:bCs w:val="0"/>
          <w:color w:val="000000"/>
          <w:kern w:val="2"/>
          <w:sz w:val="28"/>
          <w:szCs w:val="28"/>
          <w:lang w:val="en-US" w:eastAsia="zh-CN" w:bidi="ar-SA"/>
        </w:rPr>
        <w:t>2021年末</w:t>
      </w:r>
      <w:r>
        <w:rPr>
          <w:rFonts w:hint="eastAsia" w:ascii="宋体" w:hAnsi="宋体" w:eastAsia="宋体" w:cs="宋体"/>
          <w:b w:val="0"/>
          <w:bCs w:val="0"/>
          <w:color w:val="000000"/>
          <w:kern w:val="2"/>
          <w:sz w:val="28"/>
          <w:szCs w:val="28"/>
          <w:lang w:val="en-US" w:eastAsia="zh-CN" w:bidi="ar-SA"/>
        </w:rPr>
        <w:t>，发行人应收票据</w:t>
      </w:r>
      <w:r>
        <w:rPr>
          <w:rFonts w:hint="default" w:ascii="宋体" w:hAnsi="宋体" w:eastAsia="宋体" w:cs="宋体"/>
          <w:b w:val="0"/>
          <w:bCs w:val="0"/>
          <w:color w:val="000000"/>
          <w:kern w:val="2"/>
          <w:sz w:val="28"/>
          <w:szCs w:val="28"/>
          <w:lang w:val="en-US" w:eastAsia="zh-CN" w:bidi="ar-SA"/>
        </w:rPr>
        <w:t>账面价值</w:t>
      </w:r>
      <w:r>
        <w:rPr>
          <w:rFonts w:hint="eastAsia" w:ascii="宋体" w:hAnsi="宋体" w:eastAsia="宋体" w:cs="宋体"/>
          <w:b w:val="0"/>
          <w:bCs w:val="0"/>
          <w:color w:val="000000"/>
          <w:kern w:val="2"/>
          <w:sz w:val="28"/>
          <w:szCs w:val="28"/>
          <w:lang w:val="en-US" w:eastAsia="zh-CN" w:bidi="ar-SA"/>
        </w:rPr>
        <w:t>7,</w:t>
      </w:r>
      <w:r>
        <w:rPr>
          <w:rFonts w:hint="default" w:ascii="宋体" w:hAnsi="宋体" w:eastAsia="宋体" w:cs="宋体"/>
          <w:b w:val="0"/>
          <w:bCs w:val="0"/>
          <w:color w:val="000000"/>
          <w:kern w:val="2"/>
          <w:sz w:val="28"/>
          <w:szCs w:val="28"/>
          <w:lang w:val="en-US" w:eastAsia="zh-CN" w:bidi="ar-SA"/>
        </w:rPr>
        <w:t>432.08</w:t>
      </w:r>
      <w:r>
        <w:rPr>
          <w:rFonts w:hint="eastAsia" w:ascii="宋体" w:hAnsi="宋体" w:eastAsia="宋体" w:cs="宋体"/>
          <w:b w:val="0"/>
          <w:bCs w:val="0"/>
          <w:color w:val="000000"/>
          <w:kern w:val="2"/>
          <w:sz w:val="28"/>
          <w:szCs w:val="28"/>
          <w:lang w:val="en-US" w:eastAsia="zh-CN" w:bidi="ar-SA"/>
        </w:rPr>
        <w:t>万元，所涉票据主要为银行承兑汇票</w:t>
      </w:r>
      <w:r>
        <w:rPr>
          <w:rFonts w:hint="default" w:ascii="宋体" w:hAnsi="宋体" w:eastAsia="宋体" w:cs="宋体"/>
          <w:b w:val="0"/>
          <w:bCs w:val="0"/>
          <w:color w:val="000000"/>
          <w:kern w:val="2"/>
          <w:sz w:val="28"/>
          <w:szCs w:val="28"/>
          <w:lang w:val="en-US" w:eastAsia="zh-CN" w:bidi="ar-SA"/>
        </w:rPr>
        <w:t>；报告期各期，应收账款净额分别为48,700.08</w:t>
      </w:r>
      <w:r>
        <w:rPr>
          <w:rFonts w:hint="eastAsia" w:ascii="宋体" w:hAnsi="宋体" w:eastAsia="宋体" w:cs="宋体"/>
          <w:b w:val="0"/>
          <w:bCs w:val="0"/>
          <w:color w:val="000000"/>
          <w:kern w:val="2"/>
          <w:sz w:val="28"/>
          <w:szCs w:val="28"/>
          <w:lang w:val="en-US" w:eastAsia="zh-CN" w:bidi="ar-SA"/>
        </w:rPr>
        <w:t>万元、</w:t>
      </w:r>
      <w:r>
        <w:rPr>
          <w:rFonts w:hint="default" w:ascii="宋体" w:hAnsi="宋体" w:eastAsia="宋体" w:cs="宋体"/>
          <w:b w:val="0"/>
          <w:bCs w:val="0"/>
          <w:color w:val="000000"/>
          <w:kern w:val="2"/>
          <w:sz w:val="28"/>
          <w:szCs w:val="28"/>
          <w:lang w:val="en-US" w:eastAsia="zh-CN" w:bidi="ar-SA"/>
        </w:rPr>
        <w:t>48,387.58</w:t>
      </w:r>
      <w:r>
        <w:rPr>
          <w:rFonts w:hint="eastAsia" w:ascii="宋体" w:hAnsi="宋体" w:eastAsia="宋体" w:cs="宋体"/>
          <w:b w:val="0"/>
          <w:bCs w:val="0"/>
          <w:color w:val="000000"/>
          <w:kern w:val="2"/>
          <w:sz w:val="28"/>
          <w:szCs w:val="28"/>
          <w:lang w:val="en-US" w:eastAsia="zh-CN" w:bidi="ar-SA"/>
        </w:rPr>
        <w:t>万元和</w:t>
      </w:r>
      <w:r>
        <w:rPr>
          <w:rFonts w:hint="default" w:ascii="宋体" w:hAnsi="宋体" w:eastAsia="宋体" w:cs="宋体"/>
          <w:b w:val="0"/>
          <w:bCs w:val="0"/>
          <w:color w:val="000000"/>
          <w:kern w:val="2"/>
          <w:sz w:val="28"/>
          <w:szCs w:val="28"/>
          <w:lang w:val="en-US" w:eastAsia="zh-CN" w:bidi="ar-SA"/>
        </w:rPr>
        <w:t>74,</w:t>
      </w:r>
      <w:r>
        <w:rPr>
          <w:rFonts w:hint="default" w:ascii="宋体" w:hAnsi="宋体" w:eastAsia="宋体" w:cs="宋体"/>
          <w:b w:val="0"/>
          <w:bCs w:val="0"/>
          <w:color w:val="000000"/>
          <w:kern w:val="2"/>
          <w:sz w:val="28"/>
          <w:szCs w:val="28"/>
          <w:lang w:val="en-GB" w:eastAsia="zh-CN" w:bidi="ar-SA"/>
        </w:rPr>
        <w:t>073.29</w:t>
      </w:r>
      <w:r>
        <w:rPr>
          <w:rFonts w:hint="eastAsia" w:ascii="宋体" w:hAnsi="宋体" w:eastAsia="宋体" w:cs="宋体"/>
          <w:b w:val="0"/>
          <w:bCs w:val="0"/>
          <w:color w:val="000000"/>
          <w:kern w:val="2"/>
          <w:sz w:val="28"/>
          <w:szCs w:val="28"/>
          <w:lang w:val="en-US" w:eastAsia="zh-CN" w:bidi="ar-SA"/>
        </w:rPr>
        <w:t>万元</w:t>
      </w:r>
      <w:r>
        <w:rPr>
          <w:rFonts w:hint="default" w:ascii="宋体" w:hAnsi="宋体" w:eastAsia="宋体" w:cs="宋体"/>
          <w:b w:val="0"/>
          <w:bCs w:val="0"/>
          <w:color w:val="000000"/>
          <w:kern w:val="2"/>
          <w:sz w:val="28"/>
          <w:szCs w:val="28"/>
          <w:lang w:val="en-US" w:eastAsia="zh-CN" w:bidi="ar-SA"/>
        </w:rPr>
        <w:t>。请发行人：</w:t>
      </w:r>
      <w:r>
        <w:rPr>
          <w:rFonts w:hint="eastAsia" w:ascii="宋体" w:hAnsi="宋体" w:eastAsia="宋体" w:cs="宋体"/>
          <w:b w:val="0"/>
          <w:bCs w:val="0"/>
          <w:color w:val="000000"/>
          <w:kern w:val="2"/>
          <w:sz w:val="28"/>
          <w:szCs w:val="28"/>
          <w:lang w:val="en-US" w:eastAsia="zh-CN" w:bidi="ar-SA"/>
        </w:rPr>
        <w:t>（1</w:t>
      </w:r>
      <w:r>
        <w:rPr>
          <w:rFonts w:hint="eastAsia" w:ascii="宋体" w:hAnsi="宋体" w:eastAsia="宋体" w:cs="宋体"/>
          <w:b w:val="0"/>
          <w:bCs w:val="0"/>
          <w:color w:val="000000"/>
          <w:kern w:val="2"/>
          <w:sz w:val="28"/>
          <w:szCs w:val="28"/>
          <w:lang w:val="zh-CN" w:eastAsia="zh-CN" w:bidi="ar-SA"/>
        </w:rPr>
        <w:t>）补充披露</w:t>
      </w:r>
      <w:r>
        <w:rPr>
          <w:rFonts w:hint="default" w:ascii="宋体" w:hAnsi="宋体" w:eastAsia="宋体" w:cs="宋体"/>
          <w:b w:val="0"/>
          <w:bCs w:val="0"/>
          <w:color w:val="000000"/>
          <w:kern w:val="2"/>
          <w:sz w:val="28"/>
          <w:szCs w:val="28"/>
          <w:lang w:val="en-US" w:eastAsia="zh-CN" w:bidi="ar-SA"/>
        </w:rPr>
        <w:t>应收账款账龄政策、</w:t>
      </w:r>
      <w:r>
        <w:rPr>
          <w:rFonts w:hint="eastAsia" w:ascii="宋体" w:hAnsi="宋体" w:eastAsia="宋体" w:cs="宋体"/>
          <w:b w:val="0"/>
          <w:bCs w:val="0"/>
          <w:color w:val="000000"/>
          <w:kern w:val="2"/>
          <w:sz w:val="28"/>
          <w:szCs w:val="28"/>
          <w:lang w:val="zh-CN" w:eastAsia="zh-CN" w:bidi="ar-SA"/>
        </w:rPr>
        <w:t>坏账</w:t>
      </w:r>
      <w:r>
        <w:rPr>
          <w:rFonts w:hint="default" w:ascii="宋体" w:hAnsi="宋体" w:eastAsia="宋体" w:cs="宋体"/>
          <w:b w:val="0"/>
          <w:bCs w:val="0"/>
          <w:color w:val="000000"/>
          <w:kern w:val="2"/>
          <w:sz w:val="28"/>
          <w:szCs w:val="28"/>
          <w:lang w:val="en-US" w:eastAsia="zh-CN" w:bidi="ar-SA"/>
        </w:rPr>
        <w:t>准备</w:t>
      </w:r>
      <w:r>
        <w:rPr>
          <w:rFonts w:hint="eastAsia" w:ascii="宋体" w:hAnsi="宋体" w:eastAsia="宋体" w:cs="宋体"/>
          <w:b w:val="0"/>
          <w:bCs w:val="0"/>
          <w:color w:val="000000"/>
          <w:kern w:val="2"/>
          <w:sz w:val="28"/>
          <w:szCs w:val="28"/>
          <w:lang w:val="zh-CN" w:eastAsia="zh-CN" w:bidi="ar-SA"/>
        </w:rPr>
        <w:t>计提政策、坏账计提的充分性，并说明</w:t>
      </w:r>
      <w:r>
        <w:rPr>
          <w:rFonts w:hint="eastAsia" w:ascii="宋体" w:hAnsi="宋体" w:eastAsia="宋体" w:cs="宋体"/>
          <w:b w:val="0"/>
          <w:bCs w:val="0"/>
          <w:color w:val="000000"/>
          <w:kern w:val="2"/>
          <w:sz w:val="28"/>
          <w:szCs w:val="28"/>
          <w:lang w:val="en-US" w:eastAsia="zh-CN" w:bidi="ar-SA"/>
        </w:rPr>
        <w:t>是否存在收入确认时以应收账款进行初始确认后转为票据结算的情形，如存在，发行人是否已经按照账龄连续计算的原则对应收票据计提坏账准备；</w:t>
      </w:r>
      <w:r>
        <w:rPr>
          <w:rFonts w:hint="default" w:ascii="宋体" w:hAnsi="宋体" w:eastAsia="宋体" w:cs="宋体"/>
          <w:b w:val="0"/>
          <w:bCs w:val="0"/>
          <w:color w:val="000000"/>
          <w:kern w:val="2"/>
          <w:sz w:val="28"/>
          <w:szCs w:val="28"/>
          <w:lang w:val="en-US" w:eastAsia="zh-CN" w:bidi="ar-SA"/>
        </w:rPr>
        <w:t>（2）说明应收票据</w:t>
      </w:r>
      <w:r>
        <w:rPr>
          <w:rFonts w:hint="eastAsia" w:ascii="宋体" w:hAnsi="宋体" w:eastAsia="宋体" w:cs="宋体"/>
          <w:b w:val="0"/>
          <w:bCs w:val="0"/>
          <w:color w:val="000000"/>
          <w:kern w:val="2"/>
          <w:sz w:val="28"/>
          <w:szCs w:val="28"/>
          <w:lang w:val="en-US" w:eastAsia="zh-CN" w:bidi="ar-SA"/>
        </w:rPr>
        <w:t>背书、贴现及承兑汇票的情况，出票银行以及终止确认情况</w:t>
      </w:r>
      <w:r>
        <w:rPr>
          <w:rFonts w:hint="default" w:ascii="宋体" w:hAnsi="宋体" w:eastAsia="宋体" w:cs="宋体"/>
          <w:b w:val="0"/>
          <w:bCs w:val="0"/>
          <w:color w:val="000000"/>
          <w:kern w:val="2"/>
          <w:sz w:val="28"/>
          <w:szCs w:val="28"/>
          <w:lang w:val="en-US" w:eastAsia="zh-CN" w:bidi="ar-SA"/>
        </w:rPr>
        <w:t>，是否存在</w:t>
      </w:r>
      <w:r>
        <w:rPr>
          <w:rFonts w:hint="eastAsia" w:ascii="宋体" w:hAnsi="宋体" w:eastAsia="宋体" w:cs="宋体"/>
          <w:b w:val="0"/>
          <w:bCs w:val="0"/>
          <w:color w:val="000000"/>
          <w:kern w:val="2"/>
          <w:sz w:val="28"/>
          <w:szCs w:val="28"/>
          <w:lang w:val="en-US" w:eastAsia="zh-CN" w:bidi="ar-SA"/>
        </w:rPr>
        <w:t>应收票据到期不能兑付的情况</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3</w:t>
      </w:r>
      <w:r>
        <w:rPr>
          <w:rFonts w:hint="eastAsia" w:ascii="宋体" w:hAnsi="宋体" w:eastAsia="宋体" w:cs="宋体"/>
          <w:b w:val="0"/>
          <w:bCs w:val="0"/>
          <w:color w:val="000000"/>
          <w:kern w:val="2"/>
          <w:sz w:val="28"/>
          <w:szCs w:val="28"/>
          <w:lang w:val="en-US" w:eastAsia="zh-CN" w:bidi="ar-SA"/>
        </w:rPr>
        <w:t>）请结合业务特点、行业特征、结算模式、信用政策等因素，分析报告期应收账款</w:t>
      </w:r>
      <w:r>
        <w:rPr>
          <w:rFonts w:hint="default" w:ascii="宋体" w:hAnsi="宋体" w:eastAsia="宋体" w:cs="宋体"/>
          <w:b w:val="0"/>
          <w:bCs w:val="0"/>
          <w:color w:val="000000"/>
          <w:kern w:val="2"/>
          <w:sz w:val="28"/>
          <w:szCs w:val="28"/>
          <w:lang w:val="en-US" w:eastAsia="zh-CN" w:bidi="ar-SA"/>
        </w:rPr>
        <w:t>波动</w:t>
      </w:r>
      <w:r>
        <w:rPr>
          <w:rFonts w:hint="eastAsia" w:ascii="宋体" w:hAnsi="宋体" w:eastAsia="宋体" w:cs="宋体"/>
          <w:b w:val="0"/>
          <w:bCs w:val="0"/>
          <w:color w:val="000000"/>
          <w:kern w:val="2"/>
          <w:sz w:val="28"/>
          <w:szCs w:val="28"/>
          <w:lang w:val="en-US" w:eastAsia="zh-CN" w:bidi="ar-SA"/>
        </w:rPr>
        <w:t>的原因，与同行业可比公司进行比较并分析原因和合理性；（</w:t>
      </w:r>
      <w:r>
        <w:rPr>
          <w:rFonts w:hint="default" w:ascii="宋体" w:hAnsi="宋体" w:eastAsia="宋体" w:cs="宋体"/>
          <w:b w:val="0"/>
          <w:bCs w:val="0"/>
          <w:color w:val="000000"/>
          <w:kern w:val="2"/>
          <w:sz w:val="28"/>
          <w:szCs w:val="28"/>
          <w:lang w:val="en-US" w:eastAsia="zh-CN" w:bidi="ar-SA"/>
        </w:rPr>
        <w:t>4</w:t>
      </w:r>
      <w:r>
        <w:rPr>
          <w:rFonts w:hint="eastAsia" w:ascii="宋体" w:hAnsi="宋体" w:eastAsia="宋体" w:cs="宋体"/>
          <w:b w:val="0"/>
          <w:bCs w:val="0"/>
          <w:color w:val="000000"/>
          <w:kern w:val="2"/>
          <w:sz w:val="28"/>
          <w:szCs w:val="28"/>
          <w:lang w:val="en-US" w:eastAsia="zh-CN" w:bidi="ar-SA"/>
        </w:rPr>
        <w:t>）补充说明</w:t>
      </w:r>
      <w:r>
        <w:rPr>
          <w:rFonts w:hint="eastAsia" w:ascii="宋体" w:hAnsi="宋体" w:eastAsia="宋体" w:cs="宋体"/>
          <w:b w:val="0"/>
          <w:bCs w:val="0"/>
          <w:color w:val="000000"/>
          <w:kern w:val="2"/>
          <w:sz w:val="28"/>
          <w:szCs w:val="28"/>
          <w:lang w:val="zh-CN" w:eastAsia="zh-CN" w:bidi="ar-SA"/>
        </w:rPr>
        <w:t>发行人对主要客户的信用政策，应收账款金额与信用政策是否匹配，信用政策是否严格执行及应收账款的逾期情况，</w:t>
      </w:r>
      <w:r>
        <w:rPr>
          <w:rFonts w:hint="eastAsia" w:ascii="宋体" w:hAnsi="宋体" w:eastAsia="宋体" w:cs="宋体"/>
          <w:b w:val="0"/>
          <w:bCs w:val="0"/>
          <w:color w:val="000000"/>
          <w:kern w:val="2"/>
          <w:sz w:val="28"/>
          <w:szCs w:val="28"/>
          <w:lang w:val="en-US" w:eastAsia="zh-CN" w:bidi="ar-SA"/>
        </w:rPr>
        <w:t>是否存在通过放宽信用政策增加业务收入的情况</w:t>
      </w:r>
      <w:r>
        <w:rPr>
          <w:rFonts w:hint="eastAsia"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5</w:t>
      </w:r>
      <w:r>
        <w:rPr>
          <w:rFonts w:hint="eastAsia" w:ascii="宋体" w:hAnsi="宋体" w:eastAsia="宋体" w:cs="宋体"/>
          <w:b w:val="0"/>
          <w:bCs w:val="0"/>
          <w:color w:val="000000"/>
          <w:kern w:val="2"/>
          <w:sz w:val="28"/>
          <w:szCs w:val="28"/>
          <w:lang w:val="en-US" w:eastAsia="zh-CN" w:bidi="ar-SA"/>
        </w:rPr>
        <w:t>）结合各期末应收账款账龄情况、期后回款情况及进度、报告期坏账实际核销情况、同行业可比公司坏账计提政策等因素，说明应收账款坏账准备计提的充分性；（</w:t>
      </w:r>
      <w:r>
        <w:rPr>
          <w:rFonts w:hint="default" w:ascii="宋体" w:hAnsi="宋体" w:eastAsia="宋体" w:cs="宋体"/>
          <w:b w:val="0"/>
          <w:bCs w:val="0"/>
          <w:color w:val="000000"/>
          <w:kern w:val="2"/>
          <w:sz w:val="28"/>
          <w:szCs w:val="28"/>
          <w:lang w:val="en-US" w:eastAsia="zh-CN" w:bidi="ar-SA"/>
        </w:rPr>
        <w:t>6</w:t>
      </w:r>
      <w:r>
        <w:rPr>
          <w:rFonts w:hint="eastAsia" w:ascii="宋体" w:hAnsi="宋体" w:eastAsia="宋体" w:cs="宋体"/>
          <w:b w:val="0"/>
          <w:bCs w:val="0"/>
          <w:color w:val="000000"/>
          <w:kern w:val="2"/>
          <w:sz w:val="28"/>
          <w:szCs w:val="28"/>
          <w:lang w:val="en-US" w:eastAsia="zh-CN" w:bidi="ar-SA"/>
        </w:rPr>
        <w:t>）补充</w:t>
      </w:r>
      <w:r>
        <w:rPr>
          <w:rFonts w:hint="eastAsia" w:ascii="宋体" w:hAnsi="宋体" w:eastAsia="宋体" w:cs="宋体"/>
          <w:b w:val="0"/>
          <w:bCs w:val="0"/>
          <w:color w:val="000000"/>
          <w:kern w:val="2"/>
          <w:sz w:val="28"/>
          <w:szCs w:val="28"/>
          <w:lang w:val="zh-CN" w:eastAsia="zh-CN" w:bidi="ar-SA"/>
        </w:rPr>
        <w:t>说明主要应收账款客户与主要客户是否匹配</w:t>
      </w:r>
      <w:r>
        <w:rPr>
          <w:rFonts w:hint="default" w:ascii="宋体" w:hAnsi="宋体" w:eastAsia="宋体" w:cs="宋体"/>
          <w:b w:val="0"/>
          <w:bCs w:val="0"/>
          <w:color w:val="000000"/>
          <w:kern w:val="2"/>
          <w:sz w:val="28"/>
          <w:szCs w:val="28"/>
          <w:lang w:val="en-US" w:eastAsia="zh-CN" w:bidi="ar-SA"/>
        </w:rPr>
        <w:t>；（7）说明报告期主要客户实际收款情况，是否与约定结算进度存在差异。</w:t>
      </w:r>
      <w:r>
        <w:rPr>
          <w:rFonts w:hint="eastAsia" w:ascii="宋体" w:hAnsi="宋体" w:eastAsia="宋体" w:cs="宋体"/>
          <w:b w:val="0"/>
          <w:bCs w:val="0"/>
          <w:color w:val="000000"/>
          <w:kern w:val="2"/>
          <w:sz w:val="28"/>
          <w:szCs w:val="28"/>
          <w:lang w:val="en-US" w:eastAsia="zh-CN" w:bidi="ar-SA"/>
        </w:rPr>
        <w:t>请保荐机构、申报会计师详细说明对上述事项以及应收账款真实性、坏账准备计提充分性的核查情况，包括过程、比例、结果和核查意见。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38、</w:t>
      </w:r>
      <w:r>
        <w:rPr>
          <w:rFonts w:hint="default" w:ascii="宋体" w:hAnsi="宋体" w:eastAsia="宋体" w:cs="宋体"/>
          <w:b w:val="0"/>
          <w:bCs w:val="0"/>
          <w:color w:val="000000"/>
          <w:kern w:val="2"/>
          <w:sz w:val="28"/>
          <w:szCs w:val="28"/>
          <w:lang w:val="en-US" w:eastAsia="zh-CN" w:bidi="ar-SA"/>
        </w:rPr>
        <w:t>报告期内发行人</w:t>
      </w:r>
      <w:r>
        <w:rPr>
          <w:rFonts w:hint="eastAsia" w:ascii="宋体" w:hAnsi="宋体" w:eastAsia="宋体" w:cs="宋体"/>
          <w:b w:val="0"/>
          <w:bCs w:val="0"/>
          <w:color w:val="000000"/>
          <w:kern w:val="2"/>
          <w:sz w:val="28"/>
          <w:szCs w:val="28"/>
          <w:lang w:val="zh-CN" w:eastAsia="zh-CN" w:bidi="ar-SA"/>
        </w:rPr>
        <w:t>存货</w:t>
      </w:r>
      <w:r>
        <w:rPr>
          <w:rFonts w:hint="default" w:ascii="宋体" w:hAnsi="宋体" w:eastAsia="宋体" w:cs="宋体"/>
          <w:b w:val="0"/>
          <w:bCs w:val="0"/>
          <w:color w:val="000000"/>
          <w:kern w:val="2"/>
          <w:sz w:val="28"/>
          <w:szCs w:val="28"/>
          <w:lang w:val="en-US" w:eastAsia="zh-CN" w:bidi="ar-SA"/>
        </w:rPr>
        <w:t>余额账面价值</w:t>
      </w:r>
      <w:r>
        <w:rPr>
          <w:rFonts w:hint="eastAsia" w:ascii="宋体" w:hAnsi="宋体" w:eastAsia="宋体" w:cs="宋体"/>
          <w:b w:val="0"/>
          <w:bCs w:val="0"/>
          <w:color w:val="000000"/>
          <w:kern w:val="2"/>
          <w:sz w:val="28"/>
          <w:szCs w:val="28"/>
          <w:lang w:val="zh-CN" w:eastAsia="zh-CN" w:bidi="ar-SA"/>
        </w:rPr>
        <w:t>分别为</w:t>
      </w:r>
      <w:r>
        <w:rPr>
          <w:rFonts w:hint="default" w:ascii="宋体" w:hAnsi="宋体" w:eastAsia="宋体" w:cs="宋体"/>
          <w:b w:val="0"/>
          <w:bCs w:val="0"/>
          <w:color w:val="000000"/>
          <w:kern w:val="2"/>
          <w:sz w:val="28"/>
          <w:szCs w:val="28"/>
          <w:lang w:val="en-US" w:eastAsia="zh-CN" w:bidi="ar-SA"/>
        </w:rPr>
        <w:t>14</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620.46</w:t>
      </w:r>
      <w:r>
        <w:rPr>
          <w:rFonts w:hint="eastAsia" w:ascii="宋体" w:hAnsi="宋体" w:eastAsia="宋体" w:cs="宋体"/>
          <w:b w:val="0"/>
          <w:bCs w:val="0"/>
          <w:color w:val="000000"/>
          <w:kern w:val="2"/>
          <w:sz w:val="28"/>
          <w:szCs w:val="28"/>
          <w:lang w:val="zh-CN" w:eastAsia="zh-CN" w:bidi="ar-SA"/>
        </w:rPr>
        <w:t>万元、</w:t>
      </w:r>
      <w:r>
        <w:rPr>
          <w:rFonts w:hint="default" w:ascii="宋体" w:hAnsi="宋体" w:eastAsia="宋体" w:cs="宋体"/>
          <w:b w:val="0"/>
          <w:bCs w:val="0"/>
          <w:color w:val="000000"/>
          <w:kern w:val="2"/>
          <w:sz w:val="28"/>
          <w:szCs w:val="28"/>
          <w:lang w:val="en-US" w:eastAsia="zh-CN" w:bidi="ar-SA"/>
        </w:rPr>
        <w:t>19</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113.95</w:t>
      </w:r>
      <w:r>
        <w:rPr>
          <w:rFonts w:hint="eastAsia" w:ascii="宋体" w:hAnsi="宋体" w:eastAsia="宋体" w:cs="宋体"/>
          <w:b w:val="0"/>
          <w:bCs w:val="0"/>
          <w:color w:val="000000"/>
          <w:kern w:val="2"/>
          <w:sz w:val="28"/>
          <w:szCs w:val="28"/>
          <w:lang w:val="zh-CN" w:eastAsia="zh-CN" w:bidi="ar-SA"/>
        </w:rPr>
        <w:t>万元</w:t>
      </w:r>
      <w:r>
        <w:rPr>
          <w:rFonts w:hint="default" w:ascii="宋体" w:hAnsi="宋体" w:eastAsia="宋体" w:cs="宋体"/>
          <w:b w:val="0"/>
          <w:bCs w:val="0"/>
          <w:color w:val="000000"/>
          <w:kern w:val="2"/>
          <w:sz w:val="28"/>
          <w:szCs w:val="28"/>
          <w:lang w:val="en-US" w:eastAsia="zh-CN" w:bidi="ar-SA"/>
        </w:rPr>
        <w:t>和44</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602.4</w:t>
      </w:r>
      <w:r>
        <w:rPr>
          <w:rFonts w:hint="eastAsia" w:ascii="宋体" w:hAnsi="宋体" w:eastAsia="宋体" w:cs="宋体"/>
          <w:b w:val="0"/>
          <w:bCs w:val="0"/>
          <w:color w:val="000000"/>
          <w:kern w:val="2"/>
          <w:sz w:val="28"/>
          <w:szCs w:val="28"/>
          <w:lang w:val="zh-CN" w:eastAsia="zh-CN" w:bidi="ar-SA"/>
        </w:rPr>
        <w:t>8万元</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2021年末余额大幅增长</w:t>
      </w:r>
      <w:r>
        <w:rPr>
          <w:rFonts w:hint="eastAsia"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en-US" w:eastAsia="zh-CN" w:bidi="ar-SA"/>
        </w:rPr>
        <w:t>请</w:t>
      </w:r>
      <w:r>
        <w:rPr>
          <w:rFonts w:hint="default" w:ascii="宋体" w:hAnsi="宋体" w:eastAsia="宋体" w:cs="宋体"/>
          <w:b w:val="0"/>
          <w:bCs w:val="0"/>
          <w:color w:val="000000"/>
          <w:kern w:val="2"/>
          <w:sz w:val="28"/>
          <w:szCs w:val="28"/>
          <w:lang w:val="en-US" w:eastAsia="zh-CN" w:bidi="ar-SA"/>
        </w:rPr>
        <w:t>发行人：</w:t>
      </w:r>
      <w:r>
        <w:rPr>
          <w:rFonts w:hint="eastAsia"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en-US" w:eastAsia="zh-CN" w:bidi="ar-SA"/>
        </w:rPr>
        <w:t>1</w:t>
      </w:r>
      <w:r>
        <w:rPr>
          <w:rFonts w:hint="eastAsia"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en-US" w:eastAsia="zh-CN" w:bidi="ar-SA"/>
        </w:rPr>
        <w:t>结合</w:t>
      </w:r>
      <w:r>
        <w:rPr>
          <w:rFonts w:hint="default" w:ascii="宋体" w:hAnsi="宋体" w:eastAsia="宋体" w:cs="宋体"/>
          <w:b w:val="0"/>
          <w:bCs w:val="0"/>
          <w:color w:val="000000"/>
          <w:kern w:val="2"/>
          <w:sz w:val="28"/>
          <w:szCs w:val="28"/>
          <w:lang w:val="en-US" w:eastAsia="zh-CN" w:bidi="ar-SA"/>
        </w:rPr>
        <w:t>发行人产品销售周期</w:t>
      </w:r>
      <w:r>
        <w:rPr>
          <w:rFonts w:hint="eastAsia" w:ascii="宋体" w:hAnsi="宋体" w:eastAsia="宋体" w:cs="宋体"/>
          <w:b w:val="0"/>
          <w:bCs w:val="0"/>
          <w:color w:val="000000"/>
          <w:kern w:val="2"/>
          <w:sz w:val="28"/>
          <w:szCs w:val="28"/>
          <w:lang w:val="en-US" w:eastAsia="zh-CN" w:bidi="ar-SA"/>
        </w:rPr>
        <w:t>、生产周期、市场环境</w:t>
      </w:r>
      <w:r>
        <w:rPr>
          <w:rFonts w:hint="default" w:ascii="宋体" w:hAnsi="宋体" w:eastAsia="宋体" w:cs="宋体"/>
          <w:b w:val="0"/>
          <w:bCs w:val="0"/>
          <w:color w:val="000000"/>
          <w:kern w:val="2"/>
          <w:sz w:val="28"/>
          <w:szCs w:val="28"/>
          <w:lang w:val="en-US" w:eastAsia="zh-CN" w:bidi="ar-SA"/>
        </w:rPr>
        <w:t>及在手订单</w:t>
      </w:r>
      <w:r>
        <w:rPr>
          <w:rFonts w:hint="eastAsia" w:ascii="宋体" w:hAnsi="宋体" w:eastAsia="宋体" w:cs="宋体"/>
          <w:b w:val="0"/>
          <w:bCs w:val="0"/>
          <w:color w:val="000000"/>
          <w:kern w:val="2"/>
          <w:sz w:val="28"/>
          <w:szCs w:val="28"/>
          <w:lang w:val="en-US" w:eastAsia="zh-CN" w:bidi="ar-SA"/>
        </w:rPr>
        <w:t>等</w:t>
      </w:r>
      <w:r>
        <w:rPr>
          <w:rFonts w:hint="default" w:ascii="宋体" w:hAnsi="宋体" w:eastAsia="宋体" w:cs="宋体"/>
          <w:b w:val="0"/>
          <w:bCs w:val="0"/>
          <w:color w:val="000000"/>
          <w:kern w:val="2"/>
          <w:sz w:val="28"/>
          <w:szCs w:val="28"/>
          <w:lang w:val="en-US" w:eastAsia="zh-CN" w:bidi="ar-SA"/>
        </w:rPr>
        <w:t>情况</w:t>
      </w:r>
      <w:r>
        <w:rPr>
          <w:rFonts w:hint="eastAsia" w:ascii="宋体" w:hAnsi="宋体" w:eastAsia="宋体" w:cs="宋体"/>
          <w:b w:val="0"/>
          <w:bCs w:val="0"/>
          <w:color w:val="000000"/>
          <w:kern w:val="2"/>
          <w:sz w:val="28"/>
          <w:szCs w:val="28"/>
          <w:lang w:val="en-US" w:eastAsia="zh-CN" w:bidi="ar-SA"/>
        </w:rPr>
        <w:t>，补充</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en-US" w:eastAsia="zh-CN" w:bidi="ar-SA"/>
        </w:rPr>
        <w:t>原材料、在产品金额</w:t>
      </w:r>
      <w:r>
        <w:rPr>
          <w:rFonts w:hint="default" w:ascii="宋体" w:hAnsi="宋体" w:eastAsia="宋体" w:cs="宋体"/>
          <w:b w:val="0"/>
          <w:bCs w:val="0"/>
          <w:color w:val="000000"/>
          <w:kern w:val="2"/>
          <w:sz w:val="28"/>
          <w:szCs w:val="28"/>
          <w:lang w:val="en-US" w:eastAsia="zh-CN" w:bidi="ar-SA"/>
        </w:rPr>
        <w:t>变动</w:t>
      </w:r>
      <w:r>
        <w:rPr>
          <w:rFonts w:hint="eastAsia" w:ascii="宋体" w:hAnsi="宋体" w:eastAsia="宋体" w:cs="宋体"/>
          <w:b w:val="0"/>
          <w:bCs w:val="0"/>
          <w:color w:val="000000"/>
          <w:kern w:val="2"/>
          <w:sz w:val="28"/>
          <w:szCs w:val="28"/>
          <w:lang w:val="en-US" w:eastAsia="zh-CN" w:bidi="ar-SA"/>
        </w:rPr>
        <w:t>的合理性、存货余额波动的原因和合理性</w:t>
      </w:r>
      <w:r>
        <w:rPr>
          <w:rFonts w:hint="default" w:ascii="宋体" w:hAnsi="宋体" w:eastAsia="宋体" w:cs="宋体"/>
          <w:b w:val="0"/>
          <w:bCs w:val="0"/>
          <w:color w:val="000000"/>
          <w:kern w:val="2"/>
          <w:sz w:val="28"/>
          <w:szCs w:val="28"/>
          <w:lang w:val="en-US" w:eastAsia="zh-CN" w:bidi="ar-SA"/>
        </w:rPr>
        <w:t>，说明2021年末存货余额大幅增长的原因，是否与企业经营情况相匹配</w:t>
      </w:r>
      <w:r>
        <w:rPr>
          <w:rFonts w:hint="eastAsia" w:ascii="宋体" w:hAnsi="宋体" w:eastAsia="宋体" w:cs="宋体"/>
          <w:b w:val="0"/>
          <w:bCs w:val="0"/>
          <w:color w:val="000000"/>
          <w:kern w:val="2"/>
          <w:sz w:val="28"/>
          <w:szCs w:val="28"/>
          <w:lang w:val="zh-CN" w:eastAsia="zh-CN" w:bidi="ar-SA"/>
        </w:rPr>
        <w:t>；</w:t>
      </w:r>
      <w:r>
        <w:rPr>
          <w:rFonts w:hint="eastAsia" w:ascii="宋体" w:hAnsi="宋体" w:eastAsia="宋体" w:cs="宋体"/>
          <w:b w:val="0"/>
          <w:bCs w:val="0"/>
          <w:color w:val="000000"/>
          <w:kern w:val="2"/>
          <w:sz w:val="28"/>
          <w:szCs w:val="28"/>
          <w:lang w:val="en-US" w:eastAsia="zh-CN" w:bidi="ar-SA"/>
        </w:rPr>
        <w:t>（2）结合最新采购价格、存货库龄、各类存货期后出库情况，</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en-US" w:eastAsia="zh-CN" w:bidi="ar-SA"/>
        </w:rPr>
        <w:t>存货跌价准备计提的充分性；</w:t>
      </w:r>
      <w:r>
        <w:rPr>
          <w:rFonts w:hint="default" w:ascii="宋体" w:hAnsi="宋体" w:eastAsia="宋体" w:cs="宋体"/>
          <w:b w:val="0"/>
          <w:bCs w:val="0"/>
          <w:color w:val="000000"/>
          <w:kern w:val="2"/>
          <w:sz w:val="28"/>
          <w:szCs w:val="28"/>
          <w:lang w:val="en-US" w:eastAsia="zh-CN" w:bidi="ar-SA"/>
        </w:rPr>
        <w:t>（3）补充说明各期末存货中有具体订单支持的金额、比例及变动原因，分析相应存货与订单金额、预收账款之间的对应关系；</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4</w:t>
      </w:r>
      <w:r>
        <w:rPr>
          <w:rFonts w:hint="eastAsia" w:ascii="宋体" w:hAnsi="宋体" w:eastAsia="宋体" w:cs="宋体"/>
          <w:b w:val="0"/>
          <w:bCs w:val="0"/>
          <w:color w:val="000000"/>
          <w:kern w:val="2"/>
          <w:sz w:val="28"/>
          <w:szCs w:val="28"/>
          <w:lang w:val="en-US" w:eastAsia="zh-CN" w:bidi="ar-SA"/>
        </w:rPr>
        <w:t>）补充</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en-US" w:eastAsia="zh-CN" w:bidi="ar-SA"/>
        </w:rPr>
        <w:t>发行人存货周转率</w:t>
      </w:r>
      <w:r>
        <w:rPr>
          <w:rFonts w:hint="default" w:ascii="宋体" w:hAnsi="宋体" w:eastAsia="宋体" w:cs="宋体"/>
          <w:b w:val="0"/>
          <w:bCs w:val="0"/>
          <w:color w:val="000000"/>
          <w:kern w:val="2"/>
          <w:sz w:val="28"/>
          <w:szCs w:val="28"/>
          <w:lang w:val="en-US" w:eastAsia="zh-CN" w:bidi="ar-SA"/>
        </w:rPr>
        <w:t>与</w:t>
      </w:r>
      <w:r>
        <w:rPr>
          <w:rFonts w:hint="eastAsia" w:ascii="宋体" w:hAnsi="宋体" w:eastAsia="宋体" w:cs="宋体"/>
          <w:b w:val="0"/>
          <w:bCs w:val="0"/>
          <w:color w:val="000000"/>
          <w:kern w:val="2"/>
          <w:sz w:val="28"/>
          <w:szCs w:val="28"/>
          <w:lang w:val="en-US" w:eastAsia="zh-CN" w:bidi="ar-SA"/>
        </w:rPr>
        <w:t>同行业可比</w:t>
      </w:r>
      <w:r>
        <w:rPr>
          <w:rFonts w:hint="default" w:ascii="宋体" w:hAnsi="宋体" w:eastAsia="宋体" w:cs="宋体"/>
          <w:b w:val="0"/>
          <w:bCs w:val="0"/>
          <w:color w:val="000000"/>
          <w:kern w:val="2"/>
          <w:sz w:val="28"/>
          <w:szCs w:val="28"/>
          <w:lang w:val="en-US" w:eastAsia="zh-CN" w:bidi="ar-SA"/>
        </w:rPr>
        <w:t>上市</w:t>
      </w:r>
      <w:r>
        <w:rPr>
          <w:rFonts w:hint="eastAsia" w:ascii="宋体" w:hAnsi="宋体" w:eastAsia="宋体" w:cs="宋体"/>
          <w:b w:val="0"/>
          <w:bCs w:val="0"/>
          <w:color w:val="000000"/>
          <w:kern w:val="2"/>
          <w:sz w:val="28"/>
          <w:szCs w:val="28"/>
          <w:lang w:val="en-US" w:eastAsia="zh-CN" w:bidi="ar-SA"/>
        </w:rPr>
        <w:t>公司的</w:t>
      </w:r>
      <w:r>
        <w:rPr>
          <w:rFonts w:hint="default" w:ascii="宋体" w:hAnsi="宋体" w:eastAsia="宋体" w:cs="宋体"/>
          <w:b w:val="0"/>
          <w:bCs w:val="0"/>
          <w:color w:val="000000"/>
          <w:kern w:val="2"/>
          <w:sz w:val="28"/>
          <w:szCs w:val="28"/>
          <w:lang w:val="en-US" w:eastAsia="zh-CN" w:bidi="ar-SA"/>
        </w:rPr>
        <w:t>比较情况，分析</w:t>
      </w:r>
      <w:r>
        <w:rPr>
          <w:rFonts w:hint="eastAsia" w:ascii="宋体" w:hAnsi="宋体" w:eastAsia="宋体" w:cs="宋体"/>
          <w:b w:val="0"/>
          <w:bCs w:val="0"/>
          <w:color w:val="000000"/>
          <w:kern w:val="2"/>
          <w:sz w:val="28"/>
          <w:szCs w:val="28"/>
          <w:lang w:val="en-US" w:eastAsia="zh-CN" w:bidi="ar-SA"/>
        </w:rPr>
        <w:t>原因及合理性，并</w:t>
      </w:r>
      <w:r>
        <w:rPr>
          <w:rFonts w:hint="default" w:ascii="宋体" w:hAnsi="宋体" w:eastAsia="宋体" w:cs="宋体"/>
          <w:b w:val="0"/>
          <w:bCs w:val="0"/>
          <w:color w:val="000000"/>
          <w:kern w:val="2"/>
          <w:sz w:val="28"/>
          <w:szCs w:val="28"/>
          <w:lang w:val="en-US" w:eastAsia="zh-CN" w:bidi="ar-SA"/>
        </w:rPr>
        <w:t>说明</w:t>
      </w:r>
      <w:r>
        <w:rPr>
          <w:rFonts w:hint="eastAsia" w:ascii="宋体" w:hAnsi="宋体" w:eastAsia="宋体" w:cs="宋体"/>
          <w:b w:val="0"/>
          <w:bCs w:val="0"/>
          <w:color w:val="000000"/>
          <w:kern w:val="2"/>
          <w:sz w:val="28"/>
          <w:szCs w:val="28"/>
          <w:lang w:val="en-US" w:eastAsia="zh-CN" w:bidi="ar-SA"/>
        </w:rPr>
        <w:t>与同行业可比公司存货跌价准备计提比例的差异原因；</w:t>
      </w:r>
      <w:r>
        <w:rPr>
          <w:rFonts w:hint="eastAsia" w:ascii="宋体" w:hAnsi="宋体" w:eastAsia="宋体" w:cs="宋体"/>
          <w:b w:val="0"/>
          <w:bCs w:val="0"/>
          <w:color w:val="000000"/>
          <w:kern w:val="2"/>
          <w:sz w:val="28"/>
          <w:szCs w:val="28"/>
          <w:lang w:val="zh-CN" w:eastAsia="zh-CN" w:bidi="ar-SA"/>
        </w:rPr>
        <w:t>（</w:t>
      </w:r>
      <w:r>
        <w:rPr>
          <w:rFonts w:hint="default" w:ascii="宋体" w:hAnsi="宋体" w:eastAsia="宋体" w:cs="宋体"/>
          <w:b w:val="0"/>
          <w:bCs w:val="0"/>
          <w:color w:val="000000"/>
          <w:kern w:val="2"/>
          <w:sz w:val="28"/>
          <w:szCs w:val="28"/>
          <w:lang w:val="en-US" w:eastAsia="zh-CN" w:bidi="ar-SA"/>
        </w:rPr>
        <w:t>5</w:t>
      </w:r>
      <w:r>
        <w:rPr>
          <w:rFonts w:hint="eastAsia" w:ascii="宋体" w:hAnsi="宋体" w:eastAsia="宋体" w:cs="宋体"/>
          <w:b w:val="0"/>
          <w:bCs w:val="0"/>
          <w:color w:val="000000"/>
          <w:kern w:val="2"/>
          <w:sz w:val="28"/>
          <w:szCs w:val="28"/>
          <w:lang w:val="zh-CN" w:eastAsia="zh-CN" w:bidi="ar-SA"/>
        </w:rPr>
        <w:t>）结合报告期各期原材料采购及领用情况，说明存货中主要原材料出入库数量与产量是否匹配；</w:t>
      </w:r>
      <w:r>
        <w:rPr>
          <w:rFonts w:hint="default" w:ascii="宋体" w:hAnsi="宋体" w:eastAsia="宋体" w:cs="宋体"/>
          <w:b w:val="0"/>
          <w:bCs w:val="0"/>
          <w:color w:val="000000"/>
          <w:kern w:val="2"/>
          <w:sz w:val="28"/>
          <w:szCs w:val="28"/>
          <w:lang w:val="en-US" w:eastAsia="zh-CN" w:bidi="ar-SA"/>
        </w:rPr>
        <w:t>（6）结合发行人对处于安装调试阶段产品的控制权情况，说明发行人存货计量的准确性，并补充披露发出商品具体情况；（7）</w:t>
      </w:r>
      <w:r>
        <w:rPr>
          <w:rFonts w:hint="eastAsia" w:ascii="宋体" w:hAnsi="宋体" w:eastAsia="宋体" w:cs="宋体"/>
          <w:b w:val="0"/>
          <w:bCs w:val="0"/>
          <w:color w:val="000000"/>
          <w:kern w:val="2"/>
          <w:sz w:val="28"/>
          <w:szCs w:val="28"/>
          <w:lang w:val="en-US" w:eastAsia="zh-CN" w:bidi="ar-SA"/>
        </w:rPr>
        <w:t>说明报告期各期末对存货项目进行盘点的情况，包括盘点范围、地点、品种、金额、比例等，说明执行盘点的部门与人员、是否存在账实差异及处理结果；请申报会计师说明对存货的监盘情况</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en-US" w:eastAsia="zh-CN" w:bidi="ar-SA"/>
        </w:rPr>
        <w:t>请保荐机构、申报会计师详细核查上述情况，说明核查过程，并对发行人存货的真实性、存货跌价准备计提的充分性发表明确意见</w:t>
      </w:r>
      <w:r>
        <w:rPr>
          <w:rFonts w:hint="default" w:ascii="宋体" w:hAnsi="宋体" w:eastAsia="宋体" w:cs="宋体"/>
          <w:b w:val="0"/>
          <w:bCs w:val="0"/>
          <w:color w:val="000000"/>
          <w:kern w:val="2"/>
          <w:sz w:val="28"/>
          <w:szCs w:val="28"/>
          <w:lang w:val="en-US"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39、</w:t>
      </w:r>
      <w:r>
        <w:rPr>
          <w:rFonts w:hint="eastAsia" w:ascii="宋体" w:hAnsi="宋体" w:eastAsia="宋体" w:cs="宋体"/>
          <w:b w:val="0"/>
          <w:bCs w:val="0"/>
          <w:color w:val="000000"/>
          <w:kern w:val="2"/>
          <w:sz w:val="28"/>
          <w:szCs w:val="28"/>
          <w:lang w:val="en-US" w:eastAsia="zh-CN" w:bidi="ar-SA"/>
        </w:rPr>
        <w:t>报告期各期末，公司固定资产</w:t>
      </w:r>
      <w:r>
        <w:rPr>
          <w:rFonts w:hint="default" w:ascii="宋体" w:hAnsi="宋体" w:eastAsia="宋体" w:cs="宋体"/>
          <w:b w:val="0"/>
          <w:bCs w:val="0"/>
          <w:color w:val="000000"/>
          <w:kern w:val="2"/>
          <w:sz w:val="28"/>
          <w:szCs w:val="28"/>
          <w:lang w:val="en-US" w:eastAsia="zh-CN" w:bidi="ar-SA"/>
        </w:rPr>
        <w:t>计提小额减值，在建工程未计提减值。请发行人：（1）结合各类产品产能分析说明固定资产与发行人产能的适配性；（2）结合固定资产分布情况量化分析说明相应固定资产是否足以支持发行人各期营业收入的持续增长；（3）说明各类固定资产的折旧政策是否与同行业可比公司存在较大差异；（4）</w:t>
      </w:r>
      <w:r>
        <w:rPr>
          <w:rFonts w:hint="eastAsia" w:ascii="宋体" w:hAnsi="宋体" w:eastAsia="宋体" w:cs="宋体"/>
          <w:b w:val="0"/>
          <w:bCs w:val="0"/>
          <w:color w:val="000000"/>
          <w:kern w:val="2"/>
          <w:sz w:val="28"/>
          <w:szCs w:val="28"/>
          <w:lang w:val="en-US" w:eastAsia="zh-CN" w:bidi="ar-SA"/>
        </w:rPr>
        <w:t>补充说明报告期各期末固定资产的盘点情况以及是否存在盘亏、毁损、存在故障、公允价值低于账面价值、闲置不用的固定资产以及其他可能导致固定资产出现减值的情形，是否存在应计提固定资产减值准备未足额计提的情况</w:t>
      </w:r>
      <w:r>
        <w:rPr>
          <w:rFonts w:hint="default" w:ascii="宋体" w:hAnsi="宋体" w:eastAsia="宋体" w:cs="宋体"/>
          <w:b w:val="0"/>
          <w:bCs w:val="0"/>
          <w:color w:val="000000"/>
          <w:kern w:val="2"/>
          <w:sz w:val="28"/>
          <w:szCs w:val="28"/>
          <w:lang w:val="en-US" w:eastAsia="zh-CN" w:bidi="ar-SA"/>
        </w:rPr>
        <w:t>；（5）说明发行人在建工程转固时点是否符合准则规定，是否存在延迟转固以少计折旧的情况。</w:t>
      </w:r>
      <w:r>
        <w:rPr>
          <w:rFonts w:hint="eastAsia" w:ascii="宋体" w:hAnsi="宋体" w:eastAsia="宋体" w:cs="宋体"/>
          <w:b w:val="0"/>
          <w:bCs w:val="0"/>
          <w:color w:val="000000"/>
          <w:kern w:val="2"/>
          <w:sz w:val="28"/>
          <w:szCs w:val="28"/>
          <w:lang w:val="en-US" w:eastAsia="zh-CN" w:bidi="ar-SA"/>
        </w:rPr>
        <w:t>请保荐机构、</w:t>
      </w:r>
      <w:r>
        <w:rPr>
          <w:rFonts w:hint="default" w:ascii="宋体" w:hAnsi="宋体" w:eastAsia="宋体" w:cs="宋体"/>
          <w:b w:val="0"/>
          <w:bCs w:val="0"/>
          <w:color w:val="000000"/>
          <w:kern w:val="2"/>
          <w:sz w:val="28"/>
          <w:szCs w:val="28"/>
          <w:lang w:val="en-US" w:eastAsia="zh-CN" w:bidi="ar-SA"/>
        </w:rPr>
        <w:t>申报</w:t>
      </w:r>
      <w:r>
        <w:rPr>
          <w:rFonts w:hint="eastAsia" w:ascii="宋体" w:hAnsi="宋体" w:eastAsia="宋体" w:cs="宋体"/>
          <w:b w:val="0"/>
          <w:bCs w:val="0"/>
          <w:color w:val="000000"/>
          <w:kern w:val="2"/>
          <w:sz w:val="28"/>
          <w:szCs w:val="28"/>
          <w:lang w:val="en-US" w:eastAsia="zh-CN" w:bidi="ar-SA"/>
        </w:rPr>
        <w:t>会计师对上述事项进行核查，说明核查过程和结论，并发表明确意见</w:t>
      </w:r>
      <w:r>
        <w:rPr>
          <w:rFonts w:hint="default" w:ascii="宋体" w:hAnsi="宋体" w:eastAsia="宋体" w:cs="宋体"/>
          <w:b w:val="0"/>
          <w:bCs w:val="0"/>
          <w:color w:val="000000"/>
          <w:kern w:val="2"/>
          <w:sz w:val="28"/>
          <w:szCs w:val="28"/>
          <w:lang w:val="en-US" w:eastAsia="zh-CN" w:bidi="ar-SA"/>
        </w:rPr>
        <w:t>。</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default" w:ascii="宋体" w:hAnsi="宋体" w:eastAsia="宋体" w:cs="宋体"/>
          <w:b w:val="0"/>
          <w:bCs w:val="0"/>
          <w:color w:val="000000"/>
          <w:kern w:val="2"/>
          <w:sz w:val="28"/>
          <w:szCs w:val="28"/>
          <w:lang w:val="en-US" w:eastAsia="zh-CN" w:bidi="ar-SA"/>
        </w:rPr>
      </w:pPr>
      <w:r>
        <w:rPr>
          <w:rFonts w:hint="default" w:ascii="宋体" w:hAnsi="宋体" w:cs="宋体"/>
          <w:b w:val="0"/>
          <w:bCs w:val="0"/>
          <w:color w:val="000000"/>
          <w:kern w:val="2"/>
          <w:sz w:val="28"/>
          <w:szCs w:val="28"/>
          <w:lang w:eastAsia="zh-CN" w:bidi="ar-SA"/>
        </w:rPr>
        <w:t>40、</w:t>
      </w:r>
      <w:r>
        <w:rPr>
          <w:rFonts w:hint="default" w:ascii="宋体" w:hAnsi="宋体" w:eastAsia="宋体" w:cs="宋体"/>
          <w:b w:val="0"/>
          <w:bCs w:val="0"/>
          <w:color w:val="000000"/>
          <w:kern w:val="2"/>
          <w:sz w:val="28"/>
          <w:szCs w:val="28"/>
          <w:lang w:val="en-US" w:eastAsia="zh-CN" w:bidi="ar-SA"/>
        </w:rPr>
        <w:t>报告期各期末，</w:t>
      </w:r>
      <w:r>
        <w:rPr>
          <w:rFonts w:hint="eastAsia" w:ascii="宋体" w:hAnsi="宋体" w:eastAsia="宋体" w:cs="宋体"/>
          <w:b w:val="0"/>
          <w:bCs w:val="0"/>
          <w:color w:val="000000"/>
          <w:kern w:val="2"/>
          <w:sz w:val="28"/>
          <w:szCs w:val="28"/>
          <w:lang w:val="en-US" w:eastAsia="zh-CN" w:bidi="ar-SA"/>
        </w:rPr>
        <w:t>公司应付票据分别为12,282.69万元、25,308.60万元和27,340.01万元</w:t>
      </w:r>
      <w:r>
        <w:rPr>
          <w:rFonts w:hint="default" w:ascii="宋体" w:hAnsi="宋体" w:eastAsia="宋体" w:cs="宋体"/>
          <w:b w:val="0"/>
          <w:bCs w:val="0"/>
          <w:color w:val="000000"/>
          <w:kern w:val="2"/>
          <w:sz w:val="28"/>
          <w:szCs w:val="28"/>
          <w:lang w:val="en-US" w:eastAsia="zh-CN" w:bidi="ar-SA"/>
        </w:rPr>
        <w:t>；</w:t>
      </w:r>
      <w:r>
        <w:rPr>
          <w:rFonts w:hint="eastAsia" w:ascii="宋体" w:hAnsi="宋体" w:eastAsia="宋体" w:cs="宋体"/>
          <w:b w:val="0"/>
          <w:bCs w:val="0"/>
          <w:color w:val="000000"/>
          <w:kern w:val="2"/>
          <w:sz w:val="28"/>
          <w:szCs w:val="28"/>
          <w:lang w:val="en-US" w:eastAsia="zh-CN" w:bidi="ar-SA"/>
        </w:rPr>
        <w:t>应付账款分别为4</w:t>
      </w:r>
      <w:r>
        <w:rPr>
          <w:rFonts w:hint="default" w:ascii="宋体" w:hAnsi="宋体" w:eastAsia="宋体" w:cs="宋体"/>
          <w:b w:val="0"/>
          <w:bCs w:val="0"/>
          <w:color w:val="000000"/>
          <w:kern w:val="2"/>
          <w:sz w:val="28"/>
          <w:szCs w:val="28"/>
          <w:lang w:val="en-US" w:eastAsia="zh-CN" w:bidi="ar-SA"/>
        </w:rPr>
        <w:t>2,845.13</w:t>
      </w:r>
      <w:r>
        <w:rPr>
          <w:rFonts w:hint="eastAsia" w:ascii="宋体" w:hAnsi="宋体" w:eastAsia="宋体" w:cs="宋体"/>
          <w:b w:val="0"/>
          <w:bCs w:val="0"/>
          <w:color w:val="000000"/>
          <w:kern w:val="2"/>
          <w:sz w:val="28"/>
          <w:szCs w:val="28"/>
          <w:lang w:val="en-US" w:eastAsia="zh-CN" w:bidi="ar-SA"/>
        </w:rPr>
        <w:t>万元、</w:t>
      </w:r>
      <w:r>
        <w:rPr>
          <w:rFonts w:hint="default" w:ascii="宋体" w:hAnsi="宋体" w:eastAsia="宋体" w:cs="宋体"/>
          <w:b w:val="0"/>
          <w:bCs w:val="0"/>
          <w:color w:val="000000"/>
          <w:kern w:val="2"/>
          <w:sz w:val="28"/>
          <w:szCs w:val="28"/>
          <w:lang w:val="en-US" w:eastAsia="zh-CN" w:bidi="ar-SA"/>
        </w:rPr>
        <w:t>52</w:t>
      </w:r>
      <w:r>
        <w:rPr>
          <w:rFonts w:hint="eastAsia" w:ascii="宋体" w:hAnsi="宋体" w:eastAsia="宋体" w:cs="宋体"/>
          <w:b w:val="0"/>
          <w:bCs w:val="0"/>
          <w:color w:val="000000"/>
          <w:kern w:val="2"/>
          <w:sz w:val="28"/>
          <w:szCs w:val="28"/>
          <w:lang w:val="en-US" w:eastAsia="zh-CN" w:bidi="ar-SA"/>
        </w:rPr>
        <w:t>,</w:t>
      </w:r>
      <w:r>
        <w:rPr>
          <w:rFonts w:hint="default" w:ascii="宋体" w:hAnsi="宋体" w:eastAsia="宋体" w:cs="宋体"/>
          <w:b w:val="0"/>
          <w:bCs w:val="0"/>
          <w:color w:val="000000"/>
          <w:kern w:val="2"/>
          <w:sz w:val="28"/>
          <w:szCs w:val="28"/>
          <w:lang w:val="en-US" w:eastAsia="zh-CN" w:bidi="ar-SA"/>
        </w:rPr>
        <w:t>986.84万元</w:t>
      </w:r>
      <w:r>
        <w:rPr>
          <w:rFonts w:hint="eastAsia" w:ascii="宋体" w:hAnsi="宋体" w:eastAsia="宋体" w:cs="宋体"/>
          <w:b w:val="0"/>
          <w:bCs w:val="0"/>
          <w:color w:val="000000"/>
          <w:kern w:val="2"/>
          <w:sz w:val="28"/>
          <w:szCs w:val="28"/>
          <w:lang w:val="en-US" w:eastAsia="zh-CN" w:bidi="ar-SA"/>
        </w:rPr>
        <w:t>和</w:t>
      </w:r>
      <w:r>
        <w:rPr>
          <w:rFonts w:hint="default" w:ascii="宋体" w:hAnsi="宋体" w:eastAsia="宋体" w:cs="宋体"/>
          <w:b w:val="0"/>
          <w:bCs w:val="0"/>
          <w:color w:val="000000"/>
          <w:kern w:val="2"/>
          <w:sz w:val="28"/>
          <w:szCs w:val="28"/>
          <w:lang w:val="en-US" w:eastAsia="zh-CN" w:bidi="ar-SA"/>
        </w:rPr>
        <w:t>121,522.84</w:t>
      </w:r>
      <w:r>
        <w:rPr>
          <w:rFonts w:hint="eastAsia" w:ascii="宋体" w:hAnsi="宋体" w:eastAsia="宋体" w:cs="宋体"/>
          <w:b w:val="0"/>
          <w:bCs w:val="0"/>
          <w:color w:val="000000"/>
          <w:kern w:val="2"/>
          <w:sz w:val="28"/>
          <w:szCs w:val="28"/>
          <w:lang w:val="en-US" w:eastAsia="zh-CN" w:bidi="ar-SA"/>
        </w:rPr>
        <w:t>万元，</w:t>
      </w:r>
      <w:r>
        <w:rPr>
          <w:rFonts w:hint="default" w:ascii="宋体" w:hAnsi="宋体" w:eastAsia="宋体" w:cs="宋体"/>
          <w:b w:val="0"/>
          <w:bCs w:val="0"/>
          <w:color w:val="000000"/>
          <w:kern w:val="2"/>
          <w:sz w:val="28"/>
          <w:szCs w:val="28"/>
          <w:lang w:val="en-US" w:eastAsia="zh-CN" w:bidi="ar-SA"/>
        </w:rPr>
        <w:t>2021年末大幅增长。请发行人：（1）2021年末应付余额大幅增长的原因与合理性，是否与生产经营及采购情况相匹配；（2）与主要供应商的货款结算政策和实际执行情况，在报告期内是否发生重大变化，是否存在超过合同约定付款时点未付款的情形，应付账款账龄情况；（3）列示报告期内应付账款主要客户名称、采购内容、采购金额、应付账款余额及占比、期后付款情况，分析其与主要供应商是否匹配。请保荐机构和申报会计师核查上述问题并发表明确意见</w:t>
      </w:r>
      <w:r>
        <w:rPr>
          <w:rFonts w:hint="default" w:ascii="宋体" w:hAnsi="宋体" w:eastAsia="宋体" w:cs="宋体"/>
          <w:b w:val="0"/>
          <w:bCs w:val="0"/>
          <w:color w:val="000000"/>
          <w:kern w:val="2"/>
          <w:sz w:val="28"/>
          <w:szCs w:val="28"/>
          <w:lang w:eastAsia="zh-CN" w:bidi="ar-SA"/>
        </w:rPr>
        <w:t>。</w:t>
      </w:r>
    </w:p>
    <w:p>
      <w:pPr>
        <w:keepNext w:val="0"/>
        <w:keepLines w:val="0"/>
        <w:pageBreakBefore w:val="0"/>
        <w:widowControl w:val="0"/>
        <w:numPr>
          <w:ilvl w:val="0"/>
          <w:numId w:val="1"/>
        </w:numPr>
        <w:kinsoku/>
        <w:wordWrap/>
        <w:overflowPunct/>
        <w:topLinePunct w:val="0"/>
        <w:bidi w:val="0"/>
        <w:snapToGrid/>
        <w:spacing w:before="0" w:beforeLines="0" w:beforeAutospacing="0" w:after="0" w:afterLines="0" w:afterAutospacing="0" w:line="480" w:lineRule="exact"/>
        <w:ind w:left="0" w:leftChars="0" w:right="0" w:rightChars="0" w:firstLine="562" w:firstLineChars="200"/>
        <w:jc w:val="both"/>
        <w:textAlignment w:val="auto"/>
        <w:outlineLvl w:val="0"/>
        <w:rPr>
          <w:rFonts w:hint="eastAsia" w:cs="宋体"/>
          <w:b/>
          <w:bCs/>
          <w:kern w:val="2"/>
          <w:sz w:val="28"/>
          <w:szCs w:val="20"/>
          <w:lang w:val="en-US" w:eastAsia="zh-CN"/>
        </w:rPr>
      </w:pPr>
      <w:r>
        <w:rPr>
          <w:rFonts w:hint="eastAsia" w:cs="宋体"/>
          <w:b/>
          <w:bCs/>
          <w:kern w:val="2"/>
          <w:sz w:val="28"/>
          <w:szCs w:val="20"/>
          <w:lang w:val="en-US" w:eastAsia="zh-CN"/>
        </w:rPr>
        <w:t xml:space="preserve">与财务会计资料相关的问题 </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jc w:val="left"/>
        <w:textAlignment w:val="auto"/>
        <w:rPr>
          <w:rFonts w:hint="eastAsia"/>
          <w:lang w:val="en-US" w:eastAsia="zh-CN"/>
        </w:rPr>
      </w:pPr>
      <w:r>
        <w:rPr>
          <w:rFonts w:hint="default" w:ascii="宋体" w:hAnsi="宋体" w:cs="宋体"/>
          <w:b w:val="0"/>
          <w:bCs w:val="0"/>
          <w:color w:val="000000"/>
          <w:kern w:val="2"/>
          <w:sz w:val="28"/>
          <w:szCs w:val="28"/>
          <w:lang w:eastAsia="zh-CN" w:bidi="ar-SA"/>
        </w:rPr>
        <w:t>41、</w:t>
      </w:r>
      <w:r>
        <w:rPr>
          <w:rFonts w:hint="eastAsia" w:ascii="宋体" w:hAnsi="宋体" w:eastAsia="宋体" w:cs="宋体"/>
          <w:b w:val="0"/>
          <w:bCs w:val="0"/>
          <w:color w:val="000000"/>
          <w:kern w:val="2"/>
          <w:sz w:val="28"/>
          <w:szCs w:val="28"/>
          <w:lang w:val="en-US" w:eastAsia="zh-CN" w:bidi="ar-SA"/>
        </w:rPr>
        <w:t>请发</w:t>
      </w:r>
      <w:r>
        <w:rPr>
          <w:rFonts w:hint="eastAsia" w:ascii="Times New Roman" w:hAnsi="Times New Roman"/>
          <w:sz w:val="28"/>
          <w:szCs w:val="28"/>
          <w:lang w:val="en-US" w:eastAsia="zh-CN"/>
        </w:rPr>
        <w:t>行人说明财务报表项目比较数据变动幅度达30%以上的情况</w:t>
      </w:r>
      <w:r>
        <w:rPr>
          <w:rFonts w:hint="eastAsia" w:ascii="宋体" w:hAnsi="宋体" w:eastAsia="宋体" w:cs="宋体"/>
          <w:b w:val="0"/>
          <w:bCs w:val="0"/>
          <w:color w:val="000000"/>
          <w:kern w:val="2"/>
          <w:sz w:val="28"/>
          <w:szCs w:val="28"/>
          <w:lang w:val="en-US" w:eastAsia="zh-CN" w:bidi="ar-SA"/>
        </w:rPr>
        <w:t>及原因是否已恰当披露。请保荐机构和会计师发表核查意见。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textAlignment w:val="auto"/>
        <w:outlineLvl w:val="1"/>
        <w:rPr>
          <w:rFonts w:hint="default"/>
          <w:lang w:val="en-US" w:eastAsia="zh-CN"/>
        </w:rPr>
      </w:pPr>
      <w:r>
        <w:rPr>
          <w:rFonts w:hint="default" w:ascii="宋体" w:hAnsi="宋体" w:cs="宋体"/>
          <w:b w:val="0"/>
          <w:bCs w:val="0"/>
          <w:color w:val="000000"/>
          <w:kern w:val="2"/>
          <w:sz w:val="28"/>
          <w:szCs w:val="28"/>
          <w:lang w:eastAsia="zh-CN" w:bidi="ar-SA"/>
        </w:rPr>
        <w:t>42、</w:t>
      </w:r>
      <w:r>
        <w:rPr>
          <w:rFonts w:hint="default" w:ascii="宋体" w:hAnsi="宋体" w:eastAsia="宋体" w:cs="宋体"/>
          <w:b w:val="0"/>
          <w:bCs w:val="0"/>
          <w:color w:val="000000"/>
          <w:kern w:val="2"/>
          <w:sz w:val="28"/>
          <w:szCs w:val="28"/>
          <w:lang w:val="en-US" w:eastAsia="zh-CN" w:bidi="ar-SA"/>
        </w:rPr>
        <w:t>请在招股说明书中结合会计师事务所的审计意见类型披露“关键审计事项”。请申报会计师说明“关键审计事项”的“审计应对”中各项具体审计程序的具体情况、事实结果、审计结论，是否存在较大审计差异或调整情况，对形成审计意见是否有重大影响。请保荐机构核实上述情况，分析说明上述事项是否属于影响投资者价值判断和投资决策的重要信息并已充分披露。</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textAlignment w:val="auto"/>
        <w:outlineLvl w:val="1"/>
        <w:rPr>
          <w:rFonts w:hint="eastAsia"/>
          <w:lang w:val="en-US" w:eastAsia="zh-CN"/>
        </w:rPr>
      </w:pPr>
      <w:r>
        <w:rPr>
          <w:rFonts w:hint="default" w:ascii="宋体" w:hAnsi="宋体" w:cs="宋体"/>
          <w:b w:val="0"/>
          <w:bCs w:val="0"/>
          <w:color w:val="000000"/>
          <w:kern w:val="2"/>
          <w:sz w:val="28"/>
          <w:szCs w:val="28"/>
          <w:lang w:eastAsia="zh-CN" w:bidi="ar-SA"/>
        </w:rPr>
        <w:t>43、</w:t>
      </w:r>
      <w:r>
        <w:rPr>
          <w:rFonts w:hint="default" w:ascii="宋体" w:hAnsi="宋体" w:eastAsia="宋体" w:cs="宋体"/>
          <w:b w:val="0"/>
          <w:bCs w:val="0"/>
          <w:color w:val="000000"/>
          <w:kern w:val="2"/>
          <w:sz w:val="28"/>
          <w:szCs w:val="28"/>
          <w:lang w:val="en-US" w:eastAsia="zh-CN" w:bidi="ar-SA"/>
        </w:rPr>
        <w:t>请发行人详细说明并披露：新金融工具准则施行后对发行人在风险管理、金融资产分类、金融资产减值等方面产生的变化情况，是否存在重大不利影响；新金融工具准则施行后对发行人财务状况的影响，如相关科目列示的变化情况，对金融资产和负债的重新认定、对发行人期初留存收益的影响，相关会计政策和估计的影响。</w:t>
      </w:r>
      <w:r>
        <w:rPr>
          <w:rFonts w:hint="eastAsia" w:ascii="宋体" w:hAnsi="宋体" w:eastAsia="宋体" w:cs="宋体"/>
          <w:b w:val="0"/>
          <w:bCs w:val="0"/>
          <w:color w:val="000000"/>
          <w:kern w:val="2"/>
          <w:sz w:val="28"/>
          <w:szCs w:val="28"/>
          <w:lang w:val="en-US" w:eastAsia="zh-CN" w:bidi="ar-SA"/>
        </w:rPr>
        <w:t>请发行人比照《发行监管问答——关于申请首发企业执行新收入准则相关事项的问答》的要求，披露新收入准则实施前后收入确认会计政策的主要差异以及实施新收入准则在业务模式、合同条款、收入确认等方面产生的影响，同时披露实施新收入准则对首次执行日前各年合并财务报表主要指标的影响，并披露合并报表范围内是否存在境外上市子公司。</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textAlignment w:val="auto"/>
        <w:outlineLvl w:val="1"/>
        <w:rPr>
          <w:rFonts w:hint="eastAsia"/>
          <w:lang w:val="zh-CN"/>
        </w:rPr>
      </w:pPr>
      <w:r>
        <w:rPr>
          <w:rFonts w:hint="default" w:ascii="宋体" w:hAnsi="宋体" w:cs="宋体"/>
          <w:color w:val="000000"/>
          <w:sz w:val="28"/>
          <w:szCs w:val="28"/>
        </w:rPr>
        <w:t>44、</w:t>
      </w:r>
      <w:r>
        <w:rPr>
          <w:rFonts w:hint="eastAsia" w:ascii="宋体" w:hAnsi="宋体" w:cs="宋体"/>
          <w:color w:val="000000"/>
          <w:sz w:val="28"/>
          <w:szCs w:val="28"/>
          <w:lang w:val="zh-CN"/>
        </w:rPr>
        <w:t>请补充说明前次申请简要过程（如有）：自行撤回的，说明撤回的主要原因；发审委否决的，说明发审委否决意见和要求落实的主要问题及本次落实情况。请保荐机构、发行人律师核查并发表明确意见。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textAlignment w:val="auto"/>
        <w:outlineLvl w:val="1"/>
        <w:rPr>
          <w:rFonts w:hint="eastAsia" w:ascii="宋体" w:hAnsi="宋体"/>
          <w:b w:val="0"/>
          <w:bCs w:val="0"/>
          <w:sz w:val="28"/>
          <w:szCs w:val="28"/>
          <w:lang w:val="en-US" w:eastAsia="zh-CN"/>
        </w:rPr>
      </w:pPr>
      <w:r>
        <w:rPr>
          <w:rFonts w:hint="default" w:ascii="Times New Roman" w:hAnsi="Times New Roman"/>
          <w:sz w:val="28"/>
          <w:szCs w:val="28"/>
          <w:lang w:eastAsia="zh-CN"/>
        </w:rPr>
        <w:t>45、</w:t>
      </w:r>
      <w:r>
        <w:rPr>
          <w:rFonts w:hint="eastAsia" w:ascii="Times New Roman" w:hAnsi="Times New Roman"/>
          <w:sz w:val="28"/>
          <w:szCs w:val="28"/>
          <w:lang w:val="en-US" w:eastAsia="zh-CN"/>
        </w:rPr>
        <w:t>请发行人及相关中介机构对照证监会公告[2012]14 号《关于进一步提高首次公开发行股票公司财务信息披露质量有关问题的意见》、证监会公告[2013]46号《关于首次公开发行股票并上市公司招股说明书中与盈利能力相关的信息披露指引》的要求，逐项说明有关财务问题及</w:t>
      </w:r>
      <w:r>
        <w:rPr>
          <w:rFonts w:hint="eastAsia" w:ascii="宋体" w:hAnsi="宋体"/>
          <w:b w:val="0"/>
          <w:bCs w:val="0"/>
          <w:sz w:val="28"/>
          <w:szCs w:val="28"/>
          <w:lang w:val="en-US" w:eastAsia="zh-CN"/>
        </w:rPr>
        <w:t>信息披露事项的解决过程和落实情况，发表明确的结论性意见。</w:t>
      </w:r>
    </w:p>
    <w:p>
      <w:pPr>
        <w:keepNext w:val="0"/>
        <w:keepLines w:val="0"/>
        <w:pageBreakBefore w:val="0"/>
        <w:numPr>
          <w:ilvl w:val="0"/>
          <w:numId w:val="0"/>
        </w:numPr>
        <w:kinsoku/>
        <w:wordWrap/>
        <w:overflowPunct/>
        <w:autoSpaceDE/>
        <w:autoSpaceDN/>
        <w:bidi w:val="0"/>
        <w:adjustRightInd/>
        <w:snapToGrid/>
        <w:spacing w:line="460" w:lineRule="exact"/>
        <w:ind w:left="0" w:leftChars="0" w:firstLine="560" w:firstLineChars="200"/>
        <w:textAlignment w:val="auto"/>
        <w:outlineLvl w:val="1"/>
        <w:rPr>
          <w:rFonts w:hint="default" w:ascii="Times New Roman" w:hAnsi="Times New Roman"/>
          <w:sz w:val="28"/>
          <w:szCs w:val="28"/>
          <w:lang w:val="en-US" w:eastAsia="zh-CN"/>
        </w:rPr>
      </w:pPr>
      <w:r>
        <w:rPr>
          <w:rFonts w:hint="default" w:ascii="Times New Roman" w:hAnsi="Times New Roman"/>
          <w:sz w:val="28"/>
          <w:szCs w:val="28"/>
          <w:lang w:eastAsia="zh-CN"/>
        </w:rPr>
        <w:t>46、</w:t>
      </w:r>
      <w:r>
        <w:rPr>
          <w:rFonts w:hint="eastAsia" w:ascii="Times New Roman" w:hAnsi="Times New Roman"/>
          <w:sz w:val="28"/>
          <w:szCs w:val="28"/>
          <w:lang w:val="en-US" w:eastAsia="zh-CN"/>
        </w:rPr>
        <w:t xml:space="preserve">请发行人、中介机构回复反馈意见时注意区分信息披露问题和分析说明问题，如认为补充说明内容对投资者价值判断有重大影响的，请在招股说明书中予以补充披露。根据反馈意见对招股说明书进行补充披露时不应引用反馈意见问题作为标题，并注意使用事实描述性语言，保证内容简明扼要、通俗易懂。请保荐机构督促发行人按要求进行信息披露，并说明核查方法、过程和结论。 </w:t>
      </w:r>
    </w:p>
    <w:p>
      <w:pPr>
        <w:pStyle w:val="10"/>
        <w:keepNext w:val="0"/>
        <w:keepLines w:val="0"/>
        <w:pageBreakBefore w:val="0"/>
        <w:widowControl w:val="0"/>
        <w:kinsoku/>
        <w:wordWrap/>
        <w:overflowPunct/>
        <w:topLinePunct w:val="0"/>
        <w:autoSpaceDE/>
        <w:autoSpaceDN/>
        <w:bidi w:val="0"/>
        <w:adjustRightInd/>
        <w:snapToGrid/>
        <w:spacing w:after="0" w:line="460" w:lineRule="exact"/>
        <w:ind w:firstLine="560" w:firstLineChars="200"/>
        <w:textAlignment w:val="auto"/>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10"/>
        <w:spacing w:after="0" w:line="460" w:lineRule="exact"/>
        <w:ind w:firstLine="560" w:firstLineChars="200"/>
        <w:rPr>
          <w:rFonts w:hint="default" w:cs="宋体"/>
          <w:kern w:val="2"/>
          <w:sz w:val="28"/>
          <w:szCs w:val="20"/>
          <w:lang w:eastAsia="zh-CN"/>
        </w:rPr>
      </w:pPr>
    </w:p>
    <w:p>
      <w:pPr>
        <w:pStyle w:val="2"/>
        <w:ind w:left="0" w:leftChars="0" w:firstLine="0" w:firstLineChars="0"/>
        <w:sectPr>
          <w:footerReference r:id="rId3" w:type="default"/>
          <w:pgSz w:w="11906" w:h="16838"/>
          <w:pgMar w:top="1440" w:right="1800" w:bottom="1440" w:left="1800" w:header="851" w:footer="992" w:gutter="0"/>
          <w:cols w:space="425" w:num="1"/>
          <w:docGrid w:type="lines" w:linePitch="312" w:charSpace="0"/>
        </w:sectPr>
      </w:pPr>
      <w:bookmarkStart w:id="0" w:name="_GoBack"/>
      <w:bookmarkEnd w:id="0"/>
    </w:p>
    <w:p/>
    <w:sectPr>
      <w:footerReference r:id="rId6" w:type="first"/>
      <w:footerReference r:id="rId4" w:type="default"/>
      <w:footerReference r:id="rId5" w:type="even"/>
      <w:pgSz w:w="11906" w:h="16838"/>
      <w:pgMar w:top="1474" w:right="1797" w:bottom="1418" w:left="1797" w:header="851" w:footer="992" w:gutter="0"/>
      <w:pgNumType w:fmt="decimal"/>
      <w:cols w:space="720" w:num="1"/>
      <w:titlePg/>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2</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FgAAAGRycy9QSwECFAAUAAAACACHTuJAaGmCS9MAAAAFAQAADwAAAAAAAAABACAAAAA4AAAA&#10;ZHJzL2Rvd25yZXYueG1sUEsBAhQAFAAAAAgAh07iQL359729AQAAXAMAAA4AAAAAAAAAAQAgAAAA&#10;OAEAAGRycy9lMm9Eb2MueG1sUEsFBgAAAAAGAAYAWQEAAGcFA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BYAAABkcnMvUEsBAhQAFAAAAAgAh07iQGhpgkvTAAAABQEAAA8AAAAAAAAAAQAgAAAAOAAA&#10;AGRycy9kb3ducmV2LnhtbFBLAQIUABQAAAAIAIdO4kBBqCXevgEAAFwDAAAOAAAAAAAAAAEAIAAA&#10;ADgBAABkcnMvZTJvRG9jLnhtbFBLBQYAAAAABgAGAFkBAABoBQAAAAA=&#10;">
              <v:fill on="f" focussize="0,0"/>
              <v:stroke on="f" weight="1.2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36E655"/>
    <w:multiLevelType w:val="singleLevel"/>
    <w:tmpl w:val="FE36E655"/>
    <w:lvl w:ilvl="0" w:tentative="0">
      <w:start w:val="1"/>
      <w:numFmt w:val="decimal"/>
      <w:suff w:val="nothing"/>
      <w:lvlText w:val="%1、"/>
      <w:lvlJc w:val="left"/>
    </w:lvl>
  </w:abstractNum>
  <w:abstractNum w:abstractNumId="1">
    <w:nsid w:val="5CEF8945"/>
    <w:multiLevelType w:val="singleLevel"/>
    <w:tmpl w:val="5CEF8945"/>
    <w:lvl w:ilvl="0" w:tentative="0">
      <w:start w:val="1"/>
      <w:numFmt w:val="chineseCounting"/>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BkZGQ2M2I2ZDNiMGFlYzM0ZmNjYmY5NGEzNTEzZjkifQ=="/>
  </w:docVars>
  <w:rsids>
    <w:rsidRoot w:val="27C800C3"/>
    <w:rsid w:val="0D592CA7"/>
    <w:rsid w:val="1DE7A82F"/>
    <w:rsid w:val="26A13CE2"/>
    <w:rsid w:val="27C800C3"/>
    <w:rsid w:val="37EDAD30"/>
    <w:rsid w:val="3B652498"/>
    <w:rsid w:val="3DDFEC2A"/>
    <w:rsid w:val="5F6B20CA"/>
    <w:rsid w:val="6E06D07B"/>
    <w:rsid w:val="7B7D4C01"/>
    <w:rsid w:val="7FFF9612"/>
    <w:rsid w:val="8FA9B955"/>
    <w:rsid w:val="F1FF7208"/>
    <w:rsid w:val="F7F7200B"/>
    <w:rsid w:val="FBBFF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8"/>
      <w:lang w:val="en-US" w:eastAsia="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widowControl/>
      <w:topLinePunct/>
      <w:spacing w:line="360" w:lineRule="auto"/>
      <w:ind w:left="240"/>
      <w:jc w:val="left"/>
    </w:pPr>
    <w:rPr>
      <w:rFonts w:ascii="Times New Roman" w:hAnsi="Times New Roman" w:eastAsia="宋体" w:cs="Times New Roman"/>
      <w:smallCaps/>
      <w:kern w:val="0"/>
      <w:sz w:val="20"/>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Body Text First Indent 2"/>
    <w:next w:val="1"/>
    <w:unhideWhenUsed/>
    <w:qFormat/>
    <w:uiPriority w:val="99"/>
    <w:pPr>
      <w:widowControl w:val="0"/>
      <w:spacing w:after="120"/>
      <w:ind w:left="420" w:leftChars="200" w:firstLine="420"/>
      <w:jc w:val="both"/>
    </w:pPr>
    <w:rPr>
      <w:rFonts w:ascii="Times New Roman" w:hAnsi="Times New Roman" w:eastAsia="宋体" w:cs="Times New Roman"/>
      <w:kern w:val="2"/>
      <w:sz w:val="21"/>
      <w:szCs w:val="24"/>
      <w:lang w:val="en-US" w:eastAsia="zh-CN" w:bidi="ar-SA"/>
    </w:rPr>
  </w:style>
  <w:style w:type="character" w:styleId="8">
    <w:name w:val="page number"/>
    <w:basedOn w:val="7"/>
    <w:qFormat/>
    <w:uiPriority w:val="0"/>
  </w:style>
  <w:style w:type="paragraph" w:customStyle="1" w:styleId="9">
    <w:name w:val="缺省文本"/>
    <w:basedOn w:val="1"/>
    <w:qFormat/>
    <w:uiPriority w:val="0"/>
    <w:pPr>
      <w:tabs>
        <w:tab w:val="left" w:pos="639"/>
        <w:tab w:val="center" w:pos="5670"/>
        <w:tab w:val="right" w:pos="7655"/>
      </w:tabs>
      <w:spacing w:before="80" w:beforeLines="0" w:beforeAutospacing="0" w:after="120" w:afterLines="0" w:afterAutospacing="0" w:line="360" w:lineRule="atLeast"/>
      <w:outlineLvl w:val="7"/>
    </w:pPr>
    <w:rPr>
      <w:rFonts w:eastAsia="楷体_GB2312"/>
      <w:spacing w:val="4"/>
      <w:kern w:val="28"/>
    </w:rPr>
  </w:style>
  <w:style w:type="paragraph" w:customStyle="1" w:styleId="10">
    <w:name w:val="Body text|1"/>
    <w:basedOn w:val="1"/>
    <w:qFormat/>
    <w:uiPriority w:val="0"/>
    <w:pPr>
      <w:spacing w:after="120" w:line="446" w:lineRule="auto"/>
      <w:ind w:firstLine="400"/>
    </w:pPr>
    <w:rPr>
      <w:rFonts w:ascii="宋体" w:hAnsi="宋体" w:eastAsia="宋体" w:cs="宋体"/>
      <w:sz w:val="22"/>
      <w:szCs w:val="22"/>
      <w:lang w:val="zh-TW" w:eastAsia="zh-TW" w:bidi="zh-TW"/>
    </w:rPr>
  </w:style>
  <w:style w:type="paragraph" w:customStyle="1" w:styleId="11">
    <w:name w:val=" Char Char Char Char"/>
    <w:basedOn w:val="1"/>
    <w:qFormat/>
    <w:uiPriority w:val="0"/>
    <w:pPr>
      <w:widowControl/>
      <w:spacing w:after="160" w:afterLines="0" w:line="240" w:lineRule="exact"/>
      <w:jc w:val="left"/>
    </w:pPr>
  </w:style>
  <w:style w:type="paragraph" w:customStyle="1" w:styleId="12">
    <w:name w:val=" Char1 Char Char Char"/>
    <w:basedOn w:val="1"/>
    <w:qFormat/>
    <w:uiPriority w:val="0"/>
    <w:pPr>
      <w:widowControl/>
      <w:spacing w:after="160" w:afterLines="0" w:afterAutospacing="0" w:line="240" w:lineRule="exact"/>
      <w:jc w:val="left"/>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6351</Words>
  <Characters>6422</Characters>
  <Lines>0</Lines>
  <Paragraphs>0</Paragraphs>
  <TotalTime>6</TotalTime>
  <ScaleCrop>false</ScaleCrop>
  <LinksUpToDate>false</LinksUpToDate>
  <CharactersWithSpaces>6425</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2022-08-28T09:30:00Z</dcterms:created>
  <dc:creator>jqqin</dc:creator>
  <cp:lastModifiedBy>殷明明</cp:lastModifiedBy>
  <dcterms:modified xsi:type="dcterms:W3CDTF">2022-12-09T15:41:01Z</dcterms:modified>
  <dc:title>浙江中天东方氟硅材料股份有限公司首次公开发行股票申请文件反馈意见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D7A9777A926C46C6B524F22C7AE44FC0</vt:lpwstr>
  </property>
</Properties>
</file>