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关于福建国航远洋运输（集团）股份有限公司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kern w:val="0"/>
          <w:sz w:val="30"/>
          <w:szCs w:val="30"/>
          <w:highlight w:val="none"/>
          <w:lang w:eastAsia="zh-CN"/>
        </w:rPr>
        <w:t>福建国航远洋运输（集团）股份有限公司（</w:t>
      </w:r>
      <w:r>
        <w:rPr>
          <w:rFonts w:ascii="Times New Roman" w:hAnsi="Times New Roman" w:eastAsia="仿宋_GB2312" w:cs="Times New Roman"/>
          <w:kern w:val="0"/>
          <w:sz w:val="30"/>
          <w:szCs w:val="30"/>
        </w:rPr>
        <w:t>国航远洋，833171</w:t>
      </w:r>
      <w:r>
        <w:rPr>
          <w:rFonts w:hint="default" w:ascii="Times New Roman" w:hAnsi="Times New Roman" w:eastAsia="仿宋_GB2312" w:cs="Times New Roman"/>
          <w:kern w:val="0"/>
          <w:sz w:val="30"/>
          <w:szCs w:val="30"/>
          <w:highlight w:val="none"/>
          <w:lang w:eastAsia="zh-CN"/>
        </w:rPr>
        <w:t>）设立于200</w:t>
      </w:r>
      <w:r>
        <w:rPr>
          <w:rFonts w:hint="default" w:eastAsia="仿宋_GB2312" w:cs="Times New Roman"/>
          <w:kern w:val="0"/>
          <w:sz w:val="30"/>
          <w:szCs w:val="30"/>
          <w:highlight w:val="none"/>
          <w:lang w:eastAsia="zh-CN"/>
        </w:rPr>
        <w:t>1</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4</w:t>
      </w:r>
      <w:r>
        <w:rPr>
          <w:rFonts w:hint="default" w:ascii="Times New Roman" w:hAnsi="Times New Roman" w:eastAsia="仿宋_GB2312" w:cs="Times New Roman"/>
          <w:kern w:val="0"/>
          <w:sz w:val="30"/>
          <w:szCs w:val="30"/>
          <w:highlight w:val="none"/>
          <w:lang w:eastAsia="zh-CN"/>
        </w:rPr>
        <w:t>月，注册资本为</w:t>
      </w:r>
      <w:r>
        <w:rPr>
          <w:rFonts w:ascii="Times New Roman" w:hAnsi="Times New Roman" w:eastAsia="仿宋_GB2312" w:cs="Times New Roman"/>
          <w:kern w:val="0"/>
          <w:sz w:val="30"/>
          <w:szCs w:val="30"/>
        </w:rPr>
        <w:t>44,440.75</w:t>
      </w:r>
      <w:r>
        <w:rPr>
          <w:rFonts w:hint="default" w:ascii="Times New Roman" w:hAnsi="Times New Roman" w:eastAsia="仿宋_GB2312" w:cs="Times New Roman"/>
          <w:kern w:val="0"/>
          <w:sz w:val="30"/>
          <w:szCs w:val="30"/>
          <w:highlight w:val="none"/>
          <w:lang w:eastAsia="zh-CN"/>
        </w:rPr>
        <w:t>万元，注册地为</w:t>
      </w:r>
      <w:r>
        <w:rPr>
          <w:rFonts w:ascii="Times New Roman" w:hAnsi="Times New Roman" w:eastAsia="仿宋_GB2312" w:cs="Times New Roman"/>
          <w:kern w:val="0"/>
          <w:sz w:val="30"/>
          <w:szCs w:val="30"/>
        </w:rPr>
        <w:t>福建省福州市马尾区</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主要从事国际远洋、国内沿海及长江中下游的干散货运输。控股股东为王炎平，通过直接或间接控制公司41.87%的股份，实际控制人为王炎平、张轶和王鹏，合计共同控制公司67.63%的股份。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w:t>
      </w:r>
      <w:r>
        <w:rPr>
          <w:rFonts w:hint="default" w:eastAsia="仿宋_GB2312" w:cs="Times New Roman"/>
          <w:sz w:val="30"/>
          <w:szCs w:val="30"/>
          <w:lang w:eastAsia="zh-CN"/>
        </w:rPr>
        <w:t>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确的意见。据此，我会同意福建国航远洋运输（集团）股份有限公司</w:t>
      </w:r>
      <w:bookmarkStart w:id="0" w:name="_GoBack"/>
      <w:bookmarkEnd w:id="0"/>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EE9DD69"/>
    <w:rsid w:val="5F5959E3"/>
    <w:rsid w:val="79FBFB1E"/>
    <w:rsid w:val="7CDC72D4"/>
    <w:rsid w:val="7EF6C2F6"/>
    <w:rsid w:val="7F7C6C49"/>
    <w:rsid w:val="7FEE190C"/>
    <w:rsid w:val="BF9FE362"/>
    <w:rsid w:val="E3BF27BC"/>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2021-12-15T03:25:00Z</dcterms:created>
  <dc:creator>吕潇</dc:creator>
  <cp:lastModifiedBy>赵智林</cp:lastModifiedBy>
  <dcterms:modified xsi:type="dcterms:W3CDTF">2022-11-08T16:16:45Z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