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关于深圳市柏星龙创意包装股份有限公司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kern w:val="0"/>
          <w:sz w:val="30"/>
          <w:szCs w:val="30"/>
          <w:highlight w:val="none"/>
          <w:lang w:eastAsia="zh-CN"/>
        </w:rPr>
        <w:t>深圳市柏星龙创意包装股份有限公司（柏星龙，833075）设立于200</w:t>
      </w:r>
      <w:r>
        <w:rPr>
          <w:rFonts w:hint="default" w:eastAsia="仿宋_GB2312" w:cs="Times New Roman"/>
          <w:kern w:val="0"/>
          <w:sz w:val="30"/>
          <w:szCs w:val="30"/>
          <w:highlight w:val="none"/>
          <w:lang w:eastAsia="zh-CN"/>
        </w:rPr>
        <w:t>8</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2</w:t>
      </w:r>
      <w:r>
        <w:rPr>
          <w:rFonts w:hint="default" w:ascii="Times New Roman" w:hAnsi="Times New Roman" w:eastAsia="仿宋_GB2312" w:cs="Times New Roman"/>
          <w:kern w:val="0"/>
          <w:sz w:val="30"/>
          <w:szCs w:val="30"/>
          <w:highlight w:val="none"/>
          <w:lang w:eastAsia="zh-CN"/>
        </w:rPr>
        <w:t>月，注册资本为5,185.20万元，注册地为深圳市罗湖区。</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主要从事创意包装产品生产和创意设计服务。控股股东、实际控制人为赵国义，合计控制公司55.59%的股份。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10</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31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确的意见。据此，我会同意深圳市柏星龙创意包装股份有限公司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w:t>
      </w:r>
      <w:bookmarkStart w:id="0" w:name="_GoBack"/>
      <w:bookmarkEnd w:id="0"/>
      <w:r>
        <w:rPr>
          <w:rFonts w:hint="default" w:ascii="Times New Roman" w:hAnsi="Times New Roman" w:eastAsia="仿宋_GB2312" w:cs="Times New Roman"/>
          <w:sz w:val="30"/>
          <w:szCs w:val="30"/>
        </w:rPr>
        <w:t>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F5959E3"/>
    <w:rsid w:val="79FBFB1E"/>
    <w:rsid w:val="7CDC72D4"/>
    <w:rsid w:val="7EF6C2F6"/>
    <w:rsid w:val="7F7C6C49"/>
    <w:rsid w:val="7FEE190C"/>
    <w:rsid w:val="B6B79E82"/>
    <w:rsid w:val="BF9FE362"/>
    <w:rsid w:val="E3BF27BC"/>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2021-12-15T03:25:00Z</dcterms:created>
  <dc:creator>吕潇</dc:creator>
  <cp:lastModifiedBy>赵智林</cp:lastModifiedBy>
  <dcterms:modified xsi:type="dcterms:W3CDTF">2022-11-01T21:40:14Z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