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pacing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br w:type="textWrapping"/>
      </w:r>
      <w:r>
        <w:rPr>
          <w:rFonts w:hint="eastAsia" w:ascii="仿宋_GB2312" w:hAnsi="仿宋_GB2312" w:eastAsia="仿宋_GB2312" w:cs="仿宋_GB2312"/>
          <w:b/>
          <w:sz w:val="28"/>
          <w:szCs w:val="28"/>
          <w:highlight w:val="none"/>
          <w:lang w:val="en-US" w:eastAsia="zh-CN"/>
        </w:rPr>
        <w:t>无锡盛景微电子股份有限公司</w:t>
      </w:r>
      <w:r>
        <w:rPr>
          <w:rFonts w:hint="eastAsia" w:ascii="仿宋_GB2312" w:hAnsi="仿宋_GB2312" w:eastAsia="仿宋_GB2312" w:cs="仿宋_GB2312"/>
          <w:b/>
          <w:sz w:val="28"/>
          <w:szCs w:val="28"/>
          <w:highlight w:val="none"/>
        </w:rPr>
        <w:t>首次公开发行股票申请文件反馈意见</w:t>
      </w:r>
    </w:p>
    <w:p>
      <w:pPr>
        <w:keepNext w:val="0"/>
        <w:keepLines w:val="0"/>
        <w:pageBreakBefore w:val="0"/>
        <w:kinsoku/>
        <w:wordWrap/>
        <w:topLinePunct w:val="0"/>
        <w:bidi w:val="0"/>
        <w:adjustRightInd w:val="0"/>
        <w:snapToGrid w:val="0"/>
        <w:spacing w:line="460" w:lineRule="exact"/>
        <w:ind w:left="0" w:leftChars="0"/>
        <w:jc w:val="both"/>
        <w:textAlignment w:val="auto"/>
        <w:rPr>
          <w:rFonts w:hint="eastAsia" w:ascii="仿宋_GB2312" w:hAnsi="仿宋_GB2312" w:eastAsia="仿宋_GB2312" w:cs="仿宋_GB2312"/>
          <w:sz w:val="28"/>
          <w:szCs w:val="28"/>
          <w:highlight w:val="none"/>
        </w:rPr>
      </w:pPr>
    </w:p>
    <w:p>
      <w:pPr>
        <w:pStyle w:val="30"/>
        <w:keepNext w:val="0"/>
        <w:keepLines w:val="0"/>
        <w:pageBreakBefore w:val="0"/>
        <w:widowControl/>
        <w:numPr>
          <w:ilvl w:val="0"/>
          <w:numId w:val="0"/>
        </w:numPr>
        <w:kinsoku/>
        <w:wordWrap/>
        <w:topLinePunct w:val="0"/>
        <w:bidi w:val="0"/>
        <w:adjustRightInd w:val="0"/>
        <w:snapToGrid w:val="0"/>
        <w:spacing w:line="460" w:lineRule="exact"/>
        <w:ind w:left="0" w:leftChars="0" w:firstLine="0" w:firstLineChars="0"/>
        <w:jc w:val="both"/>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光大证券股份有限公司：</w:t>
      </w:r>
    </w:p>
    <w:p>
      <w:pPr>
        <w:pStyle w:val="30"/>
        <w:keepNext w:val="0"/>
        <w:keepLines w:val="0"/>
        <w:pageBreakBefore w:val="0"/>
        <w:widowControl/>
        <w:numPr>
          <w:ilvl w:val="0"/>
          <w:numId w:val="0"/>
        </w:numPr>
        <w:kinsoku/>
        <w:wordWrap/>
        <w:topLinePunct w:val="0"/>
        <w:bidi w:val="0"/>
        <w:adjustRightInd w:val="0"/>
        <w:snapToGrid w:val="0"/>
        <w:spacing w:line="460" w:lineRule="exact"/>
        <w:ind w:left="0" w:leftChars="0" w:firstLine="560" w:firstLineChars="200"/>
        <w:jc w:val="both"/>
        <w:textAlignment w:val="auto"/>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Cs/>
          <w:sz w:val="28"/>
          <w:szCs w:val="28"/>
          <w:highlight w:val="none"/>
        </w:rPr>
        <w:t>现对你公司推荐的</w:t>
      </w:r>
      <w:r>
        <w:rPr>
          <w:rFonts w:hint="eastAsia" w:ascii="仿宋_GB2312" w:hAnsi="仿宋_GB2312" w:eastAsia="仿宋_GB2312" w:cs="仿宋_GB2312"/>
          <w:bCs/>
          <w:sz w:val="28"/>
          <w:szCs w:val="28"/>
          <w:highlight w:val="none"/>
          <w:lang w:val="en-US" w:eastAsia="zh-CN"/>
        </w:rPr>
        <w:t>关于无锡盛景微电子股份有限公司</w:t>
      </w:r>
      <w:r>
        <w:rPr>
          <w:rFonts w:hint="eastAsia" w:ascii="仿宋_GB2312" w:hAnsi="仿宋_GB2312" w:eastAsia="仿宋_GB2312" w:cs="仿宋_GB2312"/>
          <w:bCs/>
          <w:sz w:val="28"/>
          <w:szCs w:val="28"/>
          <w:highlight w:val="none"/>
        </w:rPr>
        <w:t>（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sz w:val="28"/>
          <w:szCs w:val="28"/>
          <w:highlight w:val="none"/>
          <w:lang w:eastAsia="zh-CN"/>
        </w:rPr>
        <w:t>回复</w:t>
      </w:r>
      <w:r>
        <w:rPr>
          <w:rFonts w:hint="eastAsia" w:ascii="仿宋_GB2312" w:hAnsi="仿宋_GB2312" w:eastAsia="仿宋_GB2312" w:cs="仿宋_GB2312"/>
          <w:bCs/>
          <w:sz w:val="28"/>
          <w:szCs w:val="28"/>
          <w:highlight w:val="none"/>
        </w:rPr>
        <w:t>，我会将予终止审查。若对本反馈意见有任何疑问，请致电我会审核人员。</w:t>
      </w:r>
    </w:p>
    <w:p>
      <w:pPr>
        <w:pStyle w:val="32"/>
        <w:keepNext w:val="0"/>
        <w:keepLines w:val="0"/>
        <w:pageBreakBefore w:val="0"/>
        <w:kinsoku/>
        <w:wordWrap/>
        <w:topLinePunct w:val="0"/>
        <w:bidi w:val="0"/>
        <w:spacing w:before="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一、规范性问题</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申报文件披露，发行人历史上曾存在股权代持情况。请发行人补充说明：（1）</w:t>
      </w:r>
      <w:r>
        <w:rPr>
          <w:rFonts w:ascii="仿宋_GB2312" w:hAnsi="仿宋_GB2312" w:eastAsia="仿宋_GB2312"/>
          <w:sz w:val="28"/>
          <w:szCs w:val="28"/>
        </w:rPr>
        <w:t>完整披露股份代持的原因</w:t>
      </w:r>
      <w:r>
        <w:rPr>
          <w:rFonts w:hint="eastAsia" w:ascii="仿宋_GB2312" w:hAnsi="仿宋_GB2312" w:eastAsia="仿宋_GB2312"/>
          <w:sz w:val="28"/>
          <w:szCs w:val="28"/>
        </w:rPr>
        <w:t>、背景</w:t>
      </w:r>
      <w:r>
        <w:rPr>
          <w:rFonts w:ascii="仿宋_GB2312" w:hAnsi="仿宋_GB2312" w:eastAsia="仿宋_GB2312"/>
          <w:sz w:val="28"/>
          <w:szCs w:val="28"/>
        </w:rPr>
        <w:t>，股权代持及解除的具体过程，解除代持是否符合被代持人意愿；股权代持及解除中，是否有签署股权代持协议/解除代持协议、转账凭证、资金流水证明等证据证明；相关股权代持/解除是否存在潜在纠纷或争议；（2）进一步说明发行人及其控制的子公司的历史沿革中，是否存在其他未披露的代持情形。请保荐机构和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申报文件披露，张永刚直接持有公司</w:t>
      </w:r>
      <w:r>
        <w:rPr>
          <w:rFonts w:ascii="仿宋_GB2312" w:hAnsi="仿宋_GB2312" w:eastAsia="仿宋_GB2312"/>
          <w:sz w:val="28"/>
          <w:szCs w:val="28"/>
        </w:rPr>
        <w:t xml:space="preserve">37.32%股权，通过担任无锡九安芯执行事务合伙人控制公司11.53%的股权，殷婷系张永刚配偶，通过无锡九安芯间接持有发行人5.13%的股权，张永刚与殷婷合计控制公司48.85%股权，系公司共同实际控制人。 </w:t>
      </w:r>
      <w:r>
        <w:rPr>
          <w:rFonts w:hint="eastAsia" w:ascii="仿宋_GB2312" w:hAnsi="仿宋_GB2312" w:eastAsia="仿宋_GB2312"/>
          <w:sz w:val="28"/>
          <w:szCs w:val="28"/>
        </w:rPr>
        <w:t>发行人第2大股东富海新材持股2</w:t>
      </w:r>
      <w:r>
        <w:rPr>
          <w:rFonts w:ascii="仿宋_GB2312" w:hAnsi="仿宋_GB2312" w:eastAsia="仿宋_GB2312"/>
          <w:sz w:val="28"/>
          <w:szCs w:val="28"/>
        </w:rPr>
        <w:t>6.82</w:t>
      </w:r>
      <w:r>
        <w:rPr>
          <w:rFonts w:hint="eastAsia" w:ascii="仿宋_GB2312" w:hAnsi="仿宋_GB2312" w:eastAsia="仿宋_GB2312"/>
          <w:sz w:val="28"/>
          <w:szCs w:val="28"/>
        </w:rPr>
        <w:t>%，此外赵先锋、潘叙持股均超过5%。请发行人补充说明：（</w:t>
      </w:r>
      <w:r>
        <w:rPr>
          <w:rFonts w:ascii="仿宋_GB2312" w:hAnsi="仿宋_GB2312" w:eastAsia="仿宋_GB2312"/>
          <w:sz w:val="28"/>
          <w:szCs w:val="28"/>
        </w:rPr>
        <w:t>1）结合发行人历史股权变更情况、股权结构、关联方资金往来情况、公司章程、协议或其他安排以及发行人股东大会、董事会、监事会及发行人经营管理的实际运作情况等说明实际控制人认定的合理性，是否符合相关规定；其亲属的锁定期安排是否符合相关规</w:t>
      </w:r>
      <w:r>
        <w:rPr>
          <w:rFonts w:hint="default" w:ascii="仿宋_GB2312" w:hAnsi="仿宋_GB2312" w:eastAsia="仿宋_GB2312"/>
          <w:sz w:val="28"/>
          <w:szCs w:val="28"/>
        </w:rPr>
        <w:t>；</w:t>
      </w:r>
      <w:r>
        <w:rPr>
          <w:rFonts w:ascii="仿宋_GB2312" w:hAnsi="仿宋_GB2312" w:eastAsia="仿宋_GB2312"/>
          <w:sz w:val="28"/>
          <w:szCs w:val="28"/>
        </w:rPr>
        <w:t>（2）未将其他直接、间接持股比例较大的股东或股东的实际控制人认定为发行人实际控制人的原因和合理性。请保荐机构及发行人律师核查</w:t>
      </w:r>
      <w:r>
        <w:rPr>
          <w:rFonts w:hint="eastAsia" w:ascii="仿宋_GB2312" w:hAnsi="仿宋_GB2312" w:eastAsia="仿宋_GB2312"/>
          <w:sz w:val="28"/>
          <w:szCs w:val="28"/>
        </w:rPr>
        <w:t>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ascii="仿宋_GB2312" w:hAnsi="仿宋_GB2312" w:eastAsia="仿宋_GB2312"/>
          <w:sz w:val="28"/>
          <w:szCs w:val="28"/>
        </w:rPr>
        <w:t>请发行人：（1）</w:t>
      </w:r>
      <w:r>
        <w:rPr>
          <w:rFonts w:hint="eastAsia" w:ascii="仿宋_GB2312" w:hAnsi="仿宋_GB2312" w:eastAsia="仿宋_GB2312"/>
          <w:sz w:val="28"/>
          <w:szCs w:val="28"/>
        </w:rPr>
        <w:t>结合发行人</w:t>
      </w:r>
      <w:r>
        <w:rPr>
          <w:rFonts w:ascii="仿宋_GB2312" w:hAnsi="仿宋_GB2312" w:eastAsia="仿宋_GB2312"/>
          <w:sz w:val="28"/>
          <w:szCs w:val="28"/>
        </w:rPr>
        <w:t>具体生产产品类型，说明我国法律/行业规范要求以及具体的法律法规、行业规范依据，进一步说明发行人是否具备了生产经营相关产品的所有资质；（2）具体对照说明维持或再次取得相关重要资质是否存在法律风险或障碍；（3）</w:t>
      </w:r>
      <w:r>
        <w:rPr>
          <w:rFonts w:hint="eastAsia" w:ascii="仿宋_GB2312" w:hAnsi="仿宋_GB2312" w:eastAsia="仿宋_GB2312"/>
          <w:sz w:val="28"/>
          <w:szCs w:val="28"/>
        </w:rPr>
        <w:t>相关认证是否为强制性认证，其具体内容，对发行人的重要性；（4）</w:t>
      </w:r>
      <w:r>
        <w:rPr>
          <w:rFonts w:ascii="仿宋_GB2312" w:hAnsi="仿宋_GB2312" w:eastAsia="仿宋_GB2312"/>
          <w:sz w:val="28"/>
          <w:szCs w:val="28"/>
        </w:rPr>
        <w:t>报告期内，公司</w:t>
      </w:r>
      <w:r>
        <w:rPr>
          <w:rFonts w:hint="eastAsia" w:ascii="仿宋_GB2312" w:hAnsi="仿宋_GB2312" w:eastAsia="仿宋_GB2312"/>
          <w:sz w:val="28"/>
          <w:szCs w:val="28"/>
        </w:rPr>
        <w:t>是否曾出现产品质量问题/纠纷以及解决情况，相关产品生产的质量控制情况</w:t>
      </w:r>
      <w:r>
        <w:rPr>
          <w:rFonts w:ascii="仿宋_GB2312" w:hAnsi="仿宋_GB2312" w:eastAsia="仿宋_GB2312"/>
          <w:sz w:val="28"/>
          <w:szCs w:val="28"/>
        </w:rPr>
        <w:t>。请保荐机构、发行人律师核查并发表明确意见。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申报文件披露，发行人历史上存在对赌协议等投资者特殊权利条款清理事宜。请发行人补充说明：（</w:t>
      </w:r>
      <w:r>
        <w:rPr>
          <w:rFonts w:ascii="仿宋_GB2312" w:hAnsi="仿宋_GB2312" w:eastAsia="仿宋_GB2312"/>
          <w:sz w:val="28"/>
          <w:szCs w:val="28"/>
        </w:rPr>
        <w:t>1）完整披露全部对赌协议等投资者特殊权利条款内容及清理情况；（2）</w:t>
      </w:r>
      <w:r>
        <w:rPr>
          <w:rFonts w:hint="eastAsia" w:ascii="仿宋_GB2312" w:hAnsi="仿宋_GB2312" w:eastAsia="仿宋_GB2312"/>
          <w:sz w:val="28"/>
          <w:szCs w:val="28"/>
        </w:rPr>
        <w:t>相关终止</w:t>
      </w:r>
      <w:r>
        <w:rPr>
          <w:rFonts w:hint="default" w:ascii="仿宋_GB2312" w:hAnsi="仿宋_GB2312" w:eastAsia="仿宋_GB2312"/>
          <w:sz w:val="28"/>
          <w:szCs w:val="28"/>
        </w:rPr>
        <w:t>安排</w:t>
      </w:r>
      <w:r>
        <w:rPr>
          <w:rFonts w:ascii="仿宋_GB2312" w:hAnsi="仿宋_GB2312" w:eastAsia="仿宋_GB2312"/>
          <w:sz w:val="28"/>
          <w:szCs w:val="28"/>
        </w:rPr>
        <w:t>是否存在附条件恢复安排，是否符合相关监管要求。请保荐机构和发行人律师结合《首发业务若干问题解答》“问题5 对赌协议”要求，对上述事项进行核查并发表明确意见。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申报文件披露，发行人现有形成主营业务收入的专利主要来自于上市公司雅化集团孙公司四川久安芯。请发行人补充核查和说明：（1）</w:t>
      </w:r>
      <w:r>
        <w:rPr>
          <w:rFonts w:ascii="仿宋_GB2312" w:hAnsi="仿宋_GB2312" w:eastAsia="仿宋_GB2312"/>
          <w:sz w:val="28"/>
          <w:szCs w:val="28"/>
        </w:rPr>
        <w:t>发行人取得上市公司资产的背景、所履行的决策程序、审批程序与信息披露情况，是否符合法律法规、交易双方公司章程以及证监会和证券交易所有关上市公司监管和信息披露要求，资产转让是否存在诉讼、争议或潜在纠纷</w:t>
      </w:r>
      <w:r>
        <w:rPr>
          <w:rFonts w:hint="eastAsia" w:ascii="仿宋_GB2312" w:hAnsi="仿宋_GB2312" w:eastAsia="仿宋_GB2312"/>
          <w:sz w:val="28"/>
          <w:szCs w:val="28"/>
        </w:rPr>
        <w:t>；（</w:t>
      </w:r>
      <w:r>
        <w:rPr>
          <w:rFonts w:ascii="仿宋_GB2312" w:hAnsi="仿宋_GB2312" w:eastAsia="仿宋_GB2312"/>
          <w:sz w:val="28"/>
          <w:szCs w:val="28"/>
        </w:rPr>
        <w:t>2）发行人及其关联方的董事、监事和高级管理人员在上市公司及其关联方的历史任职情况及合法合规性，是否存在违反竞业禁止义务的情形，与上市公司及其董事、监事和高级管理人员是否存在亲属及其他密切关系，如存在，在相关决策程序履行过程中，相关人员是否回避表决或采取保护非关联股东利益的有效措施；资产转让过程中是否存在损害上市公司及其中小投资者合法利益的情形</w:t>
      </w:r>
      <w:r>
        <w:rPr>
          <w:rFonts w:hint="eastAsia" w:ascii="仿宋_GB2312" w:hAnsi="仿宋_GB2312" w:eastAsia="仿宋_GB2312"/>
          <w:sz w:val="28"/>
          <w:szCs w:val="28"/>
        </w:rPr>
        <w:t>；（</w:t>
      </w:r>
      <w:r>
        <w:rPr>
          <w:rFonts w:ascii="仿宋_GB2312" w:hAnsi="仿宋_GB2312" w:eastAsia="仿宋_GB2312"/>
          <w:sz w:val="28"/>
          <w:szCs w:val="28"/>
        </w:rPr>
        <w:t>3）发行人来自于上市公司的资产置入发行人的时间，在发行人资产中的占比情况，对发行人生产经营的作用</w:t>
      </w:r>
      <w:r>
        <w:rPr>
          <w:rFonts w:hint="eastAsia" w:ascii="仿宋_GB2312" w:hAnsi="仿宋_GB2312" w:eastAsia="仿宋_GB2312"/>
          <w:sz w:val="28"/>
          <w:szCs w:val="28"/>
        </w:rPr>
        <w:t>；请保荐机构、发行人律师核查并发表明确意见。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申报文件披露，报告期内，壶化股份分别为发行人第二大、第三大、第二大客户，发行人对其销售金额占营业收入的比重分别为</w:t>
      </w:r>
      <w:r>
        <w:rPr>
          <w:rFonts w:ascii="仿宋_GB2312" w:hAnsi="仿宋_GB2312" w:eastAsia="仿宋_GB2312"/>
          <w:sz w:val="28"/>
          <w:szCs w:val="28"/>
        </w:rPr>
        <w:t>18.35%、13.70%和16.69%。 如果下游电子雷管生产企业能够实现电子控制模块的自主供应，将可能会使得下游客户对发行人的电子控制模块需求量减少，从而减少采购规模</w:t>
      </w:r>
      <w:r>
        <w:rPr>
          <w:rFonts w:hint="eastAsia" w:ascii="仿宋_GB2312" w:hAnsi="仿宋_GB2312" w:eastAsia="仿宋_GB2312"/>
          <w:sz w:val="28"/>
          <w:szCs w:val="28"/>
        </w:rPr>
        <w:t>。请发行人补充核查和说明：（</w:t>
      </w:r>
      <w:r>
        <w:rPr>
          <w:rFonts w:ascii="仿宋_GB2312" w:hAnsi="仿宋_GB2312" w:eastAsia="仿宋_GB2312"/>
          <w:sz w:val="28"/>
          <w:szCs w:val="28"/>
        </w:rPr>
        <w:t>1</w:t>
      </w:r>
      <w:r>
        <w:rPr>
          <w:rFonts w:hint="eastAsia" w:ascii="仿宋_GB2312" w:hAnsi="仿宋_GB2312" w:eastAsia="仿宋_GB2312"/>
          <w:sz w:val="28"/>
          <w:szCs w:val="28"/>
        </w:rPr>
        <w:t>）发行人的核心专利来源于收购，请具体说明收购专利具体运用于发行人生产销售产品的情况，包括但不限于产品类型，营收利润占比等关键信息；结合发行人具体业务，说明发行人专利等知识产权研发和技术储备情况；（</w:t>
      </w:r>
      <w:r>
        <w:rPr>
          <w:rFonts w:hint="default" w:ascii="仿宋_GB2312" w:hAnsi="仿宋_GB2312" w:eastAsia="仿宋_GB2312"/>
          <w:sz w:val="28"/>
          <w:szCs w:val="28"/>
        </w:rPr>
        <w:t>2</w:t>
      </w:r>
      <w:r>
        <w:rPr>
          <w:rFonts w:hint="eastAsia" w:ascii="仿宋_GB2312" w:hAnsi="仿宋_GB2312" w:eastAsia="仿宋_GB2312"/>
          <w:sz w:val="28"/>
          <w:szCs w:val="28"/>
        </w:rPr>
        <w:t>）发行人主要行业竞争格局、竞争对手情况，发行人所处细分行业的未来发展空间及发行人相应的应对措施情况。请保荐机构、发行人律师核查并发表明确意见。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sz w:val="28"/>
          <w:szCs w:val="28"/>
        </w:rPr>
        <w:t>关于客户集中。申报文件披露，报告期内，公司前五大客户的销售占比分别为</w:t>
      </w:r>
      <w:r>
        <w:rPr>
          <w:rFonts w:ascii="仿宋_GB2312" w:hAnsi="仿宋_GB2312" w:eastAsia="仿宋_GB2312"/>
          <w:sz w:val="28"/>
          <w:szCs w:val="28"/>
        </w:rPr>
        <w:t>99.85%、93.68%和75.57%。</w:t>
      </w:r>
      <w:r>
        <w:rPr>
          <w:rFonts w:hint="eastAsia" w:ascii="仿宋_GB2312" w:hAnsi="仿宋_GB2312" w:eastAsia="仿宋_GB2312"/>
          <w:bCs/>
          <w:sz w:val="28"/>
          <w:szCs w:val="28"/>
        </w:rPr>
        <w:t>请保荐机构、发行人律师比照首发问答问题</w:t>
      </w:r>
      <w:r>
        <w:rPr>
          <w:rFonts w:ascii="仿宋_GB2312" w:hAnsi="仿宋_GB2312" w:eastAsia="仿宋_GB2312"/>
          <w:bCs/>
          <w:sz w:val="28"/>
          <w:szCs w:val="28"/>
        </w:rPr>
        <w:t>38“客户集中”要求核查和发表意见。</w:t>
      </w:r>
    </w:p>
    <w:p>
      <w:pPr>
        <w:pStyle w:val="30"/>
        <w:numPr>
          <w:ilvl w:val="0"/>
          <w:numId w:val="1"/>
        </w:numPr>
        <w:spacing w:line="460" w:lineRule="exact"/>
        <w:rPr>
          <w:rFonts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报告期内，发行人主营业务收入分别为</w:t>
      </w:r>
      <w:r>
        <w:rPr>
          <w:rFonts w:ascii="仿宋_GB2312" w:hAnsi="仿宋_GB2312" w:eastAsia="仿宋_GB2312" w:cs="Times New Roman"/>
          <w:sz w:val="28"/>
          <w:szCs w:val="28"/>
          <w:highlight w:val="none"/>
          <w:lang w:bidi="ar"/>
        </w:rPr>
        <w:t>7,504.41</w:t>
      </w:r>
      <w:r>
        <w:rPr>
          <w:rFonts w:hint="default" w:ascii="仿宋_GB2312" w:hAnsi="仿宋_GB2312" w:eastAsia="仿宋_GB2312" w:cs="Times New Roman"/>
          <w:sz w:val="28"/>
          <w:szCs w:val="28"/>
          <w:highlight w:val="none"/>
          <w:lang w:bidi="ar"/>
        </w:rPr>
        <w:t>万元、</w:t>
      </w:r>
      <w:r>
        <w:rPr>
          <w:rFonts w:ascii="仿宋_GB2312" w:hAnsi="仿宋_GB2312" w:eastAsia="仿宋_GB2312" w:cs="Times New Roman"/>
          <w:sz w:val="28"/>
          <w:szCs w:val="28"/>
          <w:highlight w:val="none"/>
          <w:lang w:bidi="ar"/>
        </w:rPr>
        <w:t>21,054.59</w:t>
      </w:r>
      <w:r>
        <w:rPr>
          <w:rFonts w:hint="default" w:ascii="仿宋_GB2312" w:hAnsi="仿宋_GB2312" w:eastAsia="仿宋_GB2312" w:cs="Times New Roman"/>
          <w:sz w:val="28"/>
          <w:szCs w:val="28"/>
          <w:highlight w:val="none"/>
          <w:lang w:bidi="ar"/>
        </w:rPr>
        <w:t>万元、</w:t>
      </w:r>
      <w:r>
        <w:rPr>
          <w:rFonts w:ascii="仿宋_GB2312" w:hAnsi="仿宋_GB2312" w:eastAsia="仿宋_GB2312" w:cs="Times New Roman"/>
          <w:sz w:val="28"/>
          <w:szCs w:val="28"/>
          <w:highlight w:val="none"/>
          <w:lang w:bidi="ar"/>
        </w:rPr>
        <w:t>35,147.69</w:t>
      </w:r>
      <w:r>
        <w:rPr>
          <w:rFonts w:hint="default" w:ascii="仿宋_GB2312" w:hAnsi="仿宋_GB2312" w:eastAsia="仿宋_GB2312" w:cs="Times New Roman"/>
          <w:sz w:val="28"/>
          <w:szCs w:val="28"/>
          <w:highlight w:val="none"/>
          <w:lang w:bidi="ar"/>
        </w:rPr>
        <w:t>万元。请发行人：（1）</w:t>
      </w:r>
      <w:r>
        <w:rPr>
          <w:rFonts w:ascii="仿宋_GB2312" w:hAnsi="仿宋_GB2312" w:eastAsia="仿宋_GB2312" w:cs="Times New Roman"/>
          <w:sz w:val="28"/>
          <w:szCs w:val="28"/>
          <w:highlight w:val="none"/>
          <w:lang w:bidi="ar"/>
        </w:rPr>
        <w:t>区分具体产品</w:t>
      </w:r>
      <w:r>
        <w:rPr>
          <w:rFonts w:hint="default" w:ascii="仿宋_GB2312" w:hAnsi="仿宋_GB2312" w:eastAsia="仿宋_GB2312" w:cs="Times New Roman"/>
          <w:sz w:val="28"/>
          <w:szCs w:val="28"/>
          <w:highlight w:val="none"/>
          <w:lang w:bidi="ar"/>
        </w:rPr>
        <w:t>类别/型号，</w:t>
      </w:r>
      <w:r>
        <w:rPr>
          <w:rFonts w:ascii="仿宋_GB2312" w:hAnsi="仿宋_GB2312" w:eastAsia="仿宋_GB2312" w:cs="Times New Roman"/>
          <w:sz w:val="28"/>
          <w:szCs w:val="28"/>
          <w:highlight w:val="none"/>
          <w:lang w:bidi="ar"/>
        </w:rPr>
        <w:t>量化分析报告期内各类产品收入波动的原因</w:t>
      </w:r>
      <w:r>
        <w:rPr>
          <w:rFonts w:hint="default" w:ascii="仿宋_GB2312" w:hAnsi="仿宋_GB2312" w:eastAsia="仿宋_GB2312" w:cs="Times New Roman"/>
          <w:sz w:val="28"/>
          <w:szCs w:val="28"/>
          <w:highlight w:val="none"/>
          <w:lang w:bidi="ar"/>
        </w:rPr>
        <w:t>；结合固定资产、产能利用率变化等，</w:t>
      </w:r>
      <w:r>
        <w:rPr>
          <w:rFonts w:hint="eastAsia" w:ascii="仿宋_GB2312" w:hAnsi="仿宋_GB2312" w:eastAsia="仿宋_GB2312" w:cs="仿宋_GB2312"/>
          <w:sz w:val="28"/>
          <w:szCs w:val="28"/>
          <w:highlight w:val="none"/>
          <w:lang w:bidi="ar"/>
        </w:rPr>
        <w:t>说明</w:t>
      </w:r>
      <w:r>
        <w:rPr>
          <w:rFonts w:hint="default" w:ascii="仿宋_GB2312" w:hAnsi="仿宋_GB2312" w:eastAsia="仿宋_GB2312" w:cs="Times New Roman"/>
          <w:sz w:val="28"/>
          <w:szCs w:val="28"/>
          <w:highlight w:val="none"/>
          <w:lang w:bidi="ar"/>
        </w:rPr>
        <w:t>报告期内营业收入持续增长的合理性；（2）报告期内电子控制模块的平均单价变动较小，补充披露发行人向不同客户销售的电子控制模块是否存在差异，发行人产品是否可替代；（3）结合本行业与下游行业发展趋势、在手订单情况、客户业务开展情况等，</w:t>
      </w:r>
      <w:r>
        <w:rPr>
          <w:rFonts w:ascii="仿宋_GB2312" w:hAnsi="仿宋_GB2312" w:eastAsia="仿宋_GB2312" w:cs="Times New Roman"/>
          <w:sz w:val="28"/>
          <w:szCs w:val="28"/>
          <w:highlight w:val="none"/>
          <w:lang w:bidi="ar"/>
        </w:rPr>
        <w:t>说明营业收入持续增长的原因及合理性</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增长是否具有稳定性及可持续性</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并充分提示风险</w:t>
      </w:r>
      <w:r>
        <w:rPr>
          <w:rFonts w:hint="default" w:ascii="仿宋_GB2312" w:hAnsi="仿宋_GB2312" w:eastAsia="仿宋_GB2312" w:cs="Times New Roman"/>
          <w:sz w:val="28"/>
          <w:szCs w:val="28"/>
          <w:highlight w:val="none"/>
          <w:lang w:bidi="ar"/>
        </w:rPr>
        <w:t>；（4）结合具体合同条款，补充说明主要产品的销售模式、定价模式、交货时点、运费承担、验收程序、质量缺陷赔偿责任、产品三包责任（如有）、退货政策及各期退换货情况、款项结算条款；（5）结合下游民爆行业收入季节性波动及同行业可比公司情况，补充披露各期第四季度收入占比较高的原因及合理性。</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topLinePunct w:val="0"/>
        <w:bidi w:val="0"/>
        <w:spacing w:line="460" w:lineRule="exact"/>
        <w:ind w:firstLine="560" w:firstLineChars="200"/>
        <w:jc w:val="left"/>
        <w:textAlignment w:val="auto"/>
        <w:outlineLvl w:val="9"/>
        <w:rPr>
          <w:rFonts w:hint="default"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请保荐机构、申报会计师对上述事项发表核查意见，说明报告期各期对发行人收入的审计程序，包括但不限于发函和回函情况、函证样本的选择方法、收入的截止性测试等。</w:t>
      </w:r>
    </w:p>
    <w:p>
      <w:pPr>
        <w:pStyle w:val="30"/>
        <w:numPr>
          <w:ilvl w:val="0"/>
          <w:numId w:val="1"/>
        </w:numPr>
        <w:spacing w:line="460" w:lineRule="exact"/>
        <w:rPr>
          <w:rFonts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报告期内，发行人向前五名客户合计的销售金额占当期营业收入的比例分别为99.85%、93.68%和75.57%。请发行人：（1）详细论证报告期内向第一大客户</w:t>
      </w:r>
      <w:r>
        <w:rPr>
          <w:rFonts w:ascii="仿宋_GB2312" w:hAnsi="仿宋_GB2312" w:eastAsia="仿宋_GB2312" w:cs="Times New Roman"/>
          <w:sz w:val="28"/>
          <w:szCs w:val="28"/>
          <w:highlight w:val="none"/>
          <w:lang w:bidi="ar"/>
        </w:rPr>
        <w:t>四川雅化实业集团股份有限公司销售金额大幅增长的原因及合理性</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上述业务增量是否来源于四川雅化实业集团股份有限公司的新增业务</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是否存在替代四川雅化实业集团股份有限公司原有供应商的情形</w:t>
      </w:r>
      <w:r>
        <w:rPr>
          <w:rFonts w:hint="default" w:ascii="仿宋_GB2312" w:hAnsi="仿宋_GB2312" w:eastAsia="仿宋_GB2312" w:cs="Times New Roman"/>
          <w:sz w:val="28"/>
          <w:szCs w:val="28"/>
          <w:highlight w:val="none"/>
          <w:lang w:bidi="ar"/>
        </w:rPr>
        <w:t>；（2）补充说明各期前五大客户销售产品具体型号、业务获取方式、销售单价、销售数量、销售毛利率、销售金额及占比、</w:t>
      </w:r>
      <w:r>
        <w:rPr>
          <w:rFonts w:ascii="仿宋_GB2312" w:hAnsi="仿宋_GB2312" w:eastAsia="仿宋_GB2312" w:cs="Times New Roman"/>
          <w:sz w:val="28"/>
          <w:szCs w:val="28"/>
          <w:highlight w:val="none"/>
          <w:lang w:bidi="ar"/>
        </w:rPr>
        <w:t>销售金额占其采购同类产品的比例</w:t>
      </w:r>
      <w:r>
        <w:rPr>
          <w:rFonts w:hint="default" w:ascii="仿宋_GB2312" w:hAnsi="仿宋_GB2312" w:eastAsia="仿宋_GB2312" w:cs="Times New Roman"/>
          <w:sz w:val="28"/>
          <w:szCs w:val="28"/>
          <w:highlight w:val="none"/>
          <w:lang w:bidi="ar"/>
        </w:rPr>
        <w:t>；（3）说明主要客户的基本情况（包括但不限于成立时间、注册资本、主营业务、经营规模、股权结构、合作历史、是否存在关联关系等）、变动情况及原因；（4）</w:t>
      </w:r>
      <w:r>
        <w:rPr>
          <w:rFonts w:ascii="仿宋_GB2312" w:hAnsi="仿宋_GB2312" w:eastAsia="仿宋_GB2312" w:cs="Times New Roman"/>
          <w:sz w:val="28"/>
          <w:szCs w:val="28"/>
          <w:highlight w:val="none"/>
          <w:lang w:bidi="ar"/>
        </w:rPr>
        <w:t>区分产品型号</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类别，说明同类产品同一时期不同客户、同一客户不同时期的销售价格、毛利率是否存在差异，并说明差异的原因及合理性；</w:t>
      </w:r>
      <w:r>
        <w:rPr>
          <w:rFonts w:hint="default" w:ascii="仿宋_GB2312" w:hAnsi="仿宋_GB2312" w:eastAsia="仿宋_GB2312" w:cs="Times New Roman"/>
          <w:sz w:val="28"/>
          <w:szCs w:val="28"/>
          <w:highlight w:val="none"/>
          <w:lang w:bidi="ar"/>
        </w:rPr>
        <w:t>（5）</w:t>
      </w:r>
      <w:r>
        <w:rPr>
          <w:rFonts w:ascii="仿宋_GB2312" w:hAnsi="仿宋_GB2312" w:eastAsia="仿宋_GB2312" w:cs="Times New Roman"/>
          <w:sz w:val="28"/>
          <w:szCs w:val="28"/>
          <w:highlight w:val="none"/>
          <w:lang w:bidi="ar"/>
        </w:rPr>
        <w:t>补充说明发行人是否与主要客户签订长期合同或战略合作协议，如有请补充披露主要内容</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说明具体采购合同或订单的签订周期、频次和方式；</w:t>
      </w:r>
      <w:r>
        <w:rPr>
          <w:rFonts w:hint="default" w:ascii="仿宋_GB2312" w:hAnsi="仿宋_GB2312" w:eastAsia="仿宋_GB2312" w:cs="Times New Roman"/>
          <w:sz w:val="28"/>
          <w:szCs w:val="28"/>
          <w:highlight w:val="none"/>
          <w:lang w:bidi="ar"/>
        </w:rPr>
        <w:t>（6）</w:t>
      </w:r>
      <w:r>
        <w:rPr>
          <w:rFonts w:ascii="仿宋_GB2312" w:hAnsi="仿宋_GB2312" w:eastAsia="仿宋_GB2312" w:cs="Times New Roman"/>
          <w:sz w:val="28"/>
          <w:szCs w:val="28"/>
          <w:highlight w:val="none"/>
          <w:lang w:bidi="ar"/>
        </w:rPr>
        <w:t>说明主要客户与发行人、实际控制人、主要股东、发行人董监高、其他核心人员及上述人员的关联方是否存在关联关系或其他利益安排</w:t>
      </w:r>
      <w:r>
        <w:rPr>
          <w:rFonts w:hint="default" w:ascii="仿宋_GB2312" w:hAnsi="仿宋_GB2312" w:eastAsia="仿宋_GB2312" w:cs="Times New Roman"/>
          <w:sz w:val="28"/>
          <w:szCs w:val="28"/>
          <w:highlight w:val="none"/>
          <w:lang w:bidi="ar"/>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topLinePunct w:val="0"/>
        <w:bidi w:val="0"/>
        <w:spacing w:line="460" w:lineRule="exact"/>
        <w:ind w:firstLine="560" w:firstLineChars="200"/>
        <w:jc w:val="left"/>
        <w:textAlignment w:val="auto"/>
        <w:outlineLvl w:val="9"/>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请保荐机构、申报会计师对上述事项进行核查，并说明对发行人主要客户的核查方法、范围、证据、结论，并发表明确核查意见。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报告期内，发行人的营业成本分别为</w:t>
      </w:r>
      <w:r>
        <w:rPr>
          <w:rFonts w:ascii="仿宋_GB2312" w:hAnsi="仿宋_GB2312" w:eastAsia="仿宋_GB2312" w:cs="Times New Roman"/>
          <w:sz w:val="28"/>
          <w:szCs w:val="28"/>
          <w:highlight w:val="none"/>
          <w:lang w:bidi="ar"/>
        </w:rPr>
        <w:t>4,055.13</w:t>
      </w:r>
      <w:r>
        <w:rPr>
          <w:rFonts w:hint="default" w:ascii="仿宋_GB2312" w:hAnsi="仿宋_GB2312" w:eastAsia="仿宋_GB2312" w:cs="Times New Roman"/>
          <w:sz w:val="28"/>
          <w:szCs w:val="28"/>
          <w:highlight w:val="none"/>
          <w:lang w:bidi="ar"/>
        </w:rPr>
        <w:t>万元、</w:t>
      </w:r>
      <w:r>
        <w:rPr>
          <w:rFonts w:ascii="仿宋_GB2312" w:hAnsi="仿宋_GB2312" w:eastAsia="仿宋_GB2312" w:cs="Times New Roman"/>
          <w:sz w:val="28"/>
          <w:szCs w:val="28"/>
          <w:highlight w:val="none"/>
          <w:lang w:bidi="ar"/>
        </w:rPr>
        <w:t>11,040.59</w:t>
      </w:r>
      <w:r>
        <w:rPr>
          <w:rFonts w:hint="default" w:ascii="仿宋_GB2312" w:hAnsi="仿宋_GB2312" w:eastAsia="仿宋_GB2312" w:cs="Times New Roman"/>
          <w:sz w:val="28"/>
          <w:szCs w:val="28"/>
          <w:highlight w:val="none"/>
          <w:lang w:bidi="ar"/>
        </w:rPr>
        <w:t>万元、</w:t>
      </w:r>
      <w:r>
        <w:rPr>
          <w:rFonts w:ascii="仿宋_GB2312" w:hAnsi="仿宋_GB2312" w:eastAsia="仿宋_GB2312" w:cs="Times New Roman"/>
          <w:sz w:val="28"/>
          <w:szCs w:val="28"/>
          <w:highlight w:val="none"/>
          <w:lang w:bidi="ar"/>
        </w:rPr>
        <w:t>18,950.72</w:t>
      </w:r>
      <w:r>
        <w:rPr>
          <w:rFonts w:hint="default" w:ascii="仿宋_GB2312" w:hAnsi="仿宋_GB2312" w:eastAsia="仿宋_GB2312" w:cs="Times New Roman"/>
          <w:sz w:val="28"/>
          <w:szCs w:val="28"/>
          <w:highlight w:val="none"/>
          <w:lang w:bidi="ar"/>
        </w:rPr>
        <w:t>万元。请发行人：（1）补充说明报告期各期主营业务成本中直接材料、</w:t>
      </w:r>
      <w:r>
        <w:rPr>
          <w:rFonts w:ascii="仿宋_GB2312" w:hAnsi="仿宋_GB2312" w:eastAsia="仿宋_GB2312" w:cs="Times New Roman"/>
          <w:sz w:val="28"/>
          <w:szCs w:val="28"/>
          <w:highlight w:val="none"/>
          <w:lang w:bidi="ar"/>
        </w:rPr>
        <w:t>委托加工费</w:t>
      </w:r>
      <w:r>
        <w:rPr>
          <w:rFonts w:hint="default" w:ascii="仿宋_GB2312" w:hAnsi="仿宋_GB2312" w:eastAsia="仿宋_GB2312" w:cs="Times New Roman"/>
          <w:sz w:val="28"/>
          <w:szCs w:val="28"/>
          <w:highlight w:val="none"/>
          <w:lang w:bidi="ar"/>
        </w:rPr>
        <w:t>的明细构成、数量、单价及金额占比情况，说明报告期内直接材料和委托加工费逐年大幅的原因及合理性；（2）补充说明主要产品的料工费构成,说明各类产品成本结构变动的原因及合理性，与产品营业收入、产量变动的匹配情况，详细说明成本的归集与分类核算方法；（3）补充说明报告期各期主要原材料采购价格与市场价格的对比情况，原材料价格波动对生产经营的影响，原材料采购价格是否符合市场价格走势；对于存在不一致或其他不存在公开市场价格的原材料，通过对比同种原材料不同供应商的采购价格，二者之间是否存在显著差异；</w:t>
      </w:r>
      <w:r>
        <w:rPr>
          <w:rFonts w:ascii="仿宋_GB2312" w:hAnsi="仿宋_GB2312" w:eastAsia="仿宋_GB2312" w:cs="Times New Roman"/>
          <w:sz w:val="28"/>
          <w:szCs w:val="28"/>
          <w:highlight w:val="none"/>
          <w:lang w:bidi="ar"/>
        </w:rPr>
        <w:t>（</w:t>
      </w:r>
      <w:r>
        <w:rPr>
          <w:rFonts w:hint="default" w:ascii="仿宋_GB2312" w:hAnsi="仿宋_GB2312" w:eastAsia="仿宋_GB2312" w:cs="Times New Roman"/>
          <w:sz w:val="28"/>
          <w:szCs w:val="28"/>
          <w:highlight w:val="none"/>
          <w:lang w:bidi="ar"/>
        </w:rPr>
        <w:t>4</w:t>
      </w:r>
      <w:r>
        <w:rPr>
          <w:rFonts w:ascii="仿宋_GB2312" w:hAnsi="仿宋_GB2312" w:eastAsia="仿宋_GB2312" w:cs="Times New Roman"/>
          <w:sz w:val="28"/>
          <w:szCs w:val="28"/>
          <w:highlight w:val="none"/>
          <w:lang w:bidi="ar"/>
        </w:rPr>
        <w:t>）说明报告期内主要能源</w:t>
      </w:r>
      <w:r>
        <w:rPr>
          <w:rFonts w:hint="default" w:ascii="仿宋_GB2312" w:hAnsi="仿宋_GB2312" w:eastAsia="仿宋_GB2312" w:cs="Times New Roman"/>
          <w:sz w:val="28"/>
          <w:szCs w:val="28"/>
          <w:highlight w:val="none"/>
          <w:lang w:bidi="ar"/>
        </w:rPr>
        <w:t>采购金额</w:t>
      </w:r>
      <w:r>
        <w:rPr>
          <w:rFonts w:ascii="仿宋_GB2312" w:hAnsi="仿宋_GB2312" w:eastAsia="仿宋_GB2312" w:cs="Times New Roman"/>
          <w:sz w:val="28"/>
          <w:szCs w:val="28"/>
          <w:highlight w:val="none"/>
          <w:lang w:bidi="ar"/>
        </w:rPr>
        <w:t>与业务开展情况是否匹配；（</w:t>
      </w:r>
      <w:r>
        <w:rPr>
          <w:rFonts w:hint="default" w:ascii="仿宋_GB2312" w:hAnsi="仿宋_GB2312" w:eastAsia="仿宋_GB2312" w:cs="Times New Roman"/>
          <w:sz w:val="28"/>
          <w:szCs w:val="28"/>
          <w:highlight w:val="none"/>
          <w:lang w:bidi="ar"/>
        </w:rPr>
        <w:t>5</w:t>
      </w:r>
      <w:r>
        <w:rPr>
          <w:rFonts w:ascii="仿宋_GB2312" w:hAnsi="仿宋_GB2312" w:eastAsia="仿宋_GB2312" w:cs="Times New Roman"/>
          <w:sz w:val="28"/>
          <w:szCs w:val="28"/>
          <w:highlight w:val="none"/>
          <w:lang w:bidi="ar"/>
        </w:rPr>
        <w:t>）补充说明是否存在关联方或其他利益相关方代为承担成本费用、利益输送的情形。请保荐机构、申报会计师核查上述情况，说明核查过程，并明确发表意见。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报告期各期</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发行人向</w:t>
      </w:r>
      <w:r>
        <w:rPr>
          <w:rFonts w:hint="default" w:ascii="仿宋_GB2312" w:hAnsi="仿宋_GB2312" w:eastAsia="仿宋_GB2312" w:cs="Times New Roman"/>
          <w:sz w:val="28"/>
          <w:szCs w:val="28"/>
          <w:highlight w:val="none"/>
          <w:lang w:bidi="ar"/>
        </w:rPr>
        <w:t>前五大原材料供应商</w:t>
      </w:r>
      <w:r>
        <w:rPr>
          <w:rFonts w:ascii="仿宋_GB2312" w:hAnsi="仿宋_GB2312" w:eastAsia="仿宋_GB2312" w:cs="Times New Roman"/>
          <w:sz w:val="28"/>
          <w:szCs w:val="28"/>
          <w:highlight w:val="none"/>
          <w:lang w:bidi="ar"/>
        </w:rPr>
        <w:t>的采购金额占比分别为76.15%</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80.10%</w:t>
      </w:r>
      <w:r>
        <w:rPr>
          <w:rFonts w:hint="default" w:ascii="仿宋_GB2312" w:hAnsi="仿宋_GB2312" w:eastAsia="仿宋_GB2312" w:cs="Times New Roman"/>
          <w:sz w:val="28"/>
          <w:szCs w:val="28"/>
          <w:highlight w:val="none"/>
          <w:lang w:bidi="ar"/>
        </w:rPr>
        <w:t>和</w:t>
      </w:r>
      <w:r>
        <w:rPr>
          <w:rFonts w:ascii="仿宋_GB2312" w:hAnsi="仿宋_GB2312" w:eastAsia="仿宋_GB2312" w:cs="Times New Roman"/>
          <w:sz w:val="28"/>
          <w:szCs w:val="28"/>
          <w:highlight w:val="none"/>
          <w:lang w:bidi="ar"/>
        </w:rPr>
        <w:t>80.23%</w:t>
      </w:r>
      <w:r>
        <w:rPr>
          <w:rFonts w:hint="default" w:ascii="仿宋_GB2312" w:hAnsi="仿宋_GB2312" w:eastAsia="仿宋_GB2312" w:cs="Times New Roman"/>
          <w:sz w:val="28"/>
          <w:szCs w:val="28"/>
          <w:highlight w:val="none"/>
          <w:lang w:bidi="ar"/>
        </w:rPr>
        <w:t>。请发行人：</w:t>
      </w:r>
      <w:r>
        <w:rPr>
          <w:rFonts w:ascii="仿宋_GB2312" w:hAnsi="仿宋_GB2312" w:eastAsia="仿宋_GB2312" w:cs="Times New Roman"/>
          <w:sz w:val="28"/>
          <w:szCs w:val="28"/>
          <w:highlight w:val="none"/>
          <w:lang w:bidi="ar"/>
        </w:rPr>
        <w:t>（1）区分采购产品类别，补充披露报告期各期主要供应商采购数量、金额及占比；（2）补充说明主要供应商成立时间、注册资本、经营范围、股权结构、是否为新增供应商、与发行人合作年限、业务往来背景、结算方式等，上述情况若在报告期内发生变化或波动，请说明原因；（3）说明报告期内前五大供应商采购占比波动的原因；（4）补充说明报告期内供应商选择依据，供应商的总数量，按采购内容分别列示供应商家数、主要供应商情况及采购金额，说明各产品采购主要供应商变动原因、采购金额、数量、单价变化情况及原因、合理性、采购价格与市场价格差异情况及差异原因，向不同供应商采购同类产品的价格差异情况，价格是否公允；（5）补充说明报告期内是否存在发行人是某一供应商相关业务唯一客户或主要客户的情形，是否存在报告期内新成立即成为发行人供应商的情形，是否存在客户指定供应商的情形；（6）结合行业状况、主要材料供应商的合作协议情况等，分析供应商的稳定性和可持续性；（7）说明主要供应商与发行人、发行人董事、监管、高管、其他核心人员、实际控制人、发行人股东及其关联方是否存在关联关系或其他利益安排；（8）补充披露报告期内是否存在向贸易商、代理商采购的情形，如有请说明未直接向原厂采购的合理性。请保荐机构、申报会计师核查并发表明确意见。</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topLinePunct w:val="0"/>
        <w:bidi w:val="0"/>
        <w:spacing w:line="460" w:lineRule="exact"/>
        <w:ind w:firstLine="560" w:firstLineChars="200"/>
        <w:jc w:val="left"/>
        <w:textAlignment w:val="auto"/>
        <w:outlineLvl w:val="9"/>
        <w:rPr>
          <w:rFonts w:hint="default" w:ascii="仿宋_GB2312" w:hAnsi="仿宋_GB2312" w:eastAsia="仿宋_GB2312" w:cs="Times New Roman"/>
          <w:sz w:val="28"/>
          <w:szCs w:val="28"/>
          <w:highlight w:val="none"/>
          <w:lang w:bidi="ar"/>
        </w:rPr>
      </w:pP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报告期各期</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发行人向</w:t>
      </w:r>
      <w:r>
        <w:rPr>
          <w:rFonts w:hint="default" w:ascii="仿宋_GB2312" w:hAnsi="仿宋_GB2312" w:eastAsia="仿宋_GB2312" w:cs="Times New Roman"/>
          <w:sz w:val="28"/>
          <w:szCs w:val="28"/>
          <w:highlight w:val="none"/>
          <w:lang w:bidi="ar"/>
        </w:rPr>
        <w:t>前五大委托加工供应商</w:t>
      </w:r>
      <w:r>
        <w:rPr>
          <w:rFonts w:ascii="仿宋_GB2312" w:hAnsi="仿宋_GB2312" w:eastAsia="仿宋_GB2312" w:cs="Times New Roman"/>
          <w:sz w:val="28"/>
          <w:szCs w:val="28"/>
          <w:highlight w:val="none"/>
          <w:lang w:bidi="ar"/>
        </w:rPr>
        <w:t>的采购金额占比分别为97.65%</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95.24%</w:t>
      </w:r>
      <w:r>
        <w:rPr>
          <w:rFonts w:hint="default" w:ascii="仿宋_GB2312" w:hAnsi="仿宋_GB2312" w:eastAsia="仿宋_GB2312" w:cs="Times New Roman"/>
          <w:sz w:val="28"/>
          <w:szCs w:val="28"/>
          <w:highlight w:val="none"/>
          <w:lang w:bidi="ar"/>
        </w:rPr>
        <w:t>和</w:t>
      </w:r>
      <w:r>
        <w:rPr>
          <w:rFonts w:ascii="仿宋_GB2312" w:hAnsi="仿宋_GB2312" w:eastAsia="仿宋_GB2312" w:cs="Times New Roman"/>
          <w:sz w:val="28"/>
          <w:szCs w:val="28"/>
          <w:highlight w:val="none"/>
          <w:lang w:bidi="ar"/>
        </w:rPr>
        <w:t>90.81%</w:t>
      </w:r>
      <w:r>
        <w:rPr>
          <w:rFonts w:hint="default" w:ascii="仿宋_GB2312" w:hAnsi="仿宋_GB2312" w:eastAsia="仿宋_GB2312" w:cs="Times New Roman"/>
          <w:sz w:val="28"/>
          <w:szCs w:val="28"/>
          <w:highlight w:val="none"/>
          <w:lang w:bidi="ar"/>
        </w:rPr>
        <w:t xml:space="preserve">。请发行人： </w:t>
      </w:r>
      <w:r>
        <w:rPr>
          <w:rFonts w:ascii="仿宋_GB2312" w:hAnsi="仿宋_GB2312" w:eastAsia="仿宋_GB2312" w:cs="Times New Roman"/>
          <w:sz w:val="28"/>
          <w:szCs w:val="28"/>
          <w:highlight w:val="none"/>
          <w:lang w:bidi="ar"/>
        </w:rPr>
        <w:t>（1）补充</w:t>
      </w:r>
      <w:r>
        <w:rPr>
          <w:rFonts w:hint="default" w:ascii="仿宋_GB2312" w:hAnsi="仿宋_GB2312" w:eastAsia="仿宋_GB2312" w:cs="Times New Roman"/>
          <w:sz w:val="28"/>
          <w:szCs w:val="28"/>
          <w:highlight w:val="none"/>
          <w:lang w:bidi="ar"/>
        </w:rPr>
        <w:t>说明</w:t>
      </w:r>
      <w:r>
        <w:rPr>
          <w:rFonts w:ascii="仿宋_GB2312" w:hAnsi="仿宋_GB2312" w:eastAsia="仿宋_GB2312" w:cs="Times New Roman"/>
          <w:sz w:val="28"/>
          <w:szCs w:val="28"/>
          <w:highlight w:val="none"/>
          <w:lang w:bidi="ar"/>
        </w:rPr>
        <w:t>委托加工的具体内容，</w:t>
      </w:r>
      <w:r>
        <w:rPr>
          <w:rFonts w:hint="default" w:ascii="仿宋_GB2312" w:hAnsi="仿宋_GB2312" w:eastAsia="仿宋_GB2312" w:cs="Times New Roman"/>
          <w:sz w:val="28"/>
          <w:szCs w:val="28"/>
          <w:highlight w:val="none"/>
          <w:lang w:bidi="ar"/>
        </w:rPr>
        <w:t>委托加工</w:t>
      </w:r>
      <w:r>
        <w:rPr>
          <w:rFonts w:ascii="仿宋_GB2312" w:hAnsi="仿宋_GB2312" w:eastAsia="仿宋_GB2312" w:cs="Times New Roman"/>
          <w:sz w:val="28"/>
          <w:szCs w:val="28"/>
          <w:highlight w:val="none"/>
          <w:lang w:bidi="ar"/>
        </w:rPr>
        <w:t>是否涉及核心工序，论证</w:t>
      </w:r>
      <w:r>
        <w:rPr>
          <w:rFonts w:hint="default" w:ascii="仿宋_GB2312" w:hAnsi="仿宋_GB2312" w:eastAsia="仿宋_GB2312" w:cs="Times New Roman"/>
          <w:sz w:val="28"/>
          <w:szCs w:val="28"/>
          <w:highlight w:val="none"/>
          <w:lang w:bidi="ar"/>
        </w:rPr>
        <w:t>委托</w:t>
      </w:r>
      <w:r>
        <w:rPr>
          <w:rFonts w:ascii="仿宋_GB2312" w:hAnsi="仿宋_GB2312" w:eastAsia="仿宋_GB2312" w:cs="Times New Roman"/>
          <w:sz w:val="28"/>
          <w:szCs w:val="28"/>
          <w:highlight w:val="none"/>
          <w:lang w:bidi="ar"/>
        </w:rPr>
        <w:t>加工的必要性，是否符合行业惯例；</w:t>
      </w:r>
      <w:r>
        <w:rPr>
          <w:rFonts w:hint="default" w:ascii="仿宋_GB2312" w:hAnsi="仿宋_GB2312" w:eastAsia="仿宋_GB2312" w:cs="Times New Roman"/>
          <w:sz w:val="28"/>
          <w:szCs w:val="28"/>
          <w:highlight w:val="none"/>
          <w:lang w:bidi="ar"/>
        </w:rPr>
        <w:t>（2）</w:t>
      </w:r>
      <w:r>
        <w:rPr>
          <w:rFonts w:hint="eastAsia" w:ascii="仿宋_GB2312" w:hAnsi="仿宋_GB2312" w:eastAsia="仿宋_GB2312" w:cs="仿宋_GB2312"/>
          <w:sz w:val="28"/>
          <w:szCs w:val="28"/>
          <w:highlight w:val="none"/>
          <w:lang w:bidi="ar"/>
        </w:rPr>
        <w:t>说明</w:t>
      </w:r>
      <w:r>
        <w:rPr>
          <w:rFonts w:ascii="仿宋_GB2312" w:hAnsi="仿宋_GB2312" w:eastAsia="仿宋_GB2312" w:cs="Times New Roman"/>
          <w:sz w:val="28"/>
          <w:szCs w:val="28"/>
          <w:highlight w:val="none"/>
          <w:lang w:bidi="ar"/>
        </w:rPr>
        <w:t>委托加工定价依据及公允性，加工单价在报告期内、不同厂商之间、与自产成本相比是否存在差异及差异的原因，是否存在利益输送；</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补充说明委托加工商总家数、前五名委托加工商基本情况（包括但不限于名称、成立时间、经营地址、股权结构、是否为关联方），并结合双方合同、厂商基本情况、采购金额变化等，说明前五名委托加工商在报告期内发生变动的原因及合理性；（</w:t>
      </w:r>
      <w:r>
        <w:rPr>
          <w:rFonts w:hint="default" w:ascii="仿宋_GB2312" w:hAnsi="仿宋_GB2312" w:eastAsia="仿宋_GB2312" w:cs="Times New Roman"/>
          <w:sz w:val="28"/>
          <w:szCs w:val="28"/>
          <w:highlight w:val="none"/>
          <w:lang w:bidi="ar"/>
        </w:rPr>
        <w:t>4</w:t>
      </w:r>
      <w:r>
        <w:rPr>
          <w:rFonts w:ascii="仿宋_GB2312" w:hAnsi="仿宋_GB2312" w:eastAsia="仿宋_GB2312" w:cs="Times New Roman"/>
          <w:sz w:val="28"/>
          <w:szCs w:val="28"/>
          <w:highlight w:val="none"/>
          <w:lang w:bidi="ar"/>
        </w:rPr>
        <w:t>）说明委托加工商中是否存在专门或主要为发行人提供服务的厂商及合理性，发行人是否对个别委托加工商存在依赖。请保荐机构、申报会计师对上述问题进行核查并发表明确意见。</w:t>
      </w:r>
    </w:p>
    <w:p>
      <w:pPr>
        <w:pStyle w:val="30"/>
        <w:keepNext w:val="0"/>
        <w:keepLines w:val="0"/>
        <w:pageBreakBefore w:val="0"/>
        <w:numPr>
          <w:ilvl w:val="0"/>
          <w:numId w:val="1"/>
        </w:numPr>
        <w:kinsoku/>
        <w:wordWrap/>
        <w:topLinePunct w:val="0"/>
        <w:bidi w:val="0"/>
        <w:spacing w:line="460" w:lineRule="exact"/>
        <w:ind w:firstLine="0"/>
        <w:textAlignment w:val="auto"/>
        <w:outlineLvl w:val="9"/>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Times New Roman"/>
          <w:sz w:val="28"/>
          <w:szCs w:val="28"/>
          <w:highlight w:val="none"/>
          <w:lang w:bidi="ar"/>
        </w:rPr>
        <w:t>报告期内，发行人主营业务</w:t>
      </w:r>
      <w:r>
        <w:rPr>
          <w:rFonts w:ascii="仿宋_GB2312" w:hAnsi="仿宋_GB2312" w:eastAsia="仿宋_GB2312" w:cs="Times New Roman"/>
          <w:sz w:val="28"/>
          <w:szCs w:val="28"/>
          <w:highlight w:val="none"/>
          <w:lang w:bidi="ar"/>
        </w:rPr>
        <w:t>毛利率分别为45.96%、47.56%和46.08%</w:t>
      </w:r>
      <w:r>
        <w:rPr>
          <w:rFonts w:hint="default" w:ascii="仿宋_GB2312" w:hAnsi="仿宋_GB2312" w:eastAsia="仿宋_GB2312" w:cs="Times New Roman"/>
          <w:sz w:val="28"/>
          <w:szCs w:val="28"/>
          <w:highlight w:val="none"/>
          <w:lang w:bidi="ar"/>
        </w:rPr>
        <w:t>。请发行人：（1）补充说明各期</w:t>
      </w:r>
      <w:r>
        <w:rPr>
          <w:rFonts w:ascii="仿宋_GB2312" w:hAnsi="仿宋_GB2312" w:eastAsia="仿宋_GB2312" w:cs="Times New Roman"/>
          <w:sz w:val="28"/>
          <w:szCs w:val="28"/>
          <w:highlight w:val="none"/>
          <w:lang w:bidi="ar"/>
        </w:rPr>
        <w:t>起爆控制器</w:t>
      </w:r>
      <w:r>
        <w:rPr>
          <w:rFonts w:hint="default" w:ascii="仿宋_GB2312" w:hAnsi="仿宋_GB2312" w:eastAsia="仿宋_GB2312" w:cs="Times New Roman"/>
          <w:sz w:val="28"/>
          <w:szCs w:val="28"/>
          <w:highlight w:val="none"/>
          <w:lang w:bidi="ar"/>
        </w:rPr>
        <w:t>毛利率波动的原因及合理性；（2）补充说明报告期内同类产品销售不同客户的毛利率对比情况分析，同一客户各年毛利率变动的原因分析；（3）补充说明同行业可比公司的选取依据、选取范围及合理性，结合业务模式、采购销售模式、产品类型及客户类型等因素，进一步说明公司毛利率与同行业可比公司毛利率存在差异的原因及合理性。请保荐机构、申报会计师对以上情况进行核查，并发表明确的核查意见。</w:t>
      </w:r>
    </w:p>
    <w:p>
      <w:pPr>
        <w:pStyle w:val="32"/>
        <w:keepNext w:val="0"/>
        <w:keepLines w:val="0"/>
        <w:pageBreakBefore w:val="0"/>
        <w:numPr>
          <w:ilvl w:val="0"/>
          <w:numId w:val="2"/>
        </w:numPr>
        <w:kinsoku/>
        <w:wordWrap/>
        <w:topLinePunct w:val="0"/>
        <w:bidi w:val="0"/>
        <w:spacing w:before="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信息披露问题</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沿革较长，发行人股东变更情况较为复杂。请发行人补充披露：（1）历次增资、股权转让的原因及合理性、价格及定价依据，说明前后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2）自然人股东的基本情况，是否在公司任职；员工持股平台持股人员情况，在发行人处任职情况，未在发行人处任职却取得股份的原因（如有）；（</w:t>
      </w:r>
      <w:r>
        <w:rPr>
          <w:rFonts w:ascii="仿宋_GB2312" w:hAnsi="仿宋_GB2312" w:eastAsia="仿宋_GB2312"/>
          <w:sz w:val="28"/>
          <w:szCs w:val="28"/>
        </w:rPr>
        <w:t>3</w:t>
      </w:r>
      <w:r>
        <w:rPr>
          <w:rFonts w:hint="eastAsia" w:ascii="仿宋_GB2312" w:hAnsi="仿宋_GB2312" w:eastAsia="仿宋_GB2312"/>
          <w:sz w:val="28"/>
          <w:szCs w:val="28"/>
        </w:rPr>
        <w:t>）对赌协议的解除（如有）是否符合规定，是否存在纠纷或潜在纠纷，现有股东是否与相关方存在未披露的对赌协议或特殊安排；（</w:t>
      </w:r>
      <w:r>
        <w:rPr>
          <w:rFonts w:ascii="仿宋_GB2312" w:hAnsi="仿宋_GB2312" w:eastAsia="仿宋_GB2312"/>
          <w:sz w:val="28"/>
          <w:szCs w:val="28"/>
        </w:rPr>
        <w:t>4</w:t>
      </w:r>
      <w:r>
        <w:rPr>
          <w:rFonts w:hint="eastAsia" w:ascii="仿宋_GB2312" w:hAnsi="仿宋_GB2312" w:eastAsia="仿宋_GB2312"/>
          <w:sz w:val="28"/>
          <w:szCs w:val="28"/>
        </w:rPr>
        <w:t>）历次出资、股权转让、整体变更、利润分配、资本公积转增股本等过程中各股东是否均依法履行纳税申报义务，是否存在违反税收管理、外汇管理等违法违规情形，是否因此受到行政处罚；（</w:t>
      </w:r>
      <w:r>
        <w:rPr>
          <w:rFonts w:ascii="仿宋_GB2312" w:hAnsi="仿宋_GB2312" w:eastAsia="仿宋_GB2312"/>
          <w:sz w:val="28"/>
          <w:szCs w:val="28"/>
        </w:rPr>
        <w:t>5</w:t>
      </w:r>
      <w:r>
        <w:rPr>
          <w:rFonts w:hint="eastAsia" w:ascii="仿宋_GB2312" w:hAnsi="仿宋_GB2312" w:eastAsia="仿宋_GB2312"/>
          <w:sz w:val="28"/>
          <w:szCs w:val="28"/>
        </w:rPr>
        <w:t>）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
          <w:sz w:val="28"/>
          <w:szCs w:val="28"/>
        </w:rPr>
      </w:pPr>
      <w:r>
        <w:rPr>
          <w:rFonts w:hint="eastAsia" w:ascii="仿宋_GB2312" w:hAnsi="仿宋_GB2312" w:eastAsia="仿宋_GB2312"/>
          <w:bCs/>
          <w:sz w:val="28"/>
          <w:szCs w:val="28"/>
        </w:rPr>
        <w:t>申报文件披露，报告期内发行人</w:t>
      </w:r>
      <w:r>
        <w:rPr>
          <w:rFonts w:hint="default" w:ascii="仿宋_GB2312" w:hAnsi="仿宋_GB2312" w:eastAsia="仿宋_GB2312"/>
          <w:bCs w:val="0"/>
          <w:sz w:val="28"/>
          <w:szCs w:val="28"/>
        </w:rPr>
        <w:t>存在</w:t>
      </w:r>
      <w:r>
        <w:rPr>
          <w:rFonts w:hint="eastAsia" w:ascii="仿宋_GB2312" w:hAnsi="仿宋_GB2312" w:eastAsia="仿宋_GB2312"/>
          <w:bCs/>
          <w:sz w:val="28"/>
          <w:szCs w:val="28"/>
        </w:rPr>
        <w:t>若干资产</w:t>
      </w:r>
      <w:r>
        <w:rPr>
          <w:rFonts w:hint="default" w:ascii="仿宋_GB2312" w:hAnsi="仿宋_GB2312" w:eastAsia="仿宋_GB2312"/>
          <w:bCs/>
          <w:sz w:val="28"/>
          <w:szCs w:val="28"/>
        </w:rPr>
        <w:t>重组</w:t>
      </w:r>
      <w:r>
        <w:rPr>
          <w:rFonts w:hint="eastAsia" w:ascii="仿宋_GB2312" w:hAnsi="仿宋_GB2312" w:eastAsia="仿宋_GB2312"/>
          <w:bCs/>
          <w:sz w:val="28"/>
          <w:szCs w:val="28"/>
        </w:rPr>
        <w:t>事宜。</w:t>
      </w:r>
      <w:r>
        <w:rPr>
          <w:rFonts w:hint="eastAsia" w:ascii="仿宋_GB2312" w:hAnsi="仿宋_GB2312" w:eastAsia="仿宋_GB2312"/>
          <w:sz w:val="28"/>
          <w:szCs w:val="28"/>
        </w:rPr>
        <w:t>请发行人补充说明和披露：（1）资产重组前各方</w:t>
      </w:r>
      <w:r>
        <w:rPr>
          <w:rFonts w:hint="eastAsia" w:ascii="仿宋_GB2312" w:hAnsi="仿宋_GB2312" w:eastAsia="仿宋_GB2312"/>
          <w:bCs/>
          <w:sz w:val="28"/>
          <w:szCs w:val="28"/>
        </w:rPr>
        <w:t>基本情况介绍，包括股权结构，实际经营业务；</w:t>
      </w:r>
      <w:r>
        <w:rPr>
          <w:rFonts w:hint="eastAsia" w:ascii="仿宋_GB2312" w:hAnsi="仿宋_GB2312" w:eastAsia="仿宋_GB2312"/>
          <w:sz w:val="28"/>
          <w:szCs w:val="28"/>
        </w:rPr>
        <w:t>资产重组</w:t>
      </w:r>
      <w:r>
        <w:rPr>
          <w:rFonts w:hint="eastAsia" w:ascii="仿宋_GB2312" w:hAnsi="仿宋_GB2312" w:eastAsia="仿宋_GB2312"/>
          <w:bCs/>
          <w:sz w:val="28"/>
          <w:szCs w:val="28"/>
        </w:rPr>
        <w:t>各主体间的股权关系、关联关系；（2）</w:t>
      </w:r>
      <w:r>
        <w:rPr>
          <w:rFonts w:hint="eastAsia" w:ascii="仿宋_GB2312" w:hAnsi="仿宋_GB2312" w:eastAsia="仿宋_GB2312"/>
          <w:sz w:val="28"/>
          <w:szCs w:val="28"/>
        </w:rPr>
        <w:t>资产重组的原因、具体过程和基本情况，资产重组的程序是否合规；（</w:t>
      </w:r>
      <w:r>
        <w:rPr>
          <w:rFonts w:ascii="仿宋_GB2312" w:hAnsi="仿宋_GB2312" w:eastAsia="仿宋_GB2312"/>
          <w:sz w:val="28"/>
          <w:szCs w:val="28"/>
        </w:rPr>
        <w:t>3</w:t>
      </w:r>
      <w:r>
        <w:rPr>
          <w:rFonts w:hint="eastAsia" w:ascii="仿宋_GB2312" w:hAnsi="仿宋_GB2312" w:eastAsia="仿宋_GB2312"/>
          <w:sz w:val="28"/>
          <w:szCs w:val="28"/>
        </w:rPr>
        <w:t>）相关收购、转让是否进行审计、评估，审计、评估机构是否具有证券业务资质，历次收购、转让的定价依据及其公允性，相关价款是否已足额支付；（</w:t>
      </w:r>
      <w:r>
        <w:rPr>
          <w:rFonts w:ascii="仿宋_GB2312" w:hAnsi="仿宋_GB2312" w:eastAsia="仿宋_GB2312"/>
          <w:sz w:val="28"/>
          <w:szCs w:val="28"/>
        </w:rPr>
        <w:t>4</w:t>
      </w:r>
      <w:r>
        <w:rPr>
          <w:rFonts w:hint="eastAsia" w:ascii="仿宋_GB2312" w:hAnsi="仿宋_GB2312" w:eastAsia="仿宋_GB2312"/>
          <w:sz w:val="28"/>
          <w:szCs w:val="28"/>
        </w:rPr>
        <w:t>）收购和转让过程中相关人员安置情况，是否存在纠纷或潜在纠纷；</w:t>
      </w:r>
      <w:r>
        <w:rPr>
          <w:rFonts w:hint="eastAsia" w:ascii="仿宋_GB2312" w:hAnsi="仿宋_GB2312" w:eastAsia="仿宋_GB2312"/>
          <w:bCs/>
          <w:sz w:val="28"/>
          <w:szCs w:val="28"/>
        </w:rPr>
        <w:t>是否存在关联方代垫费用、人员混用等情形；</w:t>
      </w:r>
      <w:r>
        <w:rPr>
          <w:rFonts w:hint="eastAsia" w:ascii="仿宋_GB2312" w:hAnsi="仿宋_GB2312" w:eastAsia="仿宋_GB2312"/>
          <w:sz w:val="28"/>
          <w:szCs w:val="28"/>
        </w:rPr>
        <w:t>（</w:t>
      </w:r>
      <w:r>
        <w:rPr>
          <w:rFonts w:ascii="仿宋_GB2312" w:hAnsi="仿宋_GB2312" w:eastAsia="仿宋_GB2312"/>
          <w:sz w:val="28"/>
          <w:szCs w:val="28"/>
        </w:rPr>
        <w:t>5</w:t>
      </w:r>
      <w:r>
        <w:rPr>
          <w:rFonts w:hint="eastAsia" w:ascii="仿宋_GB2312" w:hAnsi="仿宋_GB2312" w:eastAsia="仿宋_GB2312"/>
          <w:sz w:val="28"/>
          <w:szCs w:val="28"/>
        </w:rPr>
        <w:t>）历次收购、转让是否涉及相关税费，是否足额及时缴纳，是否存在税务方面的违法违规情形；（</w:t>
      </w:r>
      <w:r>
        <w:rPr>
          <w:rFonts w:ascii="仿宋_GB2312" w:hAnsi="仿宋_GB2312" w:eastAsia="仿宋_GB2312"/>
          <w:sz w:val="28"/>
          <w:szCs w:val="28"/>
        </w:rPr>
        <w:t>6</w:t>
      </w:r>
      <w:r>
        <w:rPr>
          <w:rFonts w:hint="eastAsia" w:ascii="仿宋_GB2312" w:hAnsi="仿宋_GB2312" w:eastAsia="仿宋_GB2312"/>
          <w:sz w:val="28"/>
          <w:szCs w:val="28"/>
        </w:rPr>
        <w:t>）重组前后发行人主营业务是否发生根本变化。请保荐机构、发行人律师、申报会计师核查并发表明确意见。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请保荐机构和发行人律师核查并披露：（1）认定不存在同业竞争关系时，是否已经审慎核查并</w:t>
      </w:r>
      <w:r>
        <w:rPr>
          <w:rFonts w:hint="default" w:ascii="仿宋_GB2312" w:hAnsi="仿宋_GB2312" w:eastAsia="仿宋_GB2312"/>
          <w:bCs w:val="0"/>
          <w:sz w:val="28"/>
          <w:szCs w:val="28"/>
        </w:rPr>
        <w:t>完整</w:t>
      </w:r>
      <w:r>
        <w:rPr>
          <w:rFonts w:hint="eastAsia" w:ascii="仿宋_GB2312" w:hAnsi="仿宋_GB2312" w:eastAsia="仿宋_GB2312"/>
          <w:bCs/>
          <w:sz w:val="28"/>
          <w:szCs w:val="28"/>
        </w:rPr>
        <w:t>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2）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申报文件披露，发行人拥有拥有专利</w:t>
      </w:r>
      <w:r>
        <w:rPr>
          <w:rFonts w:ascii="仿宋_GB2312" w:hAnsi="仿宋_GB2312" w:eastAsia="仿宋_GB2312"/>
          <w:bCs/>
          <w:sz w:val="28"/>
          <w:szCs w:val="28"/>
        </w:rPr>
        <w:t>45项</w:t>
      </w:r>
      <w:r>
        <w:rPr>
          <w:rFonts w:hint="eastAsia" w:ascii="仿宋_GB2312" w:hAnsi="仿宋_GB2312" w:eastAsia="仿宋_GB2312"/>
          <w:bCs/>
          <w:sz w:val="28"/>
          <w:szCs w:val="28"/>
        </w:rPr>
        <w:t>、境内注册商标</w:t>
      </w:r>
      <w:r>
        <w:rPr>
          <w:rFonts w:ascii="仿宋_GB2312" w:hAnsi="仿宋_GB2312" w:eastAsia="仿宋_GB2312"/>
          <w:bCs/>
          <w:sz w:val="28"/>
          <w:szCs w:val="28"/>
        </w:rPr>
        <w:t>14项</w:t>
      </w:r>
      <w:r>
        <w:rPr>
          <w:rFonts w:hint="eastAsia" w:ascii="仿宋_GB2312" w:hAnsi="仿宋_GB2312" w:eastAsia="仿宋_GB2312"/>
          <w:bCs/>
          <w:sz w:val="28"/>
          <w:szCs w:val="28"/>
        </w:rPr>
        <w:t>、集成电路布图设计专用权</w:t>
      </w:r>
      <w:r>
        <w:rPr>
          <w:rFonts w:ascii="仿宋_GB2312" w:hAnsi="仿宋_GB2312" w:eastAsia="仿宋_GB2312"/>
          <w:bCs/>
          <w:sz w:val="28"/>
          <w:szCs w:val="28"/>
        </w:rPr>
        <w:t>14项</w:t>
      </w:r>
      <w:r>
        <w:rPr>
          <w:rFonts w:hint="eastAsia" w:ascii="仿宋_GB2312" w:hAnsi="仿宋_GB2312" w:eastAsia="仿宋_GB2312"/>
          <w:bCs/>
          <w:sz w:val="28"/>
          <w:szCs w:val="28"/>
        </w:rPr>
        <w:t>、软件著作权</w:t>
      </w:r>
      <w:r>
        <w:rPr>
          <w:rFonts w:ascii="仿宋_GB2312" w:hAnsi="仿宋_GB2312" w:eastAsia="仿宋_GB2312"/>
          <w:bCs/>
          <w:sz w:val="28"/>
          <w:szCs w:val="28"/>
        </w:rPr>
        <w:t>11项</w:t>
      </w:r>
      <w:r>
        <w:rPr>
          <w:rFonts w:hint="eastAsia" w:ascii="仿宋_GB2312" w:hAnsi="仿宋_GB2312"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w:t>
      </w:r>
      <w:r>
        <w:rPr>
          <w:rFonts w:hint="eastAsia" w:ascii="仿宋_GB2312" w:hAnsi="仿宋_GB2312" w:eastAsia="仿宋_GB2312"/>
          <w:bCs/>
          <w:sz w:val="28"/>
          <w:szCs w:val="28"/>
          <w:highlight w:val="none"/>
        </w:rPr>
        <w:t>纷；</w:t>
      </w:r>
      <w:r>
        <w:rPr>
          <w:rFonts w:hint="eastAsia" w:ascii="仿宋_GB2312" w:hAnsi="仿宋_GB2312" w:eastAsia="仿宋_GB2312"/>
          <w:bCs/>
          <w:sz w:val="28"/>
          <w:szCs w:val="28"/>
        </w:rPr>
        <w:t>（2）对于转让取得的专利、非专利技术等知识产权，请发行人说明交易背景、转让方、转让时间、对价及定价依据等具体情况；（3）针对共有专利，是否开发形成了具体产品，针对相关共有专利相关营收利润分配安排情况；（4）招股书披露的公司及子公司主要产品涉及的生产技术（自主研发）是否已申请专利保护，如否，请说明原因。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发行人律师按照首发业务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相关房产具体产权证书的办理进展情况，预计取得时点，是否存在无法办理的重大障碍；（2）发行人租赁的房产是否涉及集体土地或划拨用地，是否取得权属证书，是否办理租赁备案手续,承租房产是否属于发行人的主要生产经营场所;报告期内，公司向关联方出租/承租房产（如有）的租赁费用及其定价是否公允，是否存在关联方利益输送情况；（3）发行人租赁土地是否存在租用合法性不能确认、租用用途不符合产权证记载或未进行备案等瑕疵情况，涉及集体土地使用的，请说明有关土地取得、使用是否合规，请对租用土地及其上建筑物或构筑物是否合规发表明确意见；（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请发行人补充说明：（1）发行人是否已建立完善的安全生产管理制度、以及安全生产管理制度的有效性和执行情况；（2）发行人安全设施的运行情况、在安全生产</w:t>
      </w:r>
      <w:r>
        <w:rPr>
          <w:rFonts w:hint="default" w:ascii="仿宋_GB2312" w:hAnsi="仿宋_GB2312" w:eastAsia="仿宋_GB2312"/>
          <w:bCs w:val="0"/>
          <w:sz w:val="28"/>
          <w:szCs w:val="28"/>
        </w:rPr>
        <w:t>方面</w:t>
      </w:r>
      <w:r>
        <w:rPr>
          <w:rFonts w:hint="eastAsia" w:ascii="仿宋_GB2312" w:hAnsi="仿宋_GB2312" w:eastAsia="仿宋_GB2312"/>
          <w:bCs/>
          <w:sz w:val="28"/>
          <w:szCs w:val="28"/>
        </w:rPr>
        <w:t>是否存在违法违规行为；请保荐机构、发行人律师核查并发表明确意见。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highlight w:val="none"/>
        </w:rPr>
      </w:pPr>
      <w:r>
        <w:rPr>
          <w:rFonts w:hint="eastAsia" w:ascii="仿宋_GB2312" w:hAnsi="仿宋_GB2312" w:eastAsia="仿宋_GB2312"/>
          <w:bCs/>
          <w:sz w:val="28"/>
          <w:szCs w:val="28"/>
        </w:rPr>
        <w:t>申报文件披露，报告期内，发行人部分员工未缴纳社保和公积金。请发行人补充说明：（1）</w:t>
      </w:r>
      <w:r>
        <w:rPr>
          <w:rFonts w:hint="default" w:ascii="仿宋_GB2312" w:hAnsi="仿宋_GB2312" w:eastAsia="仿宋_GB2312"/>
          <w:bCs w:val="0"/>
          <w:sz w:val="28"/>
          <w:szCs w:val="28"/>
        </w:rPr>
        <w:t>报告期</w:t>
      </w:r>
      <w:r>
        <w:rPr>
          <w:rFonts w:hint="eastAsia" w:ascii="仿宋_GB2312" w:hAnsi="仿宋_GB2312" w:eastAsia="仿宋_GB2312"/>
          <w:bCs/>
          <w:sz w:val="28"/>
          <w:szCs w:val="28"/>
        </w:rPr>
        <w:t>内各期未缴纳社保和公积金的原因、人数、金额，如足额缴纳对经营业绩的影响，并揭示相关风险、披露应对方案；（2）是否存在违反社会保险、住房公积金相关法律法规而受到处罚的情形，是否构成重大违法行为；</w:t>
      </w:r>
      <w:r>
        <w:rPr>
          <w:rFonts w:hint="eastAsia" w:ascii="仿宋_GB2312" w:hAnsi="仿宋_GB2312" w:eastAsia="仿宋_GB2312"/>
          <w:bCs/>
          <w:sz w:val="28"/>
          <w:szCs w:val="28"/>
          <w:highlight w:val="none"/>
        </w:rPr>
        <w:t>（3）报告期内是否存在劳务派遣用工，是否符合劳动法、劳务派遣暂行规定等法律法规，是否存在重大违法行为。请保荐机构、发行人律师核查并发表明确意见。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报告期内，公司存在委托加工事项。请发行人补充说明（1）外协加工厂商的具体情况（外协厂商的总家数、前五大外协厂商的采购金额、占比情况），说明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核查并说明（1）补充披露本次募投项目是否可能导致增加同业竞争或关联交易，对发行人独立性的影响；（2）请发行人补充披露募集资金投资项目投资总额的确定依据；项目效益分析各项指标的确定依据及计算过程，项目效益分析是否与现有市场容量、发行人产品需求度、发行人现有技术水平相匹配、是否符合谨慎性原则；补充流动资金金额的确定依据（如有）；募集资金数额和投资项目是否与发行人现有生产经营规模、财务状况、技术水平和管理能力等相适应。</w:t>
      </w:r>
      <w:r>
        <w:rPr>
          <w:rFonts w:hint="eastAsia" w:ascii="仿宋_GB2312" w:hAnsi="仿宋_GB2312" w:eastAsia="仿宋_GB2312"/>
          <w:sz w:val="28"/>
          <w:szCs w:val="28"/>
        </w:rPr>
        <w:t>请结合发行人在手订单、产能利用说明上述募投项目必要性，是否符合成本效益原则；（</w:t>
      </w:r>
      <w:r>
        <w:rPr>
          <w:rFonts w:hint="eastAsia" w:ascii="仿宋_GB2312" w:hAnsi="仿宋_GB2312" w:eastAsia="仿宋_GB2312"/>
          <w:bCs/>
          <w:sz w:val="28"/>
          <w:szCs w:val="28"/>
        </w:rPr>
        <w:t>3）</w:t>
      </w:r>
      <w:r>
        <w:rPr>
          <w:rFonts w:hint="eastAsia" w:ascii="仿宋_GB2312" w:hAnsi="仿宋_GB2312" w:eastAsia="仿宋_GB2312"/>
          <w:sz w:val="28"/>
          <w:szCs w:val="28"/>
        </w:rPr>
        <w:t>募投项目是否涉及用地、环评、项目批文等，相关手续是否已履行完毕。</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请发行人补充说明：（1）发行人在安全生产、环保、职工伤害等方面是否存在纠纷或者潜在争议，是否存在重大违法违规；（2）披露诉讼/</w:t>
      </w:r>
      <w:r>
        <w:rPr>
          <w:rFonts w:hint="default" w:ascii="仿宋_GB2312" w:hAnsi="仿宋_GB2312" w:eastAsia="仿宋_GB2312"/>
          <w:bCs/>
          <w:sz w:val="28"/>
          <w:szCs w:val="28"/>
        </w:rPr>
        <w:t>仲裁</w:t>
      </w:r>
      <w:r>
        <w:rPr>
          <w:rFonts w:hint="eastAsia" w:ascii="仿宋_GB2312" w:hAnsi="仿宋_GB2312" w:eastAsia="仿宋_GB2312"/>
          <w:bCs/>
          <w:sz w:val="28"/>
          <w:szCs w:val="28"/>
        </w:rPr>
        <w:t>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sz w:val="28"/>
          <w:szCs w:val="28"/>
        </w:rPr>
        <w:t>请保荐机构、发行人律师对上述问题进行核查，说明核查手段和核查方式，并发表明确意见。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sz w:val="28"/>
          <w:szCs w:val="28"/>
        </w:rPr>
        <w:t>招股书披露，公司共有发行人拥有</w:t>
      </w:r>
      <w:r>
        <w:rPr>
          <w:rFonts w:ascii="仿宋_GB2312" w:hAnsi="仿宋_GB2312" w:eastAsia="仿宋_GB2312"/>
          <w:sz w:val="28"/>
          <w:szCs w:val="28"/>
        </w:rPr>
        <w:t>1家全资子公司、1家控股子公司、1家分公司，无参股公司</w:t>
      </w:r>
      <w:r>
        <w:rPr>
          <w:rFonts w:hint="eastAsia" w:ascii="仿宋_GB2312" w:hAnsi="仿宋_GB2312" w:eastAsia="仿宋_GB2312"/>
          <w:sz w:val="28"/>
          <w:szCs w:val="28"/>
        </w:rPr>
        <w:t>。请发行人补充披露：（1）请说明母子公司的业务定位</w:t>
      </w:r>
      <w:r>
        <w:rPr>
          <w:rFonts w:hint="eastAsia" w:ascii="仿宋_GB2312" w:hAnsi="仿宋_GB2312" w:eastAsia="仿宋_GB2312"/>
          <w:bCs/>
          <w:sz w:val="28"/>
          <w:szCs w:val="28"/>
        </w:rPr>
        <w:t>，各公司之间的业务关系、发展定位，子公司与发行人主营业务的对应关系；（2）相关子公司生产经营情况，是否存在违法违规行为，是否影响董监高任职资格的情形等。</w:t>
      </w:r>
      <w:r>
        <w:rPr>
          <w:rFonts w:hint="eastAsia" w:ascii="仿宋_GB2312" w:hAnsi="仿宋_GB2312" w:eastAsia="仿宋_GB2312"/>
          <w:sz w:val="28"/>
          <w:szCs w:val="28"/>
        </w:rPr>
        <w:t>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对照</w:t>
      </w:r>
      <w:r>
        <w:rPr>
          <w:rFonts w:hint="eastAsia" w:ascii="仿宋_GB2312" w:hAnsi="仿宋_GB2312" w:eastAsia="仿宋_GB2312"/>
          <w:sz w:val="28"/>
          <w:szCs w:val="28"/>
        </w:rPr>
        <w:t>《监管规则适用指引——关于申请</w:t>
      </w:r>
      <w:r>
        <w:rPr>
          <w:rFonts w:hint="default" w:ascii="仿宋_GB2312" w:hAnsi="仿宋_GB2312" w:eastAsia="仿宋_GB2312"/>
          <w:bCs/>
          <w:sz w:val="28"/>
          <w:szCs w:val="28"/>
        </w:rPr>
        <w:t>首发</w:t>
      </w:r>
      <w:r>
        <w:rPr>
          <w:rFonts w:hint="eastAsia" w:ascii="仿宋_GB2312" w:hAnsi="仿宋_GB2312" w:eastAsia="仿宋_GB2312"/>
          <w:sz w:val="28"/>
          <w:szCs w:val="28"/>
        </w:rPr>
        <w:t>上市企业股东信息披露》</w:t>
      </w:r>
      <w:r>
        <w:rPr>
          <w:rFonts w:hint="eastAsia" w:ascii="仿宋_GB2312" w:hAnsi="仿宋_GB2312" w:eastAsia="仿宋_GB2312"/>
          <w:bCs/>
          <w:sz w:val="28"/>
          <w:szCs w:val="28"/>
        </w:rPr>
        <w:t>的要求，（1）请发行人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请发行人、中介机构对照《监管规则适用指引—发行类第2号》相关</w:t>
      </w:r>
      <w:r>
        <w:rPr>
          <w:rFonts w:hint="default" w:ascii="仿宋_GB2312" w:hAnsi="仿宋_GB2312" w:eastAsia="仿宋_GB2312"/>
          <w:bCs/>
          <w:sz w:val="28"/>
          <w:szCs w:val="28"/>
        </w:rPr>
        <w:t>要求</w:t>
      </w:r>
      <w:r>
        <w:rPr>
          <w:rFonts w:hint="eastAsia" w:ascii="仿宋_GB2312" w:hAnsi="仿宋_GB2312" w:eastAsia="仿宋_GB2312"/>
          <w:bCs/>
          <w:sz w:val="28"/>
          <w:szCs w:val="28"/>
        </w:rPr>
        <w:t>出具说明/专项核查意见。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default" w:ascii="仿宋_GB2312" w:hAnsi="仿宋_GB2312" w:eastAsia="仿宋_GB2312"/>
          <w:bCs/>
          <w:sz w:val="28"/>
          <w:szCs w:val="28"/>
        </w:rPr>
      </w:pPr>
      <w:r>
        <w:rPr>
          <w:rFonts w:hint="default" w:ascii="仿宋_GB2312" w:hAnsi="仿宋_GB2312" w:eastAsia="仿宋_GB2312"/>
          <w:bCs/>
          <w:sz w:val="28"/>
          <w:szCs w:val="28"/>
        </w:rPr>
        <w:t>公开资料显示，公司曾申报</w:t>
      </w:r>
      <w:r>
        <w:rPr>
          <w:rFonts w:hint="default" w:ascii="仿宋_GB2312" w:hAnsi="仿宋_GB2312" w:eastAsia="仿宋_GB2312"/>
          <w:bCs/>
          <w:sz w:val="28"/>
          <w:szCs w:val="28"/>
          <w:lang w:eastAsia="zh-CN"/>
        </w:rPr>
        <w:t>IPO申请后撤回。请保荐机构、发行人律师、申报会计师核查和说明：（1）前次申报的简要过程；撤回的原因及相关问题是否已解决；（2）两次申报材料存在的差异及原因，两次申报中介机构及签字人员是否发生变化及原因。</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报告期内，</w:t>
      </w:r>
      <w:r>
        <w:rPr>
          <w:rFonts w:hint="default" w:ascii="仿宋_GB2312" w:hAnsi="仿宋_GB2312" w:eastAsia="仿宋_GB2312" w:cs="Times New Roman"/>
          <w:sz w:val="28"/>
          <w:szCs w:val="28"/>
          <w:highlight w:val="none"/>
          <w:lang w:bidi="ar"/>
        </w:rPr>
        <w:t>发行人</w:t>
      </w:r>
      <w:r>
        <w:rPr>
          <w:rFonts w:ascii="仿宋_GB2312" w:hAnsi="仿宋_GB2312" w:eastAsia="仿宋_GB2312" w:cs="Times New Roman"/>
          <w:sz w:val="28"/>
          <w:szCs w:val="28"/>
          <w:highlight w:val="none"/>
          <w:lang w:bidi="ar"/>
        </w:rPr>
        <w:t>期间费用占营业收入的比例分别为24.50%、15.20%和20.14%</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请发行人</w:t>
      </w:r>
      <w:r>
        <w:rPr>
          <w:rFonts w:hint="default" w:ascii="仿宋_GB2312" w:hAnsi="仿宋_GB2312" w:eastAsia="仿宋_GB2312" w:cs="Times New Roman"/>
          <w:sz w:val="28"/>
          <w:szCs w:val="28"/>
          <w:highlight w:val="none"/>
          <w:lang w:bidi="ar"/>
        </w:rPr>
        <w:t>：（1）补充说明报告期各期运输费的明细情况；（2）</w:t>
      </w:r>
      <w:r>
        <w:rPr>
          <w:rFonts w:ascii="仿宋_GB2312" w:hAnsi="仿宋_GB2312" w:eastAsia="仿宋_GB2312" w:cs="Times New Roman"/>
          <w:sz w:val="28"/>
          <w:szCs w:val="28"/>
          <w:highlight w:val="none"/>
          <w:lang w:bidi="ar"/>
        </w:rPr>
        <w:t>结合报告期内员工人数及其变化、职级分布、人均薪酬及当地平均薪酬水平情况，分析并披露管理人员、销售人员和研发人员薪酬及其变动的原因及合理性，并与同地区公司或可比公司对比差异情况并说明原因；</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补充</w:t>
      </w:r>
      <w:r>
        <w:rPr>
          <w:rFonts w:hint="default" w:ascii="仿宋_GB2312" w:hAnsi="仿宋_GB2312" w:eastAsia="仿宋_GB2312" w:cs="Times New Roman"/>
          <w:sz w:val="28"/>
          <w:szCs w:val="28"/>
          <w:highlight w:val="none"/>
          <w:lang w:bidi="ar"/>
        </w:rPr>
        <w:t>说明</w:t>
      </w:r>
      <w:r>
        <w:rPr>
          <w:rFonts w:ascii="仿宋_GB2312" w:hAnsi="仿宋_GB2312" w:eastAsia="仿宋_GB2312" w:cs="Times New Roman"/>
          <w:sz w:val="28"/>
          <w:szCs w:val="28"/>
          <w:highlight w:val="none"/>
          <w:lang w:bidi="ar"/>
        </w:rPr>
        <w:t>各期销售费用和管理费用中业务招待费的具体明细内容、金额、主要支付对象、支付对象是否为关联方或客户</w:t>
      </w:r>
      <w:r>
        <w:rPr>
          <w:rFonts w:hint="default" w:ascii="仿宋_GB2312" w:hAnsi="仿宋_GB2312" w:eastAsia="仿宋_GB2312" w:cs="Times New Roman"/>
          <w:sz w:val="28"/>
          <w:szCs w:val="28"/>
          <w:highlight w:val="none"/>
          <w:lang w:bidi="ar"/>
        </w:rPr>
        <w:t>；（4）</w:t>
      </w:r>
      <w:r>
        <w:rPr>
          <w:rFonts w:ascii="仿宋_GB2312" w:hAnsi="仿宋_GB2312" w:eastAsia="仿宋_GB2312" w:cs="Times New Roman"/>
          <w:sz w:val="28"/>
          <w:szCs w:val="28"/>
          <w:highlight w:val="none"/>
          <w:lang w:bidi="ar"/>
        </w:rPr>
        <w:t>补充说明公司管理费用中股份支付的具体情况，股份支付对应价格是否公允，所属期间是否合理；</w:t>
      </w:r>
      <w:r>
        <w:rPr>
          <w:rFonts w:hint="default" w:ascii="仿宋_GB2312" w:hAnsi="仿宋_GB2312" w:eastAsia="仿宋_GB2312" w:cs="Times New Roman"/>
          <w:sz w:val="28"/>
          <w:szCs w:val="28"/>
          <w:highlight w:val="none"/>
          <w:lang w:bidi="ar"/>
        </w:rPr>
        <w:t>（5）补充披露研发费用对应的具体项目/产品情况、直接投入的明细情况，说明</w:t>
      </w:r>
      <w:r>
        <w:rPr>
          <w:rFonts w:ascii="仿宋_GB2312" w:hAnsi="仿宋_GB2312" w:eastAsia="仿宋_GB2312" w:cs="Times New Roman"/>
          <w:sz w:val="28"/>
          <w:szCs w:val="28"/>
          <w:highlight w:val="none"/>
          <w:lang w:bidi="ar"/>
        </w:rPr>
        <w:t>研发费用的支出范围和归集方法，研发费用的确认是否真实、准确，相关内部控制制度是否健全有效</w:t>
      </w:r>
      <w:r>
        <w:rPr>
          <w:rFonts w:hint="default" w:ascii="仿宋_GB2312" w:hAnsi="仿宋_GB2312" w:eastAsia="仿宋_GB2312" w:cs="Times New Roman"/>
          <w:sz w:val="28"/>
          <w:szCs w:val="28"/>
          <w:highlight w:val="none"/>
          <w:lang w:bidi="ar"/>
        </w:rPr>
        <w:t>；（6）</w:t>
      </w:r>
      <w:r>
        <w:rPr>
          <w:rFonts w:ascii="仿宋_GB2312" w:hAnsi="仿宋_GB2312" w:eastAsia="仿宋_GB2312" w:cs="Times New Roman"/>
          <w:sz w:val="28"/>
          <w:szCs w:val="28"/>
          <w:highlight w:val="none"/>
          <w:lang w:bidi="ar"/>
        </w:rPr>
        <w:t>结合发行人与同行业可比公司的经营模式、产品类别、费用结构等各方面的差异进一步说明发行人销售费用率低于同行业可比公司的原因</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是否存在关联方或潜在关联方为发行人承担成本或代垫费用的情况</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请保荐机构、申报会计师核查上述事项，并发表明确意见。</w:t>
      </w:r>
    </w:p>
    <w:p>
      <w:pPr>
        <w:pStyle w:val="30"/>
        <w:numPr>
          <w:ilvl w:val="0"/>
          <w:numId w:val="1"/>
        </w:numPr>
        <w:spacing w:line="460" w:lineRule="exact"/>
        <w:rPr>
          <w:rFonts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关于现金流量表。请发行人：（</w:t>
      </w:r>
      <w:r>
        <w:rPr>
          <w:rFonts w:hint="default" w:ascii="仿宋_GB2312" w:hAnsi="仿宋_GB2312" w:eastAsia="仿宋_GB2312" w:cs="Times New Roman"/>
          <w:sz w:val="28"/>
          <w:szCs w:val="28"/>
          <w:highlight w:val="none"/>
          <w:lang w:bidi="ar"/>
        </w:rPr>
        <w:t>1</w:t>
      </w:r>
      <w:r>
        <w:rPr>
          <w:rFonts w:ascii="仿宋_GB2312" w:hAnsi="仿宋_GB2312" w:eastAsia="仿宋_GB2312" w:cs="Times New Roman"/>
          <w:sz w:val="28"/>
          <w:szCs w:val="28"/>
          <w:highlight w:val="none"/>
          <w:lang w:bidi="ar"/>
        </w:rPr>
        <w:t>）结合销售政策、采购政策、信用政策的变化情况，分析各期经营活动产生的现金流量净额与净利润的</w:t>
      </w:r>
      <w:r>
        <w:rPr>
          <w:rFonts w:hint="default" w:ascii="仿宋_GB2312" w:hAnsi="仿宋_GB2312" w:eastAsia="仿宋_GB2312" w:cs="Times New Roman"/>
          <w:sz w:val="28"/>
          <w:szCs w:val="28"/>
          <w:highlight w:val="none"/>
          <w:lang w:bidi="ar"/>
        </w:rPr>
        <w:t>变动趋势</w:t>
      </w:r>
      <w:r>
        <w:rPr>
          <w:rFonts w:ascii="仿宋_GB2312" w:hAnsi="仿宋_GB2312" w:eastAsia="仿宋_GB2312" w:cs="Times New Roman"/>
          <w:sz w:val="28"/>
          <w:szCs w:val="28"/>
          <w:highlight w:val="none"/>
          <w:lang w:bidi="ar"/>
        </w:rPr>
        <w:t>不一致的原因及</w:t>
      </w:r>
      <w:r>
        <w:rPr>
          <w:rFonts w:hint="eastAsia" w:ascii="仿宋_GB2312" w:hAnsi="仿宋_GB2312" w:eastAsia="仿宋_GB2312" w:cs="仿宋_GB2312"/>
          <w:sz w:val="28"/>
          <w:szCs w:val="28"/>
          <w:highlight w:val="none"/>
          <w:lang w:bidi="ar"/>
        </w:rPr>
        <w:t>合理性</w:t>
      </w:r>
      <w:r>
        <w:rPr>
          <w:rFonts w:ascii="仿宋_GB2312" w:hAnsi="仿宋_GB2312" w:eastAsia="仿宋_GB2312" w:cs="Times New Roman"/>
          <w:sz w:val="28"/>
          <w:szCs w:val="28"/>
          <w:highlight w:val="none"/>
          <w:lang w:bidi="ar"/>
        </w:rPr>
        <w:t>；（2）说明现金流量表主要项目与资产负债表、利润表中相关项目的勾稽关系是否相符。请保荐机构、</w:t>
      </w:r>
      <w:r>
        <w:rPr>
          <w:rFonts w:hint="default" w:ascii="仿宋_GB2312" w:hAnsi="仿宋_GB2312" w:eastAsia="仿宋_GB2312" w:cs="Times New Roman"/>
          <w:sz w:val="28"/>
          <w:szCs w:val="28"/>
          <w:highlight w:val="none"/>
          <w:lang w:bidi="ar"/>
        </w:rPr>
        <w:t>申报</w:t>
      </w:r>
      <w:r>
        <w:rPr>
          <w:rFonts w:ascii="仿宋_GB2312" w:hAnsi="仿宋_GB2312" w:eastAsia="仿宋_GB2312" w:cs="Times New Roman"/>
          <w:sz w:val="28"/>
          <w:szCs w:val="28"/>
          <w:highlight w:val="none"/>
          <w:lang w:bidi="ar"/>
        </w:rPr>
        <w:t>会计师核查上述事项，并发表明确意见。</w:t>
      </w:r>
    </w:p>
    <w:p>
      <w:pPr>
        <w:pStyle w:val="30"/>
        <w:numPr>
          <w:ilvl w:val="0"/>
          <w:numId w:val="1"/>
        </w:numPr>
        <w:spacing w:line="460" w:lineRule="exact"/>
        <w:rPr>
          <w:rFonts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报告期各期末，发行人货币资金余额分别为</w:t>
      </w:r>
      <w:r>
        <w:rPr>
          <w:rFonts w:ascii="仿宋_GB2312" w:hAnsi="仿宋_GB2312" w:eastAsia="仿宋_GB2312" w:cs="Times New Roman"/>
          <w:sz w:val="28"/>
          <w:szCs w:val="28"/>
          <w:highlight w:val="none"/>
          <w:lang w:bidi="ar"/>
        </w:rPr>
        <w:t>1,840.50万元、18,675.09万元和15,477.58万元</w:t>
      </w:r>
      <w:r>
        <w:rPr>
          <w:rFonts w:hint="default" w:ascii="仿宋_GB2312" w:hAnsi="仿宋_GB2312" w:eastAsia="仿宋_GB2312" w:cs="Times New Roman"/>
          <w:sz w:val="28"/>
          <w:szCs w:val="28"/>
          <w:highlight w:val="none"/>
          <w:lang w:bidi="ar"/>
        </w:rPr>
        <w:t>。请发行人：（1）</w:t>
      </w:r>
      <w:r>
        <w:rPr>
          <w:rFonts w:ascii="仿宋_GB2312" w:hAnsi="仿宋_GB2312" w:eastAsia="仿宋_GB2312" w:cs="Times New Roman"/>
          <w:sz w:val="28"/>
          <w:szCs w:val="28"/>
          <w:highlight w:val="none"/>
          <w:lang w:bidi="ar"/>
        </w:rPr>
        <w:t>补充说明报告期内货币资金余额</w:t>
      </w:r>
      <w:r>
        <w:rPr>
          <w:rFonts w:hint="default" w:ascii="仿宋_GB2312" w:hAnsi="仿宋_GB2312" w:eastAsia="仿宋_GB2312" w:cs="Times New Roman"/>
          <w:sz w:val="28"/>
          <w:szCs w:val="28"/>
          <w:highlight w:val="none"/>
          <w:lang w:bidi="ar"/>
        </w:rPr>
        <w:t>大幅</w:t>
      </w:r>
      <w:r>
        <w:rPr>
          <w:rFonts w:ascii="仿宋_GB2312" w:hAnsi="仿宋_GB2312" w:eastAsia="仿宋_GB2312" w:cs="Times New Roman"/>
          <w:sz w:val="28"/>
          <w:szCs w:val="28"/>
          <w:highlight w:val="none"/>
          <w:lang w:bidi="ar"/>
        </w:rPr>
        <w:t>增长的原因及</w:t>
      </w:r>
      <w:r>
        <w:rPr>
          <w:rFonts w:hint="eastAsia" w:ascii="仿宋_GB2312" w:hAnsi="仿宋_GB2312" w:eastAsia="仿宋_GB2312" w:cs="仿宋_GB2312"/>
          <w:sz w:val="28"/>
          <w:szCs w:val="28"/>
          <w:highlight w:val="none"/>
          <w:lang w:bidi="ar"/>
        </w:rPr>
        <w:t>合理性</w:t>
      </w:r>
      <w:r>
        <w:rPr>
          <w:rFonts w:ascii="仿宋_GB2312" w:hAnsi="仿宋_GB2312" w:eastAsia="仿宋_GB2312" w:cs="Times New Roman"/>
          <w:sz w:val="28"/>
          <w:szCs w:val="28"/>
          <w:highlight w:val="none"/>
          <w:lang w:bidi="ar"/>
        </w:rPr>
        <w:t>；（</w:t>
      </w:r>
      <w:r>
        <w:rPr>
          <w:rFonts w:hint="default" w:ascii="仿宋_GB2312" w:hAnsi="仿宋_GB2312" w:eastAsia="仿宋_GB2312" w:cs="Times New Roman"/>
          <w:sz w:val="28"/>
          <w:szCs w:val="28"/>
          <w:highlight w:val="none"/>
          <w:lang w:bidi="ar"/>
        </w:rPr>
        <w:t>2</w:t>
      </w:r>
      <w:r>
        <w:rPr>
          <w:rFonts w:ascii="仿宋_GB2312" w:hAnsi="仿宋_GB2312" w:eastAsia="仿宋_GB2312" w:cs="Times New Roman"/>
          <w:sz w:val="28"/>
          <w:szCs w:val="28"/>
          <w:highlight w:val="none"/>
          <w:lang w:bidi="ar"/>
        </w:rPr>
        <w:t>）说明货币资金的具体用途及存放管理情况，是否存在使用受限、与大股东及关联方资金共管、银行账户归集等情形，对货币资金的管理制度及内控制度是否执行有效。请保荐机构、申报会计师说明对发行人货币资金的核查方法和过程，是否存在控制股东或关联方占用资金的情况，是否发现异常现金收支的情形，对上述问题进行核查并明确发表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报告期各期末，发行人应收票据账面价值分别为</w:t>
      </w:r>
      <w:r>
        <w:rPr>
          <w:rFonts w:ascii="仿宋_GB2312" w:hAnsi="仿宋_GB2312" w:eastAsia="仿宋_GB2312" w:cs="Times New Roman"/>
          <w:sz w:val="28"/>
          <w:szCs w:val="28"/>
          <w:highlight w:val="none"/>
          <w:lang w:bidi="ar"/>
        </w:rPr>
        <w:t>739.00万元、2,266.72万元和4,335.14万元</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应收款项融资余额为71.00万元</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1,122.69万元和813.23万元</w:t>
      </w:r>
      <w:r>
        <w:rPr>
          <w:rFonts w:hint="default" w:ascii="仿宋_GB2312" w:hAnsi="仿宋_GB2312" w:eastAsia="仿宋_GB2312" w:cs="Times New Roman"/>
          <w:sz w:val="28"/>
          <w:szCs w:val="28"/>
          <w:highlight w:val="none"/>
          <w:lang w:bidi="ar"/>
        </w:rPr>
        <w:t>。请发行人：</w:t>
      </w:r>
      <w:r>
        <w:rPr>
          <w:rFonts w:ascii="仿宋_GB2312" w:hAnsi="仿宋_GB2312" w:eastAsia="仿宋_GB2312" w:cs="Times New Roman"/>
          <w:sz w:val="28"/>
          <w:szCs w:val="28"/>
          <w:highlight w:val="none"/>
          <w:lang w:bidi="ar"/>
        </w:rPr>
        <w:t>（1）列示各期应收票据与应收款项融资余额、发生额与营业收入的配比关系，结合付款模式、结算周期说明各期波动的合理性；（2）说明报告期各期票据开具、取得、背书转让相应的交易背景；票据背书名称中是否存在关联方，如存在，请说明相关交易的真实性；（3）结合票据背书对追索权的约定情况，补充说明报告期内已终止确认应收票据是否满足终止确认条件，相关会计处理是否符合《企业会计准则》的规定；（4）说明各期已背书或贴现且未到期应收票据期后兑付情况，是否存在票据未能兑现的情况，说明具体会计核算方法及其合规性</w:t>
      </w:r>
      <w:r>
        <w:rPr>
          <w:rFonts w:hint="default" w:ascii="仿宋_GB2312" w:hAnsi="仿宋_GB2312" w:eastAsia="仿宋_GB2312" w:cs="Times New Roman"/>
          <w:sz w:val="28"/>
          <w:szCs w:val="28"/>
          <w:highlight w:val="none"/>
          <w:lang w:bidi="ar"/>
        </w:rPr>
        <w:t>；（5）</w:t>
      </w:r>
      <w:r>
        <w:rPr>
          <w:rFonts w:ascii="仿宋_GB2312" w:hAnsi="仿宋_GB2312" w:eastAsia="仿宋_GB2312" w:cs="Times New Roman"/>
          <w:sz w:val="28"/>
          <w:szCs w:val="28"/>
          <w:highlight w:val="none"/>
          <w:lang w:bidi="ar"/>
        </w:rPr>
        <w:t>补充披露各期票据坏账准备的计提金额、计提方法及其合理性。请保荐机构、会计师对上述问题进行核查并发表明确意见。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报告期各期末，发行人应收账款净额分别为</w:t>
      </w:r>
      <w:r>
        <w:rPr>
          <w:rFonts w:ascii="仿宋_GB2312" w:hAnsi="仿宋_GB2312" w:eastAsia="仿宋_GB2312" w:cs="Times New Roman"/>
          <w:sz w:val="28"/>
          <w:szCs w:val="28"/>
          <w:highlight w:val="none"/>
          <w:lang w:bidi="ar"/>
        </w:rPr>
        <w:t>1,277.61万元、1,680.97万元和7,619.68万元</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请发行人</w:t>
      </w:r>
      <w:r>
        <w:rPr>
          <w:rFonts w:hint="default" w:ascii="仿宋_GB2312" w:hAnsi="仿宋_GB2312" w:eastAsia="仿宋_GB2312" w:cs="Times New Roman"/>
          <w:sz w:val="28"/>
          <w:szCs w:val="28"/>
          <w:highlight w:val="none"/>
          <w:lang w:bidi="ar"/>
        </w:rPr>
        <w:t>：（1</w:t>
      </w:r>
      <w:r>
        <w:rPr>
          <w:rFonts w:ascii="仿宋_GB2312" w:hAnsi="仿宋_GB2312" w:eastAsia="仿宋_GB2312" w:cs="Times New Roman"/>
          <w:sz w:val="28"/>
          <w:szCs w:val="28"/>
          <w:highlight w:val="none"/>
          <w:lang w:bidi="ar"/>
        </w:rPr>
        <w:t>）结合报告期内对主要客户的信用政策、结算方式的变化和收入变动情况，说明应收账款期末余额及占</w:t>
      </w:r>
      <w:r>
        <w:rPr>
          <w:rFonts w:hint="default" w:ascii="仿宋_GB2312" w:hAnsi="仿宋_GB2312" w:eastAsia="仿宋_GB2312" w:cs="Times New Roman"/>
          <w:sz w:val="28"/>
          <w:szCs w:val="28"/>
          <w:highlight w:val="none"/>
          <w:lang w:bidi="ar"/>
        </w:rPr>
        <w:t>营业收入</w:t>
      </w:r>
      <w:r>
        <w:rPr>
          <w:rFonts w:ascii="仿宋_GB2312" w:hAnsi="仿宋_GB2312" w:eastAsia="仿宋_GB2312" w:cs="Times New Roman"/>
          <w:sz w:val="28"/>
          <w:szCs w:val="28"/>
          <w:highlight w:val="none"/>
          <w:lang w:bidi="ar"/>
        </w:rPr>
        <w:t>比例变动的原因及合理性；（</w:t>
      </w:r>
      <w:r>
        <w:rPr>
          <w:rFonts w:hint="default" w:ascii="仿宋_GB2312" w:hAnsi="仿宋_GB2312" w:eastAsia="仿宋_GB2312" w:cs="Times New Roman"/>
          <w:sz w:val="28"/>
          <w:szCs w:val="28"/>
          <w:highlight w:val="none"/>
          <w:lang w:bidi="ar"/>
        </w:rPr>
        <w:t>2</w:t>
      </w:r>
      <w:r>
        <w:rPr>
          <w:rFonts w:ascii="仿宋_GB2312" w:hAnsi="仿宋_GB2312" w:eastAsia="仿宋_GB2312" w:cs="Times New Roman"/>
          <w:sz w:val="28"/>
          <w:szCs w:val="28"/>
          <w:highlight w:val="none"/>
          <w:lang w:bidi="ar"/>
        </w:rPr>
        <w:t>）说明报告期内对不同客户或同一客户信用政策是否存在差异，与同行业或该客户的其他同类供应商是否一致，是否存在对其他客户延长账期等放宽信用政策的情形；</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补充说明报告期内收入前五大与应收账款客户前五大的差异情况</w:t>
      </w:r>
      <w:r>
        <w:rPr>
          <w:rFonts w:hint="default" w:ascii="仿宋_GB2312" w:hAnsi="仿宋_GB2312" w:eastAsia="仿宋_GB2312" w:cs="Times New Roman"/>
          <w:sz w:val="28"/>
          <w:szCs w:val="28"/>
          <w:highlight w:val="none"/>
          <w:lang w:bidi="ar"/>
        </w:rPr>
        <w:t>；（4</w:t>
      </w:r>
      <w:r>
        <w:rPr>
          <w:rFonts w:ascii="仿宋_GB2312" w:hAnsi="仿宋_GB2312" w:eastAsia="仿宋_GB2312" w:cs="Times New Roman"/>
          <w:sz w:val="28"/>
          <w:szCs w:val="28"/>
          <w:highlight w:val="none"/>
          <w:lang w:bidi="ar"/>
        </w:rPr>
        <w:t>）说明各期末应收账款的期后回款金额及比例，并分析回款比例的变动情况</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请保荐机构、申报会计师核查上述事项，并发表明确意见。</w:t>
      </w:r>
    </w:p>
    <w:p>
      <w:pPr>
        <w:pStyle w:val="30"/>
        <w:numPr>
          <w:ilvl w:val="0"/>
          <w:numId w:val="1"/>
        </w:numPr>
        <w:spacing w:line="460" w:lineRule="exact"/>
        <w:rPr>
          <w:rFonts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报告期各期末，发行人存货余额</w:t>
      </w:r>
      <w:r>
        <w:rPr>
          <w:rFonts w:hint="default" w:ascii="仿宋_GB2312" w:hAnsi="仿宋_GB2312" w:eastAsia="仿宋_GB2312" w:cs="Times New Roman"/>
          <w:sz w:val="28"/>
          <w:szCs w:val="28"/>
          <w:highlight w:val="none"/>
          <w:lang w:bidi="ar"/>
        </w:rPr>
        <w:t>分别为1</w:t>
      </w:r>
      <w:r>
        <w:rPr>
          <w:rFonts w:ascii="仿宋_GB2312" w:hAnsi="仿宋_GB2312" w:eastAsia="仿宋_GB2312" w:cs="Times New Roman"/>
          <w:sz w:val="28"/>
          <w:szCs w:val="28"/>
          <w:highlight w:val="none"/>
          <w:lang w:bidi="ar"/>
        </w:rPr>
        <w:t>,468.87</w:t>
      </w:r>
      <w:r>
        <w:rPr>
          <w:rFonts w:hint="default" w:ascii="仿宋_GB2312" w:hAnsi="仿宋_GB2312" w:eastAsia="仿宋_GB2312" w:cs="Times New Roman"/>
          <w:sz w:val="28"/>
          <w:szCs w:val="28"/>
          <w:highlight w:val="none"/>
          <w:lang w:bidi="ar"/>
        </w:rPr>
        <w:t>万元、3</w:t>
      </w:r>
      <w:r>
        <w:rPr>
          <w:rFonts w:ascii="仿宋_GB2312" w:hAnsi="仿宋_GB2312" w:eastAsia="仿宋_GB2312" w:cs="Times New Roman"/>
          <w:sz w:val="28"/>
          <w:szCs w:val="28"/>
          <w:highlight w:val="none"/>
          <w:lang w:bidi="ar"/>
        </w:rPr>
        <w:t>,130.44</w:t>
      </w:r>
      <w:r>
        <w:rPr>
          <w:rFonts w:hint="default" w:ascii="仿宋_GB2312" w:hAnsi="仿宋_GB2312" w:eastAsia="仿宋_GB2312" w:cs="Times New Roman"/>
          <w:sz w:val="28"/>
          <w:szCs w:val="28"/>
          <w:highlight w:val="none"/>
          <w:lang w:bidi="ar"/>
        </w:rPr>
        <w:t>万元和7</w:t>
      </w:r>
      <w:r>
        <w:rPr>
          <w:rFonts w:ascii="仿宋_GB2312" w:hAnsi="仿宋_GB2312" w:eastAsia="仿宋_GB2312" w:cs="Times New Roman"/>
          <w:sz w:val="28"/>
          <w:szCs w:val="28"/>
          <w:highlight w:val="none"/>
          <w:lang w:bidi="ar"/>
        </w:rPr>
        <w:t>,883.15</w:t>
      </w:r>
      <w:r>
        <w:rPr>
          <w:rFonts w:hint="default" w:ascii="仿宋_GB2312" w:hAnsi="仿宋_GB2312" w:eastAsia="仿宋_GB2312" w:cs="Times New Roman"/>
          <w:sz w:val="28"/>
          <w:szCs w:val="28"/>
          <w:highlight w:val="none"/>
          <w:lang w:bidi="ar"/>
        </w:rPr>
        <w:t>万元。</w:t>
      </w:r>
      <w:r>
        <w:rPr>
          <w:rFonts w:ascii="仿宋_GB2312" w:hAnsi="仿宋_GB2312" w:eastAsia="仿宋_GB2312" w:cs="Times New Roman"/>
          <w:sz w:val="28"/>
          <w:szCs w:val="28"/>
          <w:highlight w:val="none"/>
          <w:lang w:bidi="ar"/>
        </w:rPr>
        <w:t>请发行人：（1）</w:t>
      </w:r>
      <w:r>
        <w:rPr>
          <w:rFonts w:hint="default" w:ascii="仿宋_GB2312" w:hAnsi="仿宋_GB2312" w:eastAsia="仿宋_GB2312" w:cs="Times New Roman"/>
          <w:sz w:val="28"/>
          <w:szCs w:val="28"/>
          <w:highlight w:val="none"/>
          <w:lang w:bidi="ar"/>
        </w:rPr>
        <w:t>补充说明</w:t>
      </w:r>
      <w:r>
        <w:rPr>
          <w:rFonts w:ascii="仿宋_GB2312" w:hAnsi="仿宋_GB2312" w:eastAsia="仿宋_GB2312" w:cs="Times New Roman"/>
          <w:sz w:val="28"/>
          <w:szCs w:val="28"/>
          <w:highlight w:val="none"/>
          <w:lang w:bidi="ar"/>
        </w:rPr>
        <w:t>报告期</w:t>
      </w:r>
      <w:r>
        <w:rPr>
          <w:rFonts w:hint="default" w:ascii="仿宋_GB2312" w:hAnsi="仿宋_GB2312" w:eastAsia="仿宋_GB2312" w:cs="Times New Roman"/>
          <w:sz w:val="28"/>
          <w:szCs w:val="28"/>
          <w:highlight w:val="none"/>
          <w:lang w:bidi="ar"/>
        </w:rPr>
        <w:t>各期原材料、库存商品的</w:t>
      </w:r>
      <w:r>
        <w:rPr>
          <w:rFonts w:ascii="仿宋_GB2312" w:hAnsi="仿宋_GB2312" w:eastAsia="仿宋_GB2312" w:cs="Times New Roman"/>
          <w:sz w:val="28"/>
          <w:szCs w:val="28"/>
          <w:highlight w:val="none"/>
          <w:lang w:bidi="ar"/>
        </w:rPr>
        <w:t>明细构成、金额及占比；（2）结合生产及销售周期、产销模式、产销比、期末在手订单情况，说明存货各项构成比例是否合理，与同行业公司相比是否存在较大差异；（3）补充说明各期各类原材料的采购量、领用量、各类产品的生产量、销售量、期末库存量之间是否存在匹配关系；（</w:t>
      </w:r>
      <w:r>
        <w:rPr>
          <w:rFonts w:hint="default" w:ascii="仿宋_GB2312" w:hAnsi="仿宋_GB2312" w:eastAsia="仿宋_GB2312" w:cs="Times New Roman"/>
          <w:sz w:val="28"/>
          <w:szCs w:val="28"/>
          <w:highlight w:val="none"/>
          <w:lang w:bidi="ar"/>
        </w:rPr>
        <w:t>4</w:t>
      </w:r>
      <w:r>
        <w:rPr>
          <w:rFonts w:ascii="仿宋_GB2312" w:hAnsi="仿宋_GB2312" w:eastAsia="仿宋_GB2312" w:cs="Times New Roman"/>
          <w:sz w:val="28"/>
          <w:szCs w:val="28"/>
          <w:highlight w:val="none"/>
          <w:lang w:bidi="ar"/>
        </w:rPr>
        <w:t>）说明各存货项目的存货订单支持率、期后结转率及期后销售情况；（</w:t>
      </w:r>
      <w:r>
        <w:rPr>
          <w:rFonts w:hint="default" w:ascii="仿宋_GB2312" w:hAnsi="仿宋_GB2312" w:eastAsia="仿宋_GB2312" w:cs="Times New Roman"/>
          <w:sz w:val="28"/>
          <w:szCs w:val="28"/>
          <w:highlight w:val="none"/>
          <w:lang w:bidi="ar"/>
        </w:rPr>
        <w:t>5</w:t>
      </w:r>
      <w:r>
        <w:rPr>
          <w:rFonts w:ascii="仿宋_GB2312" w:hAnsi="仿宋_GB2312" w:eastAsia="仿宋_GB2312" w:cs="Times New Roman"/>
          <w:sz w:val="28"/>
          <w:szCs w:val="28"/>
          <w:highlight w:val="none"/>
          <w:lang w:bidi="ar"/>
        </w:rPr>
        <w:t>）结合各类存货的库龄、原材料价格变动、对应订单情况、业务模式及与客户的交付约定等，说明存货减值测试的具体方法、依据，存货跌价准备计提是否充分，与同行业公司是否存在差异；（</w:t>
      </w:r>
      <w:r>
        <w:rPr>
          <w:rFonts w:hint="default" w:ascii="仿宋_GB2312" w:hAnsi="仿宋_GB2312" w:eastAsia="仿宋_GB2312" w:cs="Times New Roman"/>
          <w:sz w:val="28"/>
          <w:szCs w:val="28"/>
          <w:highlight w:val="none"/>
          <w:lang w:bidi="ar"/>
        </w:rPr>
        <w:t>6</w:t>
      </w:r>
      <w:r>
        <w:rPr>
          <w:rFonts w:ascii="仿宋_GB2312" w:hAnsi="仿宋_GB2312" w:eastAsia="仿宋_GB2312" w:cs="Times New Roman"/>
          <w:sz w:val="28"/>
          <w:szCs w:val="28"/>
          <w:highlight w:val="none"/>
          <w:lang w:bidi="ar"/>
        </w:rPr>
        <w:t>）补充说明周转率与同行业公司存在差异的原因及合理性</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7）说明报告期各期末对存货项目特别是库存商品进行盘点的情况，包括盘点范围、存放地点、品种、金额、比例等，说明执行盘点的部门与人员、是否存在账实差异及处理结果；请申报会计师说明对存货的监盘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topLinePunct w:val="0"/>
        <w:bidi w:val="0"/>
        <w:spacing w:line="460" w:lineRule="exact"/>
        <w:ind w:firstLine="560" w:firstLineChars="200"/>
        <w:jc w:val="left"/>
        <w:textAlignment w:val="auto"/>
        <w:outlineLvl w:val="9"/>
        <w:rPr>
          <w:rFonts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请保荐机构、申报会计师详细核查上述情况，说明核查过程，并对发行人存货的真实性、存货跌价准备计提的充分性发表明确意见。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2021年2月，发行人完成对上海先积73.00%股权的收购，2021年上海先积净利润为</w:t>
      </w:r>
      <w:r>
        <w:rPr>
          <w:rFonts w:ascii="仿宋_GB2312" w:hAnsi="仿宋_GB2312" w:eastAsia="仿宋_GB2312" w:cs="Times New Roman"/>
          <w:sz w:val="28"/>
          <w:szCs w:val="28"/>
          <w:highlight w:val="none"/>
          <w:lang w:bidi="ar"/>
        </w:rPr>
        <w:t>-437.73万元</w:t>
      </w:r>
      <w:r>
        <w:rPr>
          <w:rFonts w:hint="default" w:ascii="仿宋_GB2312" w:hAnsi="仿宋_GB2312" w:eastAsia="仿宋_GB2312" w:cs="Times New Roman"/>
          <w:sz w:val="28"/>
          <w:szCs w:val="28"/>
          <w:highlight w:val="none"/>
          <w:lang w:bidi="ar"/>
        </w:rPr>
        <w:t>。请发行人：（1）补充</w:t>
      </w:r>
      <w:r>
        <w:rPr>
          <w:rFonts w:ascii="仿宋_GB2312" w:hAnsi="仿宋_GB2312" w:eastAsia="仿宋_GB2312" w:cs="Times New Roman"/>
          <w:sz w:val="28"/>
          <w:szCs w:val="28"/>
          <w:highlight w:val="none"/>
          <w:lang w:bidi="ar"/>
        </w:rPr>
        <w:t>说明上海先积的历史沿革、业务与技术、主要经营情况与财务数据</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说明发行人收购上海先积</w:t>
      </w:r>
      <w:r>
        <w:rPr>
          <w:rFonts w:hint="default" w:ascii="仿宋_GB2312" w:hAnsi="仿宋_GB2312" w:eastAsia="仿宋_GB2312" w:cs="Times New Roman"/>
          <w:sz w:val="28"/>
          <w:szCs w:val="28"/>
          <w:highlight w:val="none"/>
          <w:lang w:bidi="ar"/>
        </w:rPr>
        <w:t>73%股权</w:t>
      </w:r>
      <w:r>
        <w:rPr>
          <w:rFonts w:ascii="仿宋_GB2312" w:hAnsi="仿宋_GB2312" w:eastAsia="仿宋_GB2312" w:cs="Times New Roman"/>
          <w:sz w:val="28"/>
          <w:szCs w:val="28"/>
          <w:highlight w:val="none"/>
          <w:lang w:bidi="ar"/>
        </w:rPr>
        <w:t>的原因、合理性以及重组后的整合情况</w:t>
      </w:r>
      <w:r>
        <w:rPr>
          <w:rFonts w:hint="default" w:ascii="仿宋_GB2312" w:hAnsi="仿宋_GB2312" w:eastAsia="仿宋_GB2312" w:cs="Times New Roman"/>
          <w:sz w:val="28"/>
          <w:szCs w:val="28"/>
          <w:highlight w:val="none"/>
          <w:lang w:bidi="ar"/>
        </w:rPr>
        <w:t>；（2）</w:t>
      </w:r>
      <w:r>
        <w:rPr>
          <w:rFonts w:ascii="仿宋_GB2312" w:hAnsi="仿宋_GB2312" w:eastAsia="仿宋_GB2312" w:cs="Times New Roman"/>
          <w:sz w:val="28"/>
          <w:szCs w:val="28"/>
          <w:highlight w:val="none"/>
          <w:lang w:bidi="ar"/>
        </w:rPr>
        <w:t>说明被收购企业评估的方法，评估增值的具体项目、金额和合理性，相关交易作价是否公允，是否存在损害发行人利益的情况</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）结合资产评估情况，说明上海先积可辨认净资产公允价值的确认依据，商誉核算是否</w:t>
      </w:r>
      <w:r>
        <w:rPr>
          <w:rFonts w:hint="default" w:ascii="仿宋_GB2312" w:hAnsi="仿宋_GB2312" w:eastAsia="仿宋_GB2312" w:cs="Times New Roman"/>
          <w:sz w:val="28"/>
          <w:szCs w:val="28"/>
          <w:highlight w:val="none"/>
          <w:lang w:bidi="ar"/>
        </w:rPr>
        <w:t>准确</w:t>
      </w:r>
      <w:r>
        <w:rPr>
          <w:rFonts w:ascii="仿宋_GB2312" w:hAnsi="仿宋_GB2312" w:eastAsia="仿宋_GB2312" w:cs="Times New Roman"/>
          <w:sz w:val="28"/>
          <w:szCs w:val="28"/>
          <w:highlight w:val="none"/>
          <w:lang w:bidi="ar"/>
        </w:rPr>
        <w:t>，是否存在减值迹象。请保荐机构、申报会计师核查上述情况，说明核查过程并对发行人商誉确认的谨慎性、金额的准确性以及减值准确计提的充足性明确发表意见。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报告期各期末，发行人</w:t>
      </w:r>
      <w:r>
        <w:rPr>
          <w:rFonts w:hint="eastAsia" w:ascii="仿宋_GB2312" w:hAnsi="仿宋_GB2312" w:eastAsia="仿宋_GB2312" w:cs="仿宋_GB2312"/>
          <w:sz w:val="28"/>
          <w:szCs w:val="28"/>
          <w:highlight w:val="none"/>
          <w:lang w:bidi="ar"/>
        </w:rPr>
        <w:t>应付</w:t>
      </w:r>
      <w:r>
        <w:rPr>
          <w:rFonts w:hint="default" w:ascii="仿宋_GB2312" w:hAnsi="仿宋_GB2312" w:eastAsia="仿宋_GB2312" w:cs="Times New Roman"/>
          <w:sz w:val="28"/>
          <w:szCs w:val="28"/>
          <w:highlight w:val="none"/>
          <w:lang w:bidi="ar"/>
        </w:rPr>
        <w:t>账款余额分别为</w:t>
      </w:r>
      <w:r>
        <w:rPr>
          <w:rFonts w:ascii="仿宋_GB2312" w:hAnsi="仿宋_GB2312" w:eastAsia="仿宋_GB2312" w:cs="Times New Roman"/>
          <w:sz w:val="28"/>
          <w:szCs w:val="28"/>
          <w:highlight w:val="none"/>
          <w:lang w:bidi="ar"/>
        </w:rPr>
        <w:t>1,2</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1.</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4</w:t>
      </w:r>
      <w:r>
        <w:rPr>
          <w:rFonts w:hint="default" w:ascii="仿宋_GB2312" w:hAnsi="仿宋_GB2312" w:eastAsia="仿宋_GB2312" w:cs="Times New Roman"/>
          <w:sz w:val="28"/>
          <w:szCs w:val="28"/>
          <w:highlight w:val="none"/>
          <w:lang w:bidi="ar"/>
        </w:rPr>
        <w:t>万元、2,216.58</w:t>
      </w:r>
      <w:r>
        <w:rPr>
          <w:rFonts w:ascii="仿宋_GB2312" w:hAnsi="仿宋_GB2312" w:eastAsia="仿宋_GB2312" w:cs="Times New Roman"/>
          <w:sz w:val="28"/>
          <w:szCs w:val="28"/>
          <w:highlight w:val="none"/>
          <w:lang w:bidi="ar"/>
        </w:rPr>
        <w:t>万元和5,795.25万元</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请发行人</w:t>
      </w:r>
      <w:r>
        <w:rPr>
          <w:rFonts w:hint="default" w:ascii="仿宋_GB2312" w:hAnsi="仿宋_GB2312" w:eastAsia="仿宋_GB2312" w:cs="Times New Roman"/>
          <w:sz w:val="28"/>
          <w:szCs w:val="28"/>
          <w:highlight w:val="none"/>
          <w:lang w:bidi="ar"/>
        </w:rPr>
        <w:t>：（1）补充说明各期应付账款账龄情况，</w:t>
      </w:r>
      <w:r>
        <w:rPr>
          <w:rFonts w:ascii="仿宋_GB2312" w:hAnsi="仿宋_GB2312" w:eastAsia="仿宋_GB2312" w:cs="Times New Roman"/>
          <w:sz w:val="28"/>
          <w:szCs w:val="28"/>
          <w:highlight w:val="none"/>
          <w:lang w:bidi="ar"/>
        </w:rPr>
        <w:t>说明是否存在账龄1年以上的应付款项的原因，是否存在超过信用期的应付账款及未付原因；</w:t>
      </w:r>
      <w:r>
        <w:rPr>
          <w:rFonts w:hint="default" w:ascii="仿宋_GB2312" w:hAnsi="仿宋_GB2312" w:eastAsia="仿宋_GB2312" w:cs="Times New Roman"/>
          <w:sz w:val="28"/>
          <w:szCs w:val="28"/>
          <w:highlight w:val="none"/>
          <w:lang w:bidi="ar"/>
        </w:rPr>
        <w:t>（2）</w:t>
      </w:r>
      <w:r>
        <w:rPr>
          <w:rFonts w:ascii="仿宋_GB2312" w:hAnsi="仿宋_GB2312" w:eastAsia="仿宋_GB2312" w:cs="Times New Roman"/>
          <w:sz w:val="28"/>
          <w:szCs w:val="28"/>
          <w:highlight w:val="none"/>
          <w:lang w:bidi="ar"/>
        </w:rPr>
        <w:t>说明付款的流程及结算方式、供应商给发行人的信用政策、是否存在延迟付款或改变结算方式的情况</w:t>
      </w:r>
      <w:r>
        <w:rPr>
          <w:rFonts w:hint="default" w:ascii="仿宋_GB2312" w:hAnsi="仿宋_GB2312" w:eastAsia="仿宋_GB2312" w:cs="Times New Roman"/>
          <w:sz w:val="28"/>
          <w:szCs w:val="28"/>
          <w:highlight w:val="none"/>
          <w:lang w:bidi="ar"/>
        </w:rPr>
        <w:t>；</w:t>
      </w:r>
      <w:r>
        <w:rPr>
          <w:rFonts w:ascii="仿宋_GB2312" w:hAnsi="仿宋_GB2312" w:eastAsia="仿宋_GB2312" w:cs="Times New Roman"/>
          <w:sz w:val="28"/>
          <w:szCs w:val="28"/>
          <w:highlight w:val="none"/>
          <w:lang w:bidi="ar"/>
        </w:rPr>
        <w:t>（</w:t>
      </w:r>
      <w:r>
        <w:rPr>
          <w:rFonts w:hint="default" w:ascii="仿宋_GB2312" w:hAnsi="仿宋_GB2312" w:eastAsia="仿宋_GB2312" w:cs="Times New Roman"/>
          <w:sz w:val="28"/>
          <w:szCs w:val="28"/>
          <w:highlight w:val="none"/>
          <w:lang w:bidi="ar"/>
        </w:rPr>
        <w:t>3</w:t>
      </w:r>
      <w:r>
        <w:rPr>
          <w:rFonts w:ascii="仿宋_GB2312" w:hAnsi="仿宋_GB2312" w:eastAsia="仿宋_GB2312" w:cs="Times New Roman"/>
          <w:sz w:val="28"/>
          <w:szCs w:val="28"/>
          <w:highlight w:val="none"/>
          <w:lang w:bidi="ar"/>
        </w:rPr>
        <w:t>）说明各期应付款项前五大供应商的情况，并分析与采购前五大供应商之间的差异情况，若差异较大请说明原因。请保荐机构、申报会计师核查并发表明确意见。</w:t>
      </w:r>
    </w:p>
    <w:p>
      <w:pPr>
        <w:pStyle w:val="30"/>
        <w:numPr>
          <w:ilvl w:val="0"/>
          <w:numId w:val="1"/>
        </w:numPr>
        <w:spacing w:line="460" w:lineRule="exact"/>
        <w:rPr>
          <w:rFonts w:ascii="仿宋_GB2312" w:hAnsi="仿宋_GB2312" w:eastAsia="仿宋_GB2312" w:cs="Times New Roman"/>
          <w:sz w:val="28"/>
          <w:szCs w:val="28"/>
          <w:highlight w:val="none"/>
          <w:lang w:bidi="ar"/>
        </w:rPr>
      </w:pPr>
      <w:r>
        <w:rPr>
          <w:rFonts w:ascii="仿宋_GB2312" w:hAnsi="仿宋_GB2312" w:eastAsia="仿宋_GB2312" w:cs="Times New Roman"/>
          <w:sz w:val="28"/>
          <w:szCs w:val="28"/>
          <w:highlight w:val="none"/>
          <w:lang w:bidi="ar"/>
        </w:rPr>
        <w:t>发行人经历多次增资和股权转让。请发行人说明：（1）历次增资或股权转让的背景，增资或股权转让对象中发行人的任职情况；报告期内历次增资或股权转让的价格、定价依据及公允性，对应上年及股权变动当年的市盈率；相邻增资或股权转让价格是否存在重大差异，并说明各次价格存在较大差异的原因；（2）历次增资或股权转让是否适用《企业会计准则—股份支付》的情形，如适用，请说明股份支付相关权益工具公允价值的计量方法和结果是否合理，各期股份支付费用的金额和确认方式，会计处理是否恰当。请保荐机构、会计师对上述事项进行核查，并发表明确意见。</w:t>
      </w:r>
    </w:p>
    <w:p>
      <w:pPr>
        <w:pStyle w:val="30"/>
        <w:numPr>
          <w:ilvl w:val="0"/>
          <w:numId w:val="1"/>
        </w:numPr>
        <w:spacing w:line="460" w:lineRule="exact"/>
        <w:rPr>
          <w:rFonts w:hint="default" w:ascii="仿宋_GB2312" w:hAnsi="仿宋_GB2312" w:eastAsia="仿宋_GB2312" w:cs="Times New Roman"/>
          <w:sz w:val="28"/>
          <w:szCs w:val="28"/>
          <w:highlight w:val="none"/>
          <w:lang w:bidi="ar"/>
        </w:rPr>
      </w:pPr>
      <w:r>
        <w:rPr>
          <w:rFonts w:hint="default" w:ascii="仿宋_GB2312" w:hAnsi="仿宋_GB2312" w:eastAsia="仿宋_GB2312" w:cs="Times New Roman"/>
          <w:sz w:val="28"/>
          <w:szCs w:val="28"/>
          <w:highlight w:val="none"/>
          <w:lang w:bidi="ar"/>
        </w:rPr>
        <w:t>关于对赌协议。请发行人：（1）清晰说明发行人涉及的对赌协议及其签订主体、主要权利义务、是否已经终止、终止是否自始无效等；分别说明增资完成时和对赌终止时的会计处理和申报报表列报是否符合企业会计准则和《监管</w:t>
      </w:r>
      <w:r>
        <w:rPr>
          <w:rFonts w:hint="eastAsia" w:ascii="仿宋_GB2312" w:hAnsi="仿宋_GB2312" w:eastAsia="仿宋_GB2312" w:cs="仿宋_GB2312"/>
          <w:sz w:val="28"/>
          <w:szCs w:val="28"/>
          <w:highlight w:val="none"/>
          <w:lang w:bidi="ar"/>
        </w:rPr>
        <w:t>规则</w:t>
      </w:r>
      <w:r>
        <w:rPr>
          <w:rFonts w:hint="default" w:ascii="仿宋_GB2312" w:hAnsi="仿宋_GB2312" w:eastAsia="仿宋_GB2312" w:cs="Times New Roman"/>
          <w:sz w:val="28"/>
          <w:szCs w:val="28"/>
          <w:highlight w:val="none"/>
          <w:lang w:bidi="ar"/>
        </w:rPr>
        <w:t>适用指引——会计类第1号》的规定；（2）从增资完成至相关终止协议签署的会计期间，说明上述股东增资入股事项的法律事实、性质认定及在原始报表中反映和列报情况，并分析其合规性；说明上述增资和对赌终止事项与在会计期间作为权益工具还是金融负债核算和列报之间的相互关系。请发行人对上述事项进行详细论证和专项说明，请中介机构详细核查上述事项，结合相关事实依据、规则依据分析对财务报表的影响，以及会计列报的合规性，并发表专项核查意见。</w:t>
      </w:r>
    </w:p>
    <w:p>
      <w:pPr>
        <w:pStyle w:val="30"/>
        <w:keepNext w:val="0"/>
        <w:keepLines w:val="0"/>
        <w:pageBreakBefore w:val="0"/>
        <w:numPr>
          <w:ilvl w:val="0"/>
          <w:numId w:val="1"/>
        </w:numPr>
        <w:kinsoku/>
        <w:wordWrap/>
        <w:topLinePunct w:val="0"/>
        <w:bidi w:val="0"/>
        <w:spacing w:line="460" w:lineRule="exact"/>
        <w:ind w:firstLine="0"/>
        <w:textAlignment w:val="auto"/>
        <w:outlineLvl w:val="9"/>
        <w:rPr>
          <w:rFonts w:hint="default" w:ascii="仿宋_GB2312" w:hAnsi="仿宋_GB2312" w:eastAsia="仿宋_GB2312"/>
          <w:bCs/>
          <w:sz w:val="28"/>
          <w:szCs w:val="28"/>
        </w:rPr>
      </w:pPr>
      <w:r>
        <w:rPr>
          <w:rFonts w:ascii="仿宋_GB2312" w:hAnsi="仿宋_GB2312" w:eastAsia="仿宋_GB2312" w:cs="Times New Roman"/>
          <w:sz w:val="28"/>
          <w:szCs w:val="28"/>
          <w:highlight w:val="none"/>
          <w:lang w:bidi="ar"/>
        </w:rPr>
        <w:t>请发行人说明报告期内是否存在转贷、现金交易、开具或使用无真实交易背景的票据、以内部凭证作为会计核算原始凭证等情形，如存在，请补充披露具体情形，是否符合行业特征，是否符合相关规则要求，是否制定针对性的内部控制制定并执行有效，相关财务不规范情形是否整改。请保荐机构、申报会计师对相关内控制度制定及其有效性发表明确意见。</w:t>
      </w:r>
    </w:p>
    <w:p>
      <w:pPr>
        <w:pStyle w:val="32"/>
        <w:keepNext w:val="0"/>
        <w:keepLines w:val="0"/>
        <w:pageBreakBefore w:val="0"/>
        <w:kinsoku/>
        <w:wordWrap/>
        <w:topLinePunct w:val="0"/>
        <w:bidi w:val="0"/>
        <w:spacing w:before="0" w:line="460" w:lineRule="exact"/>
        <w:ind w:left="0" w:leftChars="0" w:firstLine="562" w:firstLineChars="200"/>
        <w:jc w:val="both"/>
        <w:textAlignment w:val="auto"/>
        <w:outlineLvl w:val="0"/>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、其他问题</w:t>
      </w:r>
    </w:p>
    <w:p>
      <w:pPr>
        <w:pStyle w:val="30"/>
        <w:widowControl/>
        <w:numPr>
          <w:ilvl w:val="0"/>
          <w:numId w:val="1"/>
        </w:numPr>
        <w:pBdr>
          <w:top w:val="none" w:color="auto" w:sz="0" w:space="0"/>
          <w:left w:val="none" w:color="auto" w:sz="0" w:space="0"/>
          <w:bottom w:val="none" w:color="auto" w:sz="0" w:space="0"/>
          <w:right w:val="none" w:color="auto" w:sz="0" w:space="0"/>
          <w:between w:val="none" w:color="auto" w:sz="0" w:space="0"/>
        </w:pBdr>
        <w:spacing w:beforeLines="0" w:afterLines="0" w:line="460" w:lineRule="exact"/>
        <w:ind w:firstLine="560" w:firstLineChars="200"/>
        <w:outlineLvl w:val="9"/>
        <w:rPr>
          <w:rFonts w:hint="default" w:ascii="仿宋_GB2312" w:hAnsi="仿宋_GB2312" w:eastAsia="仿宋_GB2312"/>
          <w:bCs/>
          <w:sz w:val="28"/>
          <w:szCs w:val="28"/>
        </w:rPr>
      </w:pPr>
      <w:r>
        <w:rPr>
          <w:rFonts w:hint="default" w:ascii="仿宋_GB2312" w:hAnsi="仿宋_GB2312" w:eastAsia="仿宋_GB2312"/>
          <w:bCs/>
          <w:sz w:val="28"/>
          <w:szCs w:val="28"/>
          <w:lang w:val="en-US" w:eastAsia="zh-CN"/>
        </w:rPr>
        <w:t>请保荐机构和发行人律师专项说明就申请文件所申报的原始财务报表是否为发行人当年实际向税务局报送的报表所履行的核查程序及取得的证据，保荐机构和申报会计师专项说明申请文件所申报的原始财务报表所列示的收入及净利润数据与当年的增值税纳税申报表及年度所得税纳税申报表之间的</w:t>
      </w:r>
      <w:r>
        <w:rPr>
          <w:rFonts w:hint="eastAsia" w:ascii="仿宋_GB2312" w:hAnsi="仿宋_GB2312" w:eastAsia="仿宋_GB2312"/>
          <w:bCs/>
          <w:sz w:val="28"/>
          <w:szCs w:val="28"/>
          <w:lang w:val="en-US" w:eastAsia="zh-CN"/>
        </w:rPr>
        <w:t>差异</w:t>
      </w:r>
      <w:r>
        <w:rPr>
          <w:rFonts w:hint="default" w:ascii="仿宋_GB2312" w:hAnsi="仿宋_GB2312" w:eastAsia="仿宋_GB2312"/>
          <w:bCs/>
          <w:sz w:val="28"/>
          <w:szCs w:val="28"/>
          <w:lang w:val="en-US" w:eastAsia="zh-CN"/>
        </w:rPr>
        <w:t>，若有重大差异，应专项说明原因；</w:t>
      </w:r>
      <w:r>
        <w:rPr>
          <w:rFonts w:hint="default" w:ascii="仿宋_GB2312" w:hAnsi="仿宋_GB2312" w:eastAsia="仿宋_GB2312"/>
          <w:bCs/>
          <w:sz w:val="28"/>
          <w:szCs w:val="28"/>
        </w:rPr>
        <w:t>请发行人说明对原始财务报表的调整情</w:t>
      </w:r>
      <w:r>
        <w:rPr>
          <w:rFonts w:hint="default" w:ascii="仿宋_GB2312" w:hAnsi="仿宋_GB2312" w:eastAsia="仿宋_GB2312"/>
          <w:bCs/>
          <w:sz w:val="28"/>
          <w:szCs w:val="28"/>
          <w:lang w:val="en-US" w:eastAsia="zh-CN"/>
        </w:rPr>
        <w:t>况，包括对涉及差异调整的具体事项、内容和理由予以逐项说明，并说明相关项目截止性或重分类调整、差错更正的原因、依据及其合规性，重点说明对损益的影响、涉及纳税义务的处理与履行情况。请保荐</w:t>
      </w:r>
      <w:r>
        <w:rPr>
          <w:rFonts w:hint="default" w:ascii="仿宋_GB2312" w:hAnsi="仿宋_GB2312" w:eastAsia="仿宋_GB2312"/>
          <w:bCs/>
          <w:sz w:val="28"/>
          <w:szCs w:val="28"/>
        </w:rPr>
        <w:t>机构和会计师核查调整是否符合企业会计准则的规定。</w:t>
      </w:r>
    </w:p>
    <w:p>
      <w:pPr>
        <w:pStyle w:val="30"/>
        <w:numPr>
          <w:ilvl w:val="0"/>
          <w:numId w:val="1"/>
        </w:numPr>
        <w:spacing w:line="460" w:lineRule="exact"/>
        <w:rPr>
          <w:rFonts w:hint="default" w:ascii="仿宋_GB2312" w:hAnsi="仿宋_GB2312" w:eastAsia="仿宋_GB2312" w:cs="Times New Roman"/>
          <w:b w:val="0"/>
          <w:sz w:val="28"/>
          <w:szCs w:val="28"/>
          <w:highlight w:val="none"/>
        </w:rPr>
      </w:pPr>
      <w:r>
        <w:rPr>
          <w:rFonts w:hint="default" w:ascii="仿宋_GB2312" w:hAnsi="仿宋_GB2312" w:eastAsia="仿宋_GB2312" w:cs="Times New Roman"/>
          <w:b w:val="0"/>
          <w:sz w:val="28"/>
          <w:szCs w:val="28"/>
          <w:highlight w:val="none"/>
        </w:rPr>
        <w:t>请发行人说明财务报表项目</w:t>
      </w:r>
      <w:r>
        <w:rPr>
          <w:rFonts w:hint="eastAsia" w:ascii="仿宋_GB2312" w:hAnsi="仿宋_GB2312" w:eastAsia="仿宋_GB2312" w:cs="仿宋_GB2312"/>
          <w:b w:val="0"/>
          <w:sz w:val="28"/>
          <w:szCs w:val="28"/>
          <w:highlight w:val="none"/>
        </w:rPr>
        <w:t>比较</w:t>
      </w:r>
      <w:r>
        <w:rPr>
          <w:rFonts w:hint="default" w:ascii="仿宋_GB2312" w:hAnsi="仿宋_GB2312" w:eastAsia="仿宋_GB2312" w:cs="Times New Roman"/>
          <w:b w:val="0"/>
          <w:sz w:val="28"/>
          <w:szCs w:val="28"/>
          <w:highlight w:val="none"/>
        </w:rPr>
        <w:t>数据变动幅度达30%以上的情况及原因是否已恰当披露。请保荐机构、申报会计师发表核查意见。</w:t>
      </w:r>
    </w:p>
    <w:p>
      <w:pPr>
        <w:pStyle w:val="30"/>
        <w:numPr>
          <w:ilvl w:val="0"/>
          <w:numId w:val="1"/>
        </w:numPr>
        <w:spacing w:line="460" w:lineRule="exact"/>
        <w:rPr>
          <w:rFonts w:hint="default" w:ascii="仿宋_GB2312" w:hAnsi="仿宋_GB2312" w:eastAsia="仿宋_GB2312" w:cs="Times New Roman"/>
          <w:sz w:val="28"/>
          <w:szCs w:val="28"/>
          <w:highlight w:val="none"/>
          <w:lang w:val="en-US" w:eastAsia="zh-CN"/>
        </w:rPr>
      </w:pPr>
      <w:r>
        <w:rPr>
          <w:rFonts w:hint="default" w:ascii="仿宋_GB2312" w:hAnsi="仿宋_GB2312" w:eastAsia="仿宋_GB2312" w:cs="Times New Roman"/>
          <w:sz w:val="28"/>
          <w:szCs w:val="28"/>
          <w:highlight w:val="none"/>
          <w:lang w:val="en-US" w:eastAsia="zh-CN"/>
        </w:rPr>
        <w:t>请发行人、保荐机构及</w:t>
      </w:r>
      <w:r>
        <w:rPr>
          <w:rFonts w:hint="eastAsia" w:ascii="仿宋_GB2312" w:hAnsi="仿宋_GB2312" w:eastAsia="仿宋_GB2312" w:cs="仿宋_GB2312"/>
          <w:sz w:val="28"/>
          <w:szCs w:val="28"/>
          <w:highlight w:val="none"/>
          <w:lang w:val="en-US" w:eastAsia="zh-CN"/>
        </w:rPr>
        <w:t>会计师</w:t>
      </w:r>
      <w:r>
        <w:rPr>
          <w:rFonts w:hint="default" w:ascii="仿宋_GB2312" w:hAnsi="仿宋_GB2312" w:eastAsia="仿宋_GB2312" w:cs="Times New Roman"/>
          <w:sz w:val="28"/>
          <w:szCs w:val="28"/>
          <w:highlight w:val="none"/>
          <w:lang w:val="en-US" w:eastAsia="zh-CN"/>
        </w:rPr>
        <w:t>每次报送申报材料时，对申报材料中修正或增加的信息进行特殊标识，并对修正或增加的信息作出书面说明。</w:t>
      </w:r>
    </w:p>
    <w:p>
      <w:pPr>
        <w:pStyle w:val="30"/>
        <w:numPr>
          <w:ilvl w:val="0"/>
          <w:numId w:val="1"/>
        </w:numPr>
        <w:spacing w:line="460" w:lineRule="exact"/>
        <w:rPr>
          <w:rFonts w:hint="eastAsia" w:ascii="仿宋_GB2312" w:hAnsi="仿宋_GB2312" w:eastAsia="仿宋_GB2312" w:cs="仿宋_GB2312"/>
          <w:b/>
          <w:sz w:val="28"/>
          <w:szCs w:val="28"/>
          <w:highlight w:val="none"/>
        </w:rPr>
      </w:pPr>
      <w:r>
        <w:rPr>
          <w:rFonts w:hint="default" w:ascii="仿宋_GB2312" w:hAnsi="仿宋_GB2312" w:eastAsia="仿宋_GB2312" w:cs="Times New Roman"/>
          <w:i w:val="0"/>
          <w:caps w:val="0"/>
          <w:spacing w:val="0"/>
          <w:kern w:val="2"/>
          <w:sz w:val="28"/>
          <w:szCs w:val="28"/>
          <w:highlight w:val="none"/>
          <w:lang w:val="en-US" w:eastAsia="zh-CN" w:bidi="ar"/>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133055"/>
      <w:docPartObj>
        <w:docPartGallery w:val="autotext"/>
      </w:docPartObj>
    </w:sdtPr>
    <w:sdtContent>
      <w:sdt>
        <w:sdtPr>
          <w:id w:val="1728636285"/>
          <w:docPartObj>
            <w:docPartGallery w:val="autotext"/>
          </w:docPartObj>
        </w:sdtPr>
        <w:sdtContent>
          <w:p>
            <w:pPr>
              <w:pStyle w:val="10"/>
              <w:spacing w:before="12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E8830"/>
    <w:multiLevelType w:val="singleLevel"/>
    <w:tmpl w:val="F77E8830"/>
    <w:lvl w:ilvl="0" w:tentative="0">
      <w:start w:val="2"/>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10996"/>
    <w:rsid w:val="0001144A"/>
    <w:rsid w:val="000143EF"/>
    <w:rsid w:val="0001725E"/>
    <w:rsid w:val="000243FE"/>
    <w:rsid w:val="0002799C"/>
    <w:rsid w:val="00027CD6"/>
    <w:rsid w:val="000303A8"/>
    <w:rsid w:val="00030B16"/>
    <w:rsid w:val="000330C7"/>
    <w:rsid w:val="0003377F"/>
    <w:rsid w:val="00033D47"/>
    <w:rsid w:val="000344FE"/>
    <w:rsid w:val="00036C3C"/>
    <w:rsid w:val="00040087"/>
    <w:rsid w:val="0004134F"/>
    <w:rsid w:val="000414E7"/>
    <w:rsid w:val="00042B22"/>
    <w:rsid w:val="0004639A"/>
    <w:rsid w:val="00050746"/>
    <w:rsid w:val="00050EF4"/>
    <w:rsid w:val="000524CF"/>
    <w:rsid w:val="00055D37"/>
    <w:rsid w:val="000575D6"/>
    <w:rsid w:val="00060557"/>
    <w:rsid w:val="000605E9"/>
    <w:rsid w:val="0006152C"/>
    <w:rsid w:val="000615BF"/>
    <w:rsid w:val="00065610"/>
    <w:rsid w:val="00065F4C"/>
    <w:rsid w:val="0007269B"/>
    <w:rsid w:val="00074363"/>
    <w:rsid w:val="00075F5E"/>
    <w:rsid w:val="00082BC5"/>
    <w:rsid w:val="00083030"/>
    <w:rsid w:val="000854E2"/>
    <w:rsid w:val="000854F6"/>
    <w:rsid w:val="0008750A"/>
    <w:rsid w:val="00087A27"/>
    <w:rsid w:val="0009057F"/>
    <w:rsid w:val="0009349B"/>
    <w:rsid w:val="00093736"/>
    <w:rsid w:val="000951CE"/>
    <w:rsid w:val="000A257A"/>
    <w:rsid w:val="000A25CC"/>
    <w:rsid w:val="000A317F"/>
    <w:rsid w:val="000A3FED"/>
    <w:rsid w:val="000B064D"/>
    <w:rsid w:val="000B134F"/>
    <w:rsid w:val="000B289F"/>
    <w:rsid w:val="000B3CBF"/>
    <w:rsid w:val="000B51C2"/>
    <w:rsid w:val="000B66F5"/>
    <w:rsid w:val="000B6ED3"/>
    <w:rsid w:val="000C441F"/>
    <w:rsid w:val="000C4544"/>
    <w:rsid w:val="000C499E"/>
    <w:rsid w:val="000C4C31"/>
    <w:rsid w:val="000C4E64"/>
    <w:rsid w:val="000C6325"/>
    <w:rsid w:val="000C70B9"/>
    <w:rsid w:val="000D0197"/>
    <w:rsid w:val="000D1D77"/>
    <w:rsid w:val="000D2EBF"/>
    <w:rsid w:val="000D3828"/>
    <w:rsid w:val="000D3BBF"/>
    <w:rsid w:val="000D3DE9"/>
    <w:rsid w:val="000D49A0"/>
    <w:rsid w:val="000D6E4C"/>
    <w:rsid w:val="000D6F08"/>
    <w:rsid w:val="000E1B61"/>
    <w:rsid w:val="000E4242"/>
    <w:rsid w:val="000E5F68"/>
    <w:rsid w:val="000E7BCF"/>
    <w:rsid w:val="000F0BCB"/>
    <w:rsid w:val="000F2FAD"/>
    <w:rsid w:val="000F502B"/>
    <w:rsid w:val="000F79D6"/>
    <w:rsid w:val="00101149"/>
    <w:rsid w:val="00101A47"/>
    <w:rsid w:val="00104180"/>
    <w:rsid w:val="001048F5"/>
    <w:rsid w:val="0010646C"/>
    <w:rsid w:val="001068A7"/>
    <w:rsid w:val="00113042"/>
    <w:rsid w:val="00113078"/>
    <w:rsid w:val="001143DC"/>
    <w:rsid w:val="00115207"/>
    <w:rsid w:val="00116379"/>
    <w:rsid w:val="0011641E"/>
    <w:rsid w:val="00117F31"/>
    <w:rsid w:val="00120056"/>
    <w:rsid w:val="00120740"/>
    <w:rsid w:val="00121309"/>
    <w:rsid w:val="001213CE"/>
    <w:rsid w:val="001217A8"/>
    <w:rsid w:val="00121CE3"/>
    <w:rsid w:val="00121FA8"/>
    <w:rsid w:val="00123316"/>
    <w:rsid w:val="00124C65"/>
    <w:rsid w:val="00125E00"/>
    <w:rsid w:val="001266B1"/>
    <w:rsid w:val="001319AE"/>
    <w:rsid w:val="00135BB2"/>
    <w:rsid w:val="001360AB"/>
    <w:rsid w:val="00137E43"/>
    <w:rsid w:val="001407F6"/>
    <w:rsid w:val="001432C8"/>
    <w:rsid w:val="00143806"/>
    <w:rsid w:val="001438BB"/>
    <w:rsid w:val="00151DE0"/>
    <w:rsid w:val="001542E0"/>
    <w:rsid w:val="00154E27"/>
    <w:rsid w:val="001559B7"/>
    <w:rsid w:val="00156983"/>
    <w:rsid w:val="00156BD3"/>
    <w:rsid w:val="001608DF"/>
    <w:rsid w:val="00160F9B"/>
    <w:rsid w:val="001615E0"/>
    <w:rsid w:val="00161DAF"/>
    <w:rsid w:val="001636E3"/>
    <w:rsid w:val="0016382A"/>
    <w:rsid w:val="00165776"/>
    <w:rsid w:val="00166E7C"/>
    <w:rsid w:val="00167793"/>
    <w:rsid w:val="00171667"/>
    <w:rsid w:val="00171A0C"/>
    <w:rsid w:val="00174D21"/>
    <w:rsid w:val="00175085"/>
    <w:rsid w:val="00177F59"/>
    <w:rsid w:val="00177FDD"/>
    <w:rsid w:val="00180119"/>
    <w:rsid w:val="00182799"/>
    <w:rsid w:val="00185FA1"/>
    <w:rsid w:val="001929D9"/>
    <w:rsid w:val="001936E9"/>
    <w:rsid w:val="0019395A"/>
    <w:rsid w:val="00194786"/>
    <w:rsid w:val="001948DA"/>
    <w:rsid w:val="00194EB6"/>
    <w:rsid w:val="0019743A"/>
    <w:rsid w:val="001A0866"/>
    <w:rsid w:val="001A0D75"/>
    <w:rsid w:val="001A4667"/>
    <w:rsid w:val="001A5755"/>
    <w:rsid w:val="001A63D2"/>
    <w:rsid w:val="001A6613"/>
    <w:rsid w:val="001A711A"/>
    <w:rsid w:val="001B1D53"/>
    <w:rsid w:val="001B3E42"/>
    <w:rsid w:val="001B554E"/>
    <w:rsid w:val="001B7554"/>
    <w:rsid w:val="001C237A"/>
    <w:rsid w:val="001C3BB1"/>
    <w:rsid w:val="001C6427"/>
    <w:rsid w:val="001D0017"/>
    <w:rsid w:val="001D1E77"/>
    <w:rsid w:val="001D4088"/>
    <w:rsid w:val="001D456F"/>
    <w:rsid w:val="001D46D0"/>
    <w:rsid w:val="001D759D"/>
    <w:rsid w:val="001E03B2"/>
    <w:rsid w:val="001E05D1"/>
    <w:rsid w:val="001E1325"/>
    <w:rsid w:val="001E1A67"/>
    <w:rsid w:val="001E2348"/>
    <w:rsid w:val="001E2859"/>
    <w:rsid w:val="001E39EB"/>
    <w:rsid w:val="001E7D7B"/>
    <w:rsid w:val="001F0D7E"/>
    <w:rsid w:val="001F0E2C"/>
    <w:rsid w:val="001F1CDD"/>
    <w:rsid w:val="001F228D"/>
    <w:rsid w:val="001F2790"/>
    <w:rsid w:val="001F285A"/>
    <w:rsid w:val="001F2AFB"/>
    <w:rsid w:val="001F3E6C"/>
    <w:rsid w:val="001F4904"/>
    <w:rsid w:val="001F5492"/>
    <w:rsid w:val="001F7FCD"/>
    <w:rsid w:val="00202597"/>
    <w:rsid w:val="00203DD4"/>
    <w:rsid w:val="00205861"/>
    <w:rsid w:val="00206C6B"/>
    <w:rsid w:val="0021099B"/>
    <w:rsid w:val="00210AC6"/>
    <w:rsid w:val="00210E55"/>
    <w:rsid w:val="00212A02"/>
    <w:rsid w:val="00212B70"/>
    <w:rsid w:val="00213397"/>
    <w:rsid w:val="0021578C"/>
    <w:rsid w:val="00221819"/>
    <w:rsid w:val="00222A72"/>
    <w:rsid w:val="00222B88"/>
    <w:rsid w:val="002230E9"/>
    <w:rsid w:val="00227F8B"/>
    <w:rsid w:val="0023043C"/>
    <w:rsid w:val="00230AD2"/>
    <w:rsid w:val="00231AAA"/>
    <w:rsid w:val="00232DD1"/>
    <w:rsid w:val="0023358A"/>
    <w:rsid w:val="0023471E"/>
    <w:rsid w:val="00236982"/>
    <w:rsid w:val="00236999"/>
    <w:rsid w:val="00240A61"/>
    <w:rsid w:val="002421D7"/>
    <w:rsid w:val="00243F45"/>
    <w:rsid w:val="00245690"/>
    <w:rsid w:val="002536D7"/>
    <w:rsid w:val="00254619"/>
    <w:rsid w:val="0025559A"/>
    <w:rsid w:val="002564D0"/>
    <w:rsid w:val="002568AD"/>
    <w:rsid w:val="00257394"/>
    <w:rsid w:val="00262046"/>
    <w:rsid w:val="002634FB"/>
    <w:rsid w:val="0026498C"/>
    <w:rsid w:val="00264C68"/>
    <w:rsid w:val="00270614"/>
    <w:rsid w:val="00270E93"/>
    <w:rsid w:val="002738C2"/>
    <w:rsid w:val="00274537"/>
    <w:rsid w:val="00274595"/>
    <w:rsid w:val="0027624D"/>
    <w:rsid w:val="00276D34"/>
    <w:rsid w:val="00277CEE"/>
    <w:rsid w:val="00280BEE"/>
    <w:rsid w:val="002835F3"/>
    <w:rsid w:val="00285BBF"/>
    <w:rsid w:val="00291E17"/>
    <w:rsid w:val="00292133"/>
    <w:rsid w:val="00292285"/>
    <w:rsid w:val="00292C64"/>
    <w:rsid w:val="00295280"/>
    <w:rsid w:val="00297A0C"/>
    <w:rsid w:val="002A3793"/>
    <w:rsid w:val="002A41D3"/>
    <w:rsid w:val="002A5406"/>
    <w:rsid w:val="002A64E7"/>
    <w:rsid w:val="002B1072"/>
    <w:rsid w:val="002B1767"/>
    <w:rsid w:val="002B1AA5"/>
    <w:rsid w:val="002B2CF2"/>
    <w:rsid w:val="002B319B"/>
    <w:rsid w:val="002B521F"/>
    <w:rsid w:val="002B5B9E"/>
    <w:rsid w:val="002B6274"/>
    <w:rsid w:val="002B75A5"/>
    <w:rsid w:val="002B7F0A"/>
    <w:rsid w:val="002C27E7"/>
    <w:rsid w:val="002C37E2"/>
    <w:rsid w:val="002C3F74"/>
    <w:rsid w:val="002C441B"/>
    <w:rsid w:val="002C4500"/>
    <w:rsid w:val="002C66D8"/>
    <w:rsid w:val="002D075D"/>
    <w:rsid w:val="002D11DA"/>
    <w:rsid w:val="002D1F06"/>
    <w:rsid w:val="002D3F36"/>
    <w:rsid w:val="002D419F"/>
    <w:rsid w:val="002D50A0"/>
    <w:rsid w:val="002D5D24"/>
    <w:rsid w:val="002D675D"/>
    <w:rsid w:val="002D7376"/>
    <w:rsid w:val="002D74CF"/>
    <w:rsid w:val="002E15AD"/>
    <w:rsid w:val="002E1E8C"/>
    <w:rsid w:val="002E42F3"/>
    <w:rsid w:val="002F2318"/>
    <w:rsid w:val="002F2A5D"/>
    <w:rsid w:val="002F3585"/>
    <w:rsid w:val="002F3FC5"/>
    <w:rsid w:val="002F4319"/>
    <w:rsid w:val="002F47E8"/>
    <w:rsid w:val="002F52BC"/>
    <w:rsid w:val="002F6EFF"/>
    <w:rsid w:val="002F7657"/>
    <w:rsid w:val="002F7A8E"/>
    <w:rsid w:val="0030306A"/>
    <w:rsid w:val="00304D5B"/>
    <w:rsid w:val="00304EDD"/>
    <w:rsid w:val="00307366"/>
    <w:rsid w:val="00307FA2"/>
    <w:rsid w:val="00310A03"/>
    <w:rsid w:val="00310CB3"/>
    <w:rsid w:val="00311A7E"/>
    <w:rsid w:val="0031322C"/>
    <w:rsid w:val="00313A60"/>
    <w:rsid w:val="0031564D"/>
    <w:rsid w:val="003162FB"/>
    <w:rsid w:val="003172AB"/>
    <w:rsid w:val="00317E60"/>
    <w:rsid w:val="00320713"/>
    <w:rsid w:val="00320838"/>
    <w:rsid w:val="00322424"/>
    <w:rsid w:val="00323554"/>
    <w:rsid w:val="003237C2"/>
    <w:rsid w:val="00324208"/>
    <w:rsid w:val="00331CE7"/>
    <w:rsid w:val="0033256D"/>
    <w:rsid w:val="00332F50"/>
    <w:rsid w:val="00332F6E"/>
    <w:rsid w:val="00340E85"/>
    <w:rsid w:val="00340EC5"/>
    <w:rsid w:val="00342A91"/>
    <w:rsid w:val="003446DA"/>
    <w:rsid w:val="00346A44"/>
    <w:rsid w:val="0034724A"/>
    <w:rsid w:val="0035080D"/>
    <w:rsid w:val="00351447"/>
    <w:rsid w:val="003515E8"/>
    <w:rsid w:val="003515F6"/>
    <w:rsid w:val="003531AF"/>
    <w:rsid w:val="00353BB0"/>
    <w:rsid w:val="00354ABF"/>
    <w:rsid w:val="00355222"/>
    <w:rsid w:val="00355C7A"/>
    <w:rsid w:val="00355CAA"/>
    <w:rsid w:val="00360C22"/>
    <w:rsid w:val="00363ADD"/>
    <w:rsid w:val="003649E5"/>
    <w:rsid w:val="00364DDC"/>
    <w:rsid w:val="003659AB"/>
    <w:rsid w:val="00371347"/>
    <w:rsid w:val="003779C0"/>
    <w:rsid w:val="00377E45"/>
    <w:rsid w:val="003805A4"/>
    <w:rsid w:val="0038125C"/>
    <w:rsid w:val="00381866"/>
    <w:rsid w:val="003840C9"/>
    <w:rsid w:val="0038545F"/>
    <w:rsid w:val="003860DE"/>
    <w:rsid w:val="0038717D"/>
    <w:rsid w:val="003960D5"/>
    <w:rsid w:val="0039684F"/>
    <w:rsid w:val="003A10C9"/>
    <w:rsid w:val="003A2E21"/>
    <w:rsid w:val="003A3850"/>
    <w:rsid w:val="003A526E"/>
    <w:rsid w:val="003B0927"/>
    <w:rsid w:val="003B1056"/>
    <w:rsid w:val="003B2B4B"/>
    <w:rsid w:val="003B2C31"/>
    <w:rsid w:val="003B4011"/>
    <w:rsid w:val="003B6787"/>
    <w:rsid w:val="003C0D0B"/>
    <w:rsid w:val="003C245A"/>
    <w:rsid w:val="003C2579"/>
    <w:rsid w:val="003C4265"/>
    <w:rsid w:val="003C5961"/>
    <w:rsid w:val="003C6FA1"/>
    <w:rsid w:val="003C794D"/>
    <w:rsid w:val="003D18FB"/>
    <w:rsid w:val="003D223F"/>
    <w:rsid w:val="003D4AEE"/>
    <w:rsid w:val="003D54B8"/>
    <w:rsid w:val="003E32FB"/>
    <w:rsid w:val="003E390F"/>
    <w:rsid w:val="003E5AAE"/>
    <w:rsid w:val="003E63D0"/>
    <w:rsid w:val="003E6673"/>
    <w:rsid w:val="003E7E5F"/>
    <w:rsid w:val="003F26FA"/>
    <w:rsid w:val="003F3548"/>
    <w:rsid w:val="003F4040"/>
    <w:rsid w:val="003F49FD"/>
    <w:rsid w:val="003F5924"/>
    <w:rsid w:val="003F6A81"/>
    <w:rsid w:val="004013C5"/>
    <w:rsid w:val="00401AD9"/>
    <w:rsid w:val="00402B8A"/>
    <w:rsid w:val="00402C70"/>
    <w:rsid w:val="00403BA7"/>
    <w:rsid w:val="00403EBD"/>
    <w:rsid w:val="004063E6"/>
    <w:rsid w:val="00406B3F"/>
    <w:rsid w:val="004116B3"/>
    <w:rsid w:val="0041197B"/>
    <w:rsid w:val="004120BA"/>
    <w:rsid w:val="00412589"/>
    <w:rsid w:val="00421354"/>
    <w:rsid w:val="00421FCB"/>
    <w:rsid w:val="004225C1"/>
    <w:rsid w:val="00422DE5"/>
    <w:rsid w:val="00427848"/>
    <w:rsid w:val="00433A80"/>
    <w:rsid w:val="00433ECA"/>
    <w:rsid w:val="004449A6"/>
    <w:rsid w:val="00444F41"/>
    <w:rsid w:val="00445E32"/>
    <w:rsid w:val="00446702"/>
    <w:rsid w:val="0044734C"/>
    <w:rsid w:val="00447EC4"/>
    <w:rsid w:val="00451612"/>
    <w:rsid w:val="00452593"/>
    <w:rsid w:val="004541CF"/>
    <w:rsid w:val="00454845"/>
    <w:rsid w:val="00454FD1"/>
    <w:rsid w:val="0045517A"/>
    <w:rsid w:val="00455891"/>
    <w:rsid w:val="00457090"/>
    <w:rsid w:val="00460512"/>
    <w:rsid w:val="00462DCD"/>
    <w:rsid w:val="00463585"/>
    <w:rsid w:val="00463A58"/>
    <w:rsid w:val="00463A70"/>
    <w:rsid w:val="00463C5D"/>
    <w:rsid w:val="00463D2B"/>
    <w:rsid w:val="00463F69"/>
    <w:rsid w:val="00464093"/>
    <w:rsid w:val="00465892"/>
    <w:rsid w:val="00466FEF"/>
    <w:rsid w:val="0046776C"/>
    <w:rsid w:val="004677C4"/>
    <w:rsid w:val="00470FC5"/>
    <w:rsid w:val="00472F70"/>
    <w:rsid w:val="00475165"/>
    <w:rsid w:val="00475A64"/>
    <w:rsid w:val="00476D38"/>
    <w:rsid w:val="0048457B"/>
    <w:rsid w:val="00492CDE"/>
    <w:rsid w:val="004956F5"/>
    <w:rsid w:val="00495D75"/>
    <w:rsid w:val="004A24F1"/>
    <w:rsid w:val="004A2E38"/>
    <w:rsid w:val="004A3D01"/>
    <w:rsid w:val="004A677D"/>
    <w:rsid w:val="004A7ADA"/>
    <w:rsid w:val="004B2EE3"/>
    <w:rsid w:val="004B4505"/>
    <w:rsid w:val="004C24A7"/>
    <w:rsid w:val="004C2C4C"/>
    <w:rsid w:val="004C37EB"/>
    <w:rsid w:val="004C5313"/>
    <w:rsid w:val="004C673F"/>
    <w:rsid w:val="004C6A5D"/>
    <w:rsid w:val="004C6FAF"/>
    <w:rsid w:val="004D08C9"/>
    <w:rsid w:val="004D16F5"/>
    <w:rsid w:val="004D2450"/>
    <w:rsid w:val="004D4910"/>
    <w:rsid w:val="004D5468"/>
    <w:rsid w:val="004D5BBD"/>
    <w:rsid w:val="004D627D"/>
    <w:rsid w:val="004D7E2D"/>
    <w:rsid w:val="004E141B"/>
    <w:rsid w:val="004E1B2D"/>
    <w:rsid w:val="004E1CF4"/>
    <w:rsid w:val="004E20D0"/>
    <w:rsid w:val="004E3341"/>
    <w:rsid w:val="004E4D6C"/>
    <w:rsid w:val="004E6D89"/>
    <w:rsid w:val="004F0A55"/>
    <w:rsid w:val="004F60B8"/>
    <w:rsid w:val="004F6C1F"/>
    <w:rsid w:val="00500D9E"/>
    <w:rsid w:val="005016E2"/>
    <w:rsid w:val="00502296"/>
    <w:rsid w:val="005031B9"/>
    <w:rsid w:val="00503532"/>
    <w:rsid w:val="00504CB8"/>
    <w:rsid w:val="0050504E"/>
    <w:rsid w:val="00505570"/>
    <w:rsid w:val="0050572F"/>
    <w:rsid w:val="00506AFB"/>
    <w:rsid w:val="00506B3B"/>
    <w:rsid w:val="0051179B"/>
    <w:rsid w:val="00513909"/>
    <w:rsid w:val="00513F04"/>
    <w:rsid w:val="005140DF"/>
    <w:rsid w:val="00514237"/>
    <w:rsid w:val="00514F15"/>
    <w:rsid w:val="00516456"/>
    <w:rsid w:val="0052536C"/>
    <w:rsid w:val="005271AC"/>
    <w:rsid w:val="005277C2"/>
    <w:rsid w:val="00531FA3"/>
    <w:rsid w:val="005329B4"/>
    <w:rsid w:val="00534926"/>
    <w:rsid w:val="005407E4"/>
    <w:rsid w:val="00541E08"/>
    <w:rsid w:val="00542E1C"/>
    <w:rsid w:val="00545CF2"/>
    <w:rsid w:val="00546526"/>
    <w:rsid w:val="00547998"/>
    <w:rsid w:val="0055272E"/>
    <w:rsid w:val="00554338"/>
    <w:rsid w:val="00554AEC"/>
    <w:rsid w:val="0055555A"/>
    <w:rsid w:val="00556193"/>
    <w:rsid w:val="005567F1"/>
    <w:rsid w:val="0056045C"/>
    <w:rsid w:val="00565F9D"/>
    <w:rsid w:val="005672BE"/>
    <w:rsid w:val="00571A89"/>
    <w:rsid w:val="0057214B"/>
    <w:rsid w:val="00572BFE"/>
    <w:rsid w:val="005754D2"/>
    <w:rsid w:val="005771D3"/>
    <w:rsid w:val="00577940"/>
    <w:rsid w:val="00577BC0"/>
    <w:rsid w:val="005810C1"/>
    <w:rsid w:val="0058134E"/>
    <w:rsid w:val="005816E7"/>
    <w:rsid w:val="00581DAA"/>
    <w:rsid w:val="00585FBD"/>
    <w:rsid w:val="00587E49"/>
    <w:rsid w:val="005903AA"/>
    <w:rsid w:val="005926A8"/>
    <w:rsid w:val="00594826"/>
    <w:rsid w:val="005A1A91"/>
    <w:rsid w:val="005A1F31"/>
    <w:rsid w:val="005A322B"/>
    <w:rsid w:val="005A38D3"/>
    <w:rsid w:val="005A45B8"/>
    <w:rsid w:val="005A6ACC"/>
    <w:rsid w:val="005A7A0C"/>
    <w:rsid w:val="005B06FA"/>
    <w:rsid w:val="005B2F38"/>
    <w:rsid w:val="005B5143"/>
    <w:rsid w:val="005B535B"/>
    <w:rsid w:val="005B55CE"/>
    <w:rsid w:val="005B5A2F"/>
    <w:rsid w:val="005C3F2F"/>
    <w:rsid w:val="005C5003"/>
    <w:rsid w:val="005C67C2"/>
    <w:rsid w:val="005D01B6"/>
    <w:rsid w:val="005D059A"/>
    <w:rsid w:val="005D3E44"/>
    <w:rsid w:val="005D4E26"/>
    <w:rsid w:val="005D6594"/>
    <w:rsid w:val="005E0526"/>
    <w:rsid w:val="005E1C0F"/>
    <w:rsid w:val="005E3859"/>
    <w:rsid w:val="005E3F5E"/>
    <w:rsid w:val="005E4641"/>
    <w:rsid w:val="005E7B29"/>
    <w:rsid w:val="005F0950"/>
    <w:rsid w:val="005F36E6"/>
    <w:rsid w:val="005F49E5"/>
    <w:rsid w:val="005F5351"/>
    <w:rsid w:val="005F6801"/>
    <w:rsid w:val="006021E0"/>
    <w:rsid w:val="00606F88"/>
    <w:rsid w:val="006076AE"/>
    <w:rsid w:val="00614E59"/>
    <w:rsid w:val="006155BE"/>
    <w:rsid w:val="00615CAA"/>
    <w:rsid w:val="00621651"/>
    <w:rsid w:val="00630EEE"/>
    <w:rsid w:val="006311C6"/>
    <w:rsid w:val="00631340"/>
    <w:rsid w:val="00631639"/>
    <w:rsid w:val="00632BF4"/>
    <w:rsid w:val="006332FF"/>
    <w:rsid w:val="00633487"/>
    <w:rsid w:val="006337A1"/>
    <w:rsid w:val="0063446E"/>
    <w:rsid w:val="0063737F"/>
    <w:rsid w:val="00640E50"/>
    <w:rsid w:val="00641E6F"/>
    <w:rsid w:val="006429E4"/>
    <w:rsid w:val="0064350F"/>
    <w:rsid w:val="00643BE8"/>
    <w:rsid w:val="006445B8"/>
    <w:rsid w:val="00645C63"/>
    <w:rsid w:val="00646527"/>
    <w:rsid w:val="00646EC2"/>
    <w:rsid w:val="00646F8B"/>
    <w:rsid w:val="00647C0E"/>
    <w:rsid w:val="0065027D"/>
    <w:rsid w:val="00652931"/>
    <w:rsid w:val="0065330D"/>
    <w:rsid w:val="00654058"/>
    <w:rsid w:val="00654B96"/>
    <w:rsid w:val="00656391"/>
    <w:rsid w:val="0065714C"/>
    <w:rsid w:val="006642C8"/>
    <w:rsid w:val="0066480D"/>
    <w:rsid w:val="00665AB6"/>
    <w:rsid w:val="00666124"/>
    <w:rsid w:val="0066637A"/>
    <w:rsid w:val="00667D36"/>
    <w:rsid w:val="0067025D"/>
    <w:rsid w:val="0067101D"/>
    <w:rsid w:val="006710E3"/>
    <w:rsid w:val="00672A05"/>
    <w:rsid w:val="00673205"/>
    <w:rsid w:val="00675396"/>
    <w:rsid w:val="00675FE8"/>
    <w:rsid w:val="00680015"/>
    <w:rsid w:val="00680397"/>
    <w:rsid w:val="006827C5"/>
    <w:rsid w:val="006828F4"/>
    <w:rsid w:val="0068426B"/>
    <w:rsid w:val="00684292"/>
    <w:rsid w:val="00687718"/>
    <w:rsid w:val="0069398F"/>
    <w:rsid w:val="00693D59"/>
    <w:rsid w:val="00695292"/>
    <w:rsid w:val="00695D16"/>
    <w:rsid w:val="0069659F"/>
    <w:rsid w:val="0069691F"/>
    <w:rsid w:val="00696BF5"/>
    <w:rsid w:val="00696FA5"/>
    <w:rsid w:val="006972A6"/>
    <w:rsid w:val="006A0872"/>
    <w:rsid w:val="006A282A"/>
    <w:rsid w:val="006A4F84"/>
    <w:rsid w:val="006A621E"/>
    <w:rsid w:val="006A6710"/>
    <w:rsid w:val="006A6C39"/>
    <w:rsid w:val="006B18EE"/>
    <w:rsid w:val="006B21DE"/>
    <w:rsid w:val="006B3E10"/>
    <w:rsid w:val="006B77A3"/>
    <w:rsid w:val="006B79A7"/>
    <w:rsid w:val="006B7F1A"/>
    <w:rsid w:val="006C1667"/>
    <w:rsid w:val="006C186F"/>
    <w:rsid w:val="006C2666"/>
    <w:rsid w:val="006C3770"/>
    <w:rsid w:val="006C4447"/>
    <w:rsid w:val="006C4CE0"/>
    <w:rsid w:val="006C64BB"/>
    <w:rsid w:val="006D1786"/>
    <w:rsid w:val="006D405D"/>
    <w:rsid w:val="006D52C0"/>
    <w:rsid w:val="006D5D92"/>
    <w:rsid w:val="006D773F"/>
    <w:rsid w:val="006E18A1"/>
    <w:rsid w:val="006E3766"/>
    <w:rsid w:val="006E3BD1"/>
    <w:rsid w:val="006E45DB"/>
    <w:rsid w:val="006E7D49"/>
    <w:rsid w:val="006F0E36"/>
    <w:rsid w:val="006F16B7"/>
    <w:rsid w:val="006F1703"/>
    <w:rsid w:val="006F2178"/>
    <w:rsid w:val="006F2281"/>
    <w:rsid w:val="006F2C43"/>
    <w:rsid w:val="006F4D8C"/>
    <w:rsid w:val="006F51E0"/>
    <w:rsid w:val="006F596E"/>
    <w:rsid w:val="006F5E16"/>
    <w:rsid w:val="006F6141"/>
    <w:rsid w:val="006F72C6"/>
    <w:rsid w:val="00700B2E"/>
    <w:rsid w:val="0070227E"/>
    <w:rsid w:val="007024A7"/>
    <w:rsid w:val="00704B42"/>
    <w:rsid w:val="0070694E"/>
    <w:rsid w:val="00706DDD"/>
    <w:rsid w:val="00706FAE"/>
    <w:rsid w:val="0071126E"/>
    <w:rsid w:val="00711920"/>
    <w:rsid w:val="007120B4"/>
    <w:rsid w:val="00714B5B"/>
    <w:rsid w:val="00717379"/>
    <w:rsid w:val="00720CA7"/>
    <w:rsid w:val="00720EAF"/>
    <w:rsid w:val="007211DE"/>
    <w:rsid w:val="00721F22"/>
    <w:rsid w:val="00724F36"/>
    <w:rsid w:val="00724FAB"/>
    <w:rsid w:val="00725824"/>
    <w:rsid w:val="0072794F"/>
    <w:rsid w:val="007310C0"/>
    <w:rsid w:val="00731FE1"/>
    <w:rsid w:val="00735017"/>
    <w:rsid w:val="00735B36"/>
    <w:rsid w:val="00740109"/>
    <w:rsid w:val="007435A6"/>
    <w:rsid w:val="00745EC9"/>
    <w:rsid w:val="00747555"/>
    <w:rsid w:val="00747F05"/>
    <w:rsid w:val="0075257C"/>
    <w:rsid w:val="00753A8C"/>
    <w:rsid w:val="00753C27"/>
    <w:rsid w:val="0075778B"/>
    <w:rsid w:val="0076151A"/>
    <w:rsid w:val="00762EEA"/>
    <w:rsid w:val="00766F34"/>
    <w:rsid w:val="0076730D"/>
    <w:rsid w:val="00771C9A"/>
    <w:rsid w:val="00772E3F"/>
    <w:rsid w:val="00773947"/>
    <w:rsid w:val="007746F2"/>
    <w:rsid w:val="00774976"/>
    <w:rsid w:val="0077511E"/>
    <w:rsid w:val="007765EE"/>
    <w:rsid w:val="00777A4C"/>
    <w:rsid w:val="00780086"/>
    <w:rsid w:val="00782541"/>
    <w:rsid w:val="0078408B"/>
    <w:rsid w:val="00786582"/>
    <w:rsid w:val="0079051F"/>
    <w:rsid w:val="0079173B"/>
    <w:rsid w:val="007925E7"/>
    <w:rsid w:val="00793828"/>
    <w:rsid w:val="007A192E"/>
    <w:rsid w:val="007A1BF8"/>
    <w:rsid w:val="007A1ED4"/>
    <w:rsid w:val="007A288D"/>
    <w:rsid w:val="007A28EB"/>
    <w:rsid w:val="007A3128"/>
    <w:rsid w:val="007A313E"/>
    <w:rsid w:val="007A5C38"/>
    <w:rsid w:val="007A658B"/>
    <w:rsid w:val="007A682D"/>
    <w:rsid w:val="007A6CEA"/>
    <w:rsid w:val="007B1954"/>
    <w:rsid w:val="007B4317"/>
    <w:rsid w:val="007B468A"/>
    <w:rsid w:val="007B56EA"/>
    <w:rsid w:val="007B60BD"/>
    <w:rsid w:val="007B6589"/>
    <w:rsid w:val="007B6DE9"/>
    <w:rsid w:val="007B7443"/>
    <w:rsid w:val="007B7C59"/>
    <w:rsid w:val="007C27A0"/>
    <w:rsid w:val="007C33F3"/>
    <w:rsid w:val="007C573F"/>
    <w:rsid w:val="007C5C4B"/>
    <w:rsid w:val="007C6D82"/>
    <w:rsid w:val="007C7885"/>
    <w:rsid w:val="007D007D"/>
    <w:rsid w:val="007D1F90"/>
    <w:rsid w:val="007D4DAE"/>
    <w:rsid w:val="007D5184"/>
    <w:rsid w:val="007D5687"/>
    <w:rsid w:val="007D57F3"/>
    <w:rsid w:val="007D78F4"/>
    <w:rsid w:val="007D7D93"/>
    <w:rsid w:val="007E246A"/>
    <w:rsid w:val="007E3DC2"/>
    <w:rsid w:val="007E4DC3"/>
    <w:rsid w:val="007E5470"/>
    <w:rsid w:val="007E54C6"/>
    <w:rsid w:val="007E5DF1"/>
    <w:rsid w:val="007E624D"/>
    <w:rsid w:val="007E7453"/>
    <w:rsid w:val="007E788D"/>
    <w:rsid w:val="007F11A2"/>
    <w:rsid w:val="007F2CCB"/>
    <w:rsid w:val="007F434D"/>
    <w:rsid w:val="007F4F6B"/>
    <w:rsid w:val="007F52EE"/>
    <w:rsid w:val="007F7B2C"/>
    <w:rsid w:val="007F7B9E"/>
    <w:rsid w:val="007F7C0D"/>
    <w:rsid w:val="00800838"/>
    <w:rsid w:val="00800CEF"/>
    <w:rsid w:val="008010F0"/>
    <w:rsid w:val="008015A2"/>
    <w:rsid w:val="00802016"/>
    <w:rsid w:val="00802BFA"/>
    <w:rsid w:val="00802D6B"/>
    <w:rsid w:val="008035B1"/>
    <w:rsid w:val="00805A49"/>
    <w:rsid w:val="0080678B"/>
    <w:rsid w:val="0081099E"/>
    <w:rsid w:val="00810C4C"/>
    <w:rsid w:val="00811661"/>
    <w:rsid w:val="00811E82"/>
    <w:rsid w:val="008126FD"/>
    <w:rsid w:val="00812DFA"/>
    <w:rsid w:val="008147A4"/>
    <w:rsid w:val="008157DE"/>
    <w:rsid w:val="008200BF"/>
    <w:rsid w:val="008261FA"/>
    <w:rsid w:val="00827F90"/>
    <w:rsid w:val="00830B1B"/>
    <w:rsid w:val="00831291"/>
    <w:rsid w:val="00831BBF"/>
    <w:rsid w:val="00833BB9"/>
    <w:rsid w:val="0083521D"/>
    <w:rsid w:val="008369CB"/>
    <w:rsid w:val="00837FA2"/>
    <w:rsid w:val="00840013"/>
    <w:rsid w:val="00841F64"/>
    <w:rsid w:val="008436D0"/>
    <w:rsid w:val="008458BB"/>
    <w:rsid w:val="0084679A"/>
    <w:rsid w:val="00846D46"/>
    <w:rsid w:val="008512A6"/>
    <w:rsid w:val="00851579"/>
    <w:rsid w:val="0085247C"/>
    <w:rsid w:val="008525E4"/>
    <w:rsid w:val="00853DCD"/>
    <w:rsid w:val="00855D0A"/>
    <w:rsid w:val="008563F6"/>
    <w:rsid w:val="008654D6"/>
    <w:rsid w:val="008666FB"/>
    <w:rsid w:val="00872E7E"/>
    <w:rsid w:val="00872F77"/>
    <w:rsid w:val="008766E1"/>
    <w:rsid w:val="008767F4"/>
    <w:rsid w:val="008774CB"/>
    <w:rsid w:val="0087772E"/>
    <w:rsid w:val="008800CC"/>
    <w:rsid w:val="00880E62"/>
    <w:rsid w:val="0088117A"/>
    <w:rsid w:val="0088267C"/>
    <w:rsid w:val="00882FA2"/>
    <w:rsid w:val="0088474E"/>
    <w:rsid w:val="00890159"/>
    <w:rsid w:val="00890509"/>
    <w:rsid w:val="00891288"/>
    <w:rsid w:val="0089380D"/>
    <w:rsid w:val="00896653"/>
    <w:rsid w:val="008A00DF"/>
    <w:rsid w:val="008A189F"/>
    <w:rsid w:val="008A2A8A"/>
    <w:rsid w:val="008A4E41"/>
    <w:rsid w:val="008A6559"/>
    <w:rsid w:val="008A67D5"/>
    <w:rsid w:val="008A741F"/>
    <w:rsid w:val="008A76CE"/>
    <w:rsid w:val="008B2002"/>
    <w:rsid w:val="008B2DFB"/>
    <w:rsid w:val="008B5C20"/>
    <w:rsid w:val="008B5CEE"/>
    <w:rsid w:val="008B5F99"/>
    <w:rsid w:val="008B6121"/>
    <w:rsid w:val="008B78C3"/>
    <w:rsid w:val="008C3EB0"/>
    <w:rsid w:val="008C4712"/>
    <w:rsid w:val="008C53B2"/>
    <w:rsid w:val="008C5D04"/>
    <w:rsid w:val="008C5E02"/>
    <w:rsid w:val="008D0538"/>
    <w:rsid w:val="008D076C"/>
    <w:rsid w:val="008D4B81"/>
    <w:rsid w:val="008D5590"/>
    <w:rsid w:val="008D5BA6"/>
    <w:rsid w:val="008D5F53"/>
    <w:rsid w:val="008D74C9"/>
    <w:rsid w:val="008E296E"/>
    <w:rsid w:val="008E2AE1"/>
    <w:rsid w:val="008F0F4D"/>
    <w:rsid w:val="008F156B"/>
    <w:rsid w:val="008F1C09"/>
    <w:rsid w:val="008F1E0A"/>
    <w:rsid w:val="008F2AF1"/>
    <w:rsid w:val="008F41E0"/>
    <w:rsid w:val="008F606B"/>
    <w:rsid w:val="008F6532"/>
    <w:rsid w:val="0090719A"/>
    <w:rsid w:val="009075C5"/>
    <w:rsid w:val="00917E9D"/>
    <w:rsid w:val="0092138C"/>
    <w:rsid w:val="0092285D"/>
    <w:rsid w:val="00922BA8"/>
    <w:rsid w:val="0092376B"/>
    <w:rsid w:val="00926235"/>
    <w:rsid w:val="00926C2A"/>
    <w:rsid w:val="00927AE0"/>
    <w:rsid w:val="00927D13"/>
    <w:rsid w:val="0093206A"/>
    <w:rsid w:val="00934F63"/>
    <w:rsid w:val="0093651C"/>
    <w:rsid w:val="00937A14"/>
    <w:rsid w:val="00940CEF"/>
    <w:rsid w:val="00941C6F"/>
    <w:rsid w:val="0094681C"/>
    <w:rsid w:val="00950073"/>
    <w:rsid w:val="009501D4"/>
    <w:rsid w:val="009518ED"/>
    <w:rsid w:val="00951B17"/>
    <w:rsid w:val="0095405A"/>
    <w:rsid w:val="0095521D"/>
    <w:rsid w:val="00955EBA"/>
    <w:rsid w:val="00956744"/>
    <w:rsid w:val="009572E8"/>
    <w:rsid w:val="00966626"/>
    <w:rsid w:val="00971C4A"/>
    <w:rsid w:val="00972E50"/>
    <w:rsid w:val="0097304F"/>
    <w:rsid w:val="0097462C"/>
    <w:rsid w:val="009766FF"/>
    <w:rsid w:val="00980376"/>
    <w:rsid w:val="00982202"/>
    <w:rsid w:val="009902C5"/>
    <w:rsid w:val="009939A2"/>
    <w:rsid w:val="009939D4"/>
    <w:rsid w:val="00997FC0"/>
    <w:rsid w:val="009A0B35"/>
    <w:rsid w:val="009A373D"/>
    <w:rsid w:val="009A3839"/>
    <w:rsid w:val="009A4C1B"/>
    <w:rsid w:val="009A5C38"/>
    <w:rsid w:val="009B08A8"/>
    <w:rsid w:val="009B2CA4"/>
    <w:rsid w:val="009B4D48"/>
    <w:rsid w:val="009B6082"/>
    <w:rsid w:val="009B66E7"/>
    <w:rsid w:val="009B728B"/>
    <w:rsid w:val="009C1E8F"/>
    <w:rsid w:val="009D01C2"/>
    <w:rsid w:val="009D0BA2"/>
    <w:rsid w:val="009D4F39"/>
    <w:rsid w:val="009D6FC5"/>
    <w:rsid w:val="009D7323"/>
    <w:rsid w:val="009E133C"/>
    <w:rsid w:val="009E1E31"/>
    <w:rsid w:val="009E2C93"/>
    <w:rsid w:val="009E6E8C"/>
    <w:rsid w:val="009F4639"/>
    <w:rsid w:val="009F54BE"/>
    <w:rsid w:val="009F5980"/>
    <w:rsid w:val="009F5D91"/>
    <w:rsid w:val="009F6CEF"/>
    <w:rsid w:val="009F6FF1"/>
    <w:rsid w:val="00A0027D"/>
    <w:rsid w:val="00A005A9"/>
    <w:rsid w:val="00A04CCC"/>
    <w:rsid w:val="00A058AC"/>
    <w:rsid w:val="00A058FE"/>
    <w:rsid w:val="00A05D4A"/>
    <w:rsid w:val="00A070A1"/>
    <w:rsid w:val="00A07210"/>
    <w:rsid w:val="00A10373"/>
    <w:rsid w:val="00A112FB"/>
    <w:rsid w:val="00A114AD"/>
    <w:rsid w:val="00A11D79"/>
    <w:rsid w:val="00A144CA"/>
    <w:rsid w:val="00A15255"/>
    <w:rsid w:val="00A15BB2"/>
    <w:rsid w:val="00A1751F"/>
    <w:rsid w:val="00A21403"/>
    <w:rsid w:val="00A22A09"/>
    <w:rsid w:val="00A22D25"/>
    <w:rsid w:val="00A23F54"/>
    <w:rsid w:val="00A241FF"/>
    <w:rsid w:val="00A247B7"/>
    <w:rsid w:val="00A24B12"/>
    <w:rsid w:val="00A266ED"/>
    <w:rsid w:val="00A276F4"/>
    <w:rsid w:val="00A2784E"/>
    <w:rsid w:val="00A27CE5"/>
    <w:rsid w:val="00A30D00"/>
    <w:rsid w:val="00A329E1"/>
    <w:rsid w:val="00A32BEA"/>
    <w:rsid w:val="00A36D2D"/>
    <w:rsid w:val="00A37DE1"/>
    <w:rsid w:val="00A40D13"/>
    <w:rsid w:val="00A41327"/>
    <w:rsid w:val="00A45A58"/>
    <w:rsid w:val="00A46930"/>
    <w:rsid w:val="00A470D2"/>
    <w:rsid w:val="00A476DC"/>
    <w:rsid w:val="00A478C9"/>
    <w:rsid w:val="00A47FAA"/>
    <w:rsid w:val="00A501DD"/>
    <w:rsid w:val="00A52DA4"/>
    <w:rsid w:val="00A552C8"/>
    <w:rsid w:val="00A55E1E"/>
    <w:rsid w:val="00A56D33"/>
    <w:rsid w:val="00A57C20"/>
    <w:rsid w:val="00A60A2A"/>
    <w:rsid w:val="00A639AF"/>
    <w:rsid w:val="00A64AF5"/>
    <w:rsid w:val="00A65545"/>
    <w:rsid w:val="00A66616"/>
    <w:rsid w:val="00A75082"/>
    <w:rsid w:val="00A768F5"/>
    <w:rsid w:val="00A80779"/>
    <w:rsid w:val="00A80878"/>
    <w:rsid w:val="00A80A3A"/>
    <w:rsid w:val="00A83A67"/>
    <w:rsid w:val="00A85C8D"/>
    <w:rsid w:val="00A91667"/>
    <w:rsid w:val="00A92F49"/>
    <w:rsid w:val="00A943A6"/>
    <w:rsid w:val="00A9490A"/>
    <w:rsid w:val="00A9522C"/>
    <w:rsid w:val="00A96D6A"/>
    <w:rsid w:val="00A9742E"/>
    <w:rsid w:val="00AA019B"/>
    <w:rsid w:val="00AA6AF3"/>
    <w:rsid w:val="00AB1155"/>
    <w:rsid w:val="00AB1510"/>
    <w:rsid w:val="00AB1ACD"/>
    <w:rsid w:val="00AB1B32"/>
    <w:rsid w:val="00AB31BE"/>
    <w:rsid w:val="00AB3EC0"/>
    <w:rsid w:val="00AB4F32"/>
    <w:rsid w:val="00AB5797"/>
    <w:rsid w:val="00AB57EF"/>
    <w:rsid w:val="00AB65D9"/>
    <w:rsid w:val="00AB7B25"/>
    <w:rsid w:val="00AC4FE8"/>
    <w:rsid w:val="00AC64AB"/>
    <w:rsid w:val="00AC6B94"/>
    <w:rsid w:val="00AD05E9"/>
    <w:rsid w:val="00AD148B"/>
    <w:rsid w:val="00AD1843"/>
    <w:rsid w:val="00AD2519"/>
    <w:rsid w:val="00AD2C9C"/>
    <w:rsid w:val="00AD34A0"/>
    <w:rsid w:val="00AD3D86"/>
    <w:rsid w:val="00AD41D1"/>
    <w:rsid w:val="00AD4384"/>
    <w:rsid w:val="00AD43C7"/>
    <w:rsid w:val="00AD67A7"/>
    <w:rsid w:val="00AE15B6"/>
    <w:rsid w:val="00AE3313"/>
    <w:rsid w:val="00AE3B9F"/>
    <w:rsid w:val="00AE3F2E"/>
    <w:rsid w:val="00AE48B2"/>
    <w:rsid w:val="00AE4DEC"/>
    <w:rsid w:val="00AE5798"/>
    <w:rsid w:val="00AE778E"/>
    <w:rsid w:val="00AE7D49"/>
    <w:rsid w:val="00AE7DE4"/>
    <w:rsid w:val="00AE7FE0"/>
    <w:rsid w:val="00AF4B66"/>
    <w:rsid w:val="00AF4E0D"/>
    <w:rsid w:val="00AF6330"/>
    <w:rsid w:val="00B00A26"/>
    <w:rsid w:val="00B024E2"/>
    <w:rsid w:val="00B07881"/>
    <w:rsid w:val="00B13856"/>
    <w:rsid w:val="00B144C5"/>
    <w:rsid w:val="00B23493"/>
    <w:rsid w:val="00B25C41"/>
    <w:rsid w:val="00B276D1"/>
    <w:rsid w:val="00B3076F"/>
    <w:rsid w:val="00B32333"/>
    <w:rsid w:val="00B34203"/>
    <w:rsid w:val="00B356FA"/>
    <w:rsid w:val="00B35BB8"/>
    <w:rsid w:val="00B37065"/>
    <w:rsid w:val="00B40639"/>
    <w:rsid w:val="00B41FFC"/>
    <w:rsid w:val="00B42901"/>
    <w:rsid w:val="00B43729"/>
    <w:rsid w:val="00B439AE"/>
    <w:rsid w:val="00B43D9A"/>
    <w:rsid w:val="00B4450E"/>
    <w:rsid w:val="00B44527"/>
    <w:rsid w:val="00B4573D"/>
    <w:rsid w:val="00B50154"/>
    <w:rsid w:val="00B518F5"/>
    <w:rsid w:val="00B53155"/>
    <w:rsid w:val="00B54FAF"/>
    <w:rsid w:val="00B57253"/>
    <w:rsid w:val="00B624D9"/>
    <w:rsid w:val="00B63256"/>
    <w:rsid w:val="00B70973"/>
    <w:rsid w:val="00B71837"/>
    <w:rsid w:val="00B72F87"/>
    <w:rsid w:val="00B74E4A"/>
    <w:rsid w:val="00B76473"/>
    <w:rsid w:val="00B767F9"/>
    <w:rsid w:val="00B76A9F"/>
    <w:rsid w:val="00B7754B"/>
    <w:rsid w:val="00B80265"/>
    <w:rsid w:val="00B84A6E"/>
    <w:rsid w:val="00B85049"/>
    <w:rsid w:val="00B85EA5"/>
    <w:rsid w:val="00B90C30"/>
    <w:rsid w:val="00B9346E"/>
    <w:rsid w:val="00B93762"/>
    <w:rsid w:val="00B951C9"/>
    <w:rsid w:val="00B95488"/>
    <w:rsid w:val="00B958EA"/>
    <w:rsid w:val="00BA19FC"/>
    <w:rsid w:val="00BA3935"/>
    <w:rsid w:val="00BA3B00"/>
    <w:rsid w:val="00BA4A56"/>
    <w:rsid w:val="00BA626D"/>
    <w:rsid w:val="00BA7268"/>
    <w:rsid w:val="00BA7535"/>
    <w:rsid w:val="00BB21A0"/>
    <w:rsid w:val="00BB4C6A"/>
    <w:rsid w:val="00BB6370"/>
    <w:rsid w:val="00BB6639"/>
    <w:rsid w:val="00BB6E62"/>
    <w:rsid w:val="00BB72B3"/>
    <w:rsid w:val="00BC1398"/>
    <w:rsid w:val="00BC2E43"/>
    <w:rsid w:val="00BC40EC"/>
    <w:rsid w:val="00BC6E7D"/>
    <w:rsid w:val="00BC7C65"/>
    <w:rsid w:val="00BD095B"/>
    <w:rsid w:val="00BD0F65"/>
    <w:rsid w:val="00BD204F"/>
    <w:rsid w:val="00BD6572"/>
    <w:rsid w:val="00BE04AE"/>
    <w:rsid w:val="00BE1E41"/>
    <w:rsid w:val="00BE2C23"/>
    <w:rsid w:val="00BE37FA"/>
    <w:rsid w:val="00BE498D"/>
    <w:rsid w:val="00BE6BC0"/>
    <w:rsid w:val="00BE7AA8"/>
    <w:rsid w:val="00BF1CFA"/>
    <w:rsid w:val="00BF41D6"/>
    <w:rsid w:val="00BF6D2A"/>
    <w:rsid w:val="00BF7355"/>
    <w:rsid w:val="00BF7B3F"/>
    <w:rsid w:val="00C01E66"/>
    <w:rsid w:val="00C0264F"/>
    <w:rsid w:val="00C03025"/>
    <w:rsid w:val="00C03CF5"/>
    <w:rsid w:val="00C072FF"/>
    <w:rsid w:val="00C11DDD"/>
    <w:rsid w:val="00C12945"/>
    <w:rsid w:val="00C16598"/>
    <w:rsid w:val="00C17229"/>
    <w:rsid w:val="00C17DA6"/>
    <w:rsid w:val="00C20CB4"/>
    <w:rsid w:val="00C2219E"/>
    <w:rsid w:val="00C25692"/>
    <w:rsid w:val="00C27D3A"/>
    <w:rsid w:val="00C30587"/>
    <w:rsid w:val="00C3192C"/>
    <w:rsid w:val="00C32765"/>
    <w:rsid w:val="00C3484A"/>
    <w:rsid w:val="00C357CB"/>
    <w:rsid w:val="00C35DF0"/>
    <w:rsid w:val="00C37074"/>
    <w:rsid w:val="00C40FDE"/>
    <w:rsid w:val="00C443CE"/>
    <w:rsid w:val="00C50892"/>
    <w:rsid w:val="00C519D8"/>
    <w:rsid w:val="00C53346"/>
    <w:rsid w:val="00C53922"/>
    <w:rsid w:val="00C5512A"/>
    <w:rsid w:val="00C5587D"/>
    <w:rsid w:val="00C57485"/>
    <w:rsid w:val="00C57EA9"/>
    <w:rsid w:val="00C61E37"/>
    <w:rsid w:val="00C62216"/>
    <w:rsid w:val="00C629CE"/>
    <w:rsid w:val="00C63F03"/>
    <w:rsid w:val="00C6574F"/>
    <w:rsid w:val="00C6594D"/>
    <w:rsid w:val="00C65C83"/>
    <w:rsid w:val="00C701C2"/>
    <w:rsid w:val="00C71AAE"/>
    <w:rsid w:val="00C72280"/>
    <w:rsid w:val="00C752F6"/>
    <w:rsid w:val="00C759B0"/>
    <w:rsid w:val="00C7664F"/>
    <w:rsid w:val="00C76B30"/>
    <w:rsid w:val="00C77C29"/>
    <w:rsid w:val="00C82424"/>
    <w:rsid w:val="00C84DCA"/>
    <w:rsid w:val="00C86658"/>
    <w:rsid w:val="00C9031A"/>
    <w:rsid w:val="00C90F4A"/>
    <w:rsid w:val="00C91355"/>
    <w:rsid w:val="00C92E35"/>
    <w:rsid w:val="00C9326D"/>
    <w:rsid w:val="00C94567"/>
    <w:rsid w:val="00C94DB4"/>
    <w:rsid w:val="00C94E82"/>
    <w:rsid w:val="00C95F58"/>
    <w:rsid w:val="00C96FAA"/>
    <w:rsid w:val="00CA491C"/>
    <w:rsid w:val="00CB0A77"/>
    <w:rsid w:val="00CB28E3"/>
    <w:rsid w:val="00CB2D9B"/>
    <w:rsid w:val="00CB3FB4"/>
    <w:rsid w:val="00CB4702"/>
    <w:rsid w:val="00CB58C4"/>
    <w:rsid w:val="00CB7271"/>
    <w:rsid w:val="00CC152D"/>
    <w:rsid w:val="00CC1695"/>
    <w:rsid w:val="00CC3830"/>
    <w:rsid w:val="00CC3982"/>
    <w:rsid w:val="00CC4F50"/>
    <w:rsid w:val="00CC5A0A"/>
    <w:rsid w:val="00CC5FE1"/>
    <w:rsid w:val="00CC611F"/>
    <w:rsid w:val="00CD1EA9"/>
    <w:rsid w:val="00CD30A5"/>
    <w:rsid w:val="00CD3C2F"/>
    <w:rsid w:val="00CD40F0"/>
    <w:rsid w:val="00CD51F0"/>
    <w:rsid w:val="00CD56A1"/>
    <w:rsid w:val="00CD56AC"/>
    <w:rsid w:val="00CD5E41"/>
    <w:rsid w:val="00CD684D"/>
    <w:rsid w:val="00CE161B"/>
    <w:rsid w:val="00CE42A2"/>
    <w:rsid w:val="00CE4918"/>
    <w:rsid w:val="00CE7533"/>
    <w:rsid w:val="00CE76B6"/>
    <w:rsid w:val="00CF0081"/>
    <w:rsid w:val="00CF186C"/>
    <w:rsid w:val="00CF2016"/>
    <w:rsid w:val="00CF23E3"/>
    <w:rsid w:val="00CF5205"/>
    <w:rsid w:val="00CF7BBA"/>
    <w:rsid w:val="00D01593"/>
    <w:rsid w:val="00D0217E"/>
    <w:rsid w:val="00D02A94"/>
    <w:rsid w:val="00D031ED"/>
    <w:rsid w:val="00D04451"/>
    <w:rsid w:val="00D10317"/>
    <w:rsid w:val="00D1129A"/>
    <w:rsid w:val="00D12788"/>
    <w:rsid w:val="00D153ED"/>
    <w:rsid w:val="00D16104"/>
    <w:rsid w:val="00D21C8D"/>
    <w:rsid w:val="00D22016"/>
    <w:rsid w:val="00D27797"/>
    <w:rsid w:val="00D30575"/>
    <w:rsid w:val="00D30FF0"/>
    <w:rsid w:val="00D31577"/>
    <w:rsid w:val="00D36FFE"/>
    <w:rsid w:val="00D376A9"/>
    <w:rsid w:val="00D37C4C"/>
    <w:rsid w:val="00D42CDE"/>
    <w:rsid w:val="00D43712"/>
    <w:rsid w:val="00D44303"/>
    <w:rsid w:val="00D44D51"/>
    <w:rsid w:val="00D45C76"/>
    <w:rsid w:val="00D47407"/>
    <w:rsid w:val="00D4766E"/>
    <w:rsid w:val="00D47DD7"/>
    <w:rsid w:val="00D53358"/>
    <w:rsid w:val="00D57BB9"/>
    <w:rsid w:val="00D60D81"/>
    <w:rsid w:val="00D61CA2"/>
    <w:rsid w:val="00D62E40"/>
    <w:rsid w:val="00D6424D"/>
    <w:rsid w:val="00D679D6"/>
    <w:rsid w:val="00D703E1"/>
    <w:rsid w:val="00D71E3B"/>
    <w:rsid w:val="00D72786"/>
    <w:rsid w:val="00D72B14"/>
    <w:rsid w:val="00D75253"/>
    <w:rsid w:val="00D75751"/>
    <w:rsid w:val="00D7720C"/>
    <w:rsid w:val="00D81582"/>
    <w:rsid w:val="00D816B3"/>
    <w:rsid w:val="00D8265D"/>
    <w:rsid w:val="00D8474C"/>
    <w:rsid w:val="00D84EF3"/>
    <w:rsid w:val="00D85379"/>
    <w:rsid w:val="00D85BBE"/>
    <w:rsid w:val="00D862C0"/>
    <w:rsid w:val="00D871DF"/>
    <w:rsid w:val="00D9341B"/>
    <w:rsid w:val="00D93958"/>
    <w:rsid w:val="00D94587"/>
    <w:rsid w:val="00D95090"/>
    <w:rsid w:val="00D96B14"/>
    <w:rsid w:val="00DA063F"/>
    <w:rsid w:val="00DA07B6"/>
    <w:rsid w:val="00DA21A2"/>
    <w:rsid w:val="00DA2791"/>
    <w:rsid w:val="00DA2D3A"/>
    <w:rsid w:val="00DB0274"/>
    <w:rsid w:val="00DB0C77"/>
    <w:rsid w:val="00DB3EAE"/>
    <w:rsid w:val="00DB40D3"/>
    <w:rsid w:val="00DB71C0"/>
    <w:rsid w:val="00DC181A"/>
    <w:rsid w:val="00DC4035"/>
    <w:rsid w:val="00DC4A2C"/>
    <w:rsid w:val="00DC4D1E"/>
    <w:rsid w:val="00DC5F5E"/>
    <w:rsid w:val="00DC698E"/>
    <w:rsid w:val="00DC775D"/>
    <w:rsid w:val="00DD0346"/>
    <w:rsid w:val="00DD09C5"/>
    <w:rsid w:val="00DD3028"/>
    <w:rsid w:val="00DD3E4A"/>
    <w:rsid w:val="00DD41D6"/>
    <w:rsid w:val="00DD45A5"/>
    <w:rsid w:val="00DD4861"/>
    <w:rsid w:val="00DD499D"/>
    <w:rsid w:val="00DD5717"/>
    <w:rsid w:val="00DD59F0"/>
    <w:rsid w:val="00DD7072"/>
    <w:rsid w:val="00DD779C"/>
    <w:rsid w:val="00DE0D92"/>
    <w:rsid w:val="00DE3B5E"/>
    <w:rsid w:val="00DE4C62"/>
    <w:rsid w:val="00DE5F26"/>
    <w:rsid w:val="00DF0125"/>
    <w:rsid w:val="00DF3BFA"/>
    <w:rsid w:val="00DF4722"/>
    <w:rsid w:val="00DF6D1E"/>
    <w:rsid w:val="00E01298"/>
    <w:rsid w:val="00E0353B"/>
    <w:rsid w:val="00E05547"/>
    <w:rsid w:val="00E0620D"/>
    <w:rsid w:val="00E0676F"/>
    <w:rsid w:val="00E07266"/>
    <w:rsid w:val="00E14897"/>
    <w:rsid w:val="00E14A1E"/>
    <w:rsid w:val="00E1635A"/>
    <w:rsid w:val="00E229C9"/>
    <w:rsid w:val="00E24486"/>
    <w:rsid w:val="00E249C6"/>
    <w:rsid w:val="00E25CD5"/>
    <w:rsid w:val="00E25E4E"/>
    <w:rsid w:val="00E25EE4"/>
    <w:rsid w:val="00E26E87"/>
    <w:rsid w:val="00E30272"/>
    <w:rsid w:val="00E3066C"/>
    <w:rsid w:val="00E317EE"/>
    <w:rsid w:val="00E328F9"/>
    <w:rsid w:val="00E34CDB"/>
    <w:rsid w:val="00E36999"/>
    <w:rsid w:val="00E403D6"/>
    <w:rsid w:val="00E404EF"/>
    <w:rsid w:val="00E4368B"/>
    <w:rsid w:val="00E436DD"/>
    <w:rsid w:val="00E43B40"/>
    <w:rsid w:val="00E4428D"/>
    <w:rsid w:val="00E45F08"/>
    <w:rsid w:val="00E46F07"/>
    <w:rsid w:val="00E47510"/>
    <w:rsid w:val="00E507FF"/>
    <w:rsid w:val="00E50BCE"/>
    <w:rsid w:val="00E52151"/>
    <w:rsid w:val="00E522F5"/>
    <w:rsid w:val="00E548B0"/>
    <w:rsid w:val="00E54A6C"/>
    <w:rsid w:val="00E55C31"/>
    <w:rsid w:val="00E565E0"/>
    <w:rsid w:val="00E56C70"/>
    <w:rsid w:val="00E622AC"/>
    <w:rsid w:val="00E62857"/>
    <w:rsid w:val="00E649D5"/>
    <w:rsid w:val="00E65072"/>
    <w:rsid w:val="00E72555"/>
    <w:rsid w:val="00E72E83"/>
    <w:rsid w:val="00E74831"/>
    <w:rsid w:val="00E80E1E"/>
    <w:rsid w:val="00E817A5"/>
    <w:rsid w:val="00E81C37"/>
    <w:rsid w:val="00E83181"/>
    <w:rsid w:val="00E85018"/>
    <w:rsid w:val="00E868AD"/>
    <w:rsid w:val="00E903DB"/>
    <w:rsid w:val="00E9084A"/>
    <w:rsid w:val="00E91C81"/>
    <w:rsid w:val="00E928E6"/>
    <w:rsid w:val="00E94AF8"/>
    <w:rsid w:val="00E95E94"/>
    <w:rsid w:val="00E97B47"/>
    <w:rsid w:val="00EA0BDF"/>
    <w:rsid w:val="00EA2482"/>
    <w:rsid w:val="00EA5B16"/>
    <w:rsid w:val="00EA6C3C"/>
    <w:rsid w:val="00EA7B62"/>
    <w:rsid w:val="00EA7EBF"/>
    <w:rsid w:val="00EB3187"/>
    <w:rsid w:val="00EB3404"/>
    <w:rsid w:val="00EB3735"/>
    <w:rsid w:val="00EB57E9"/>
    <w:rsid w:val="00EB6B18"/>
    <w:rsid w:val="00EC0046"/>
    <w:rsid w:val="00EC0EA0"/>
    <w:rsid w:val="00EC1799"/>
    <w:rsid w:val="00EC33A0"/>
    <w:rsid w:val="00EC36D8"/>
    <w:rsid w:val="00EC429C"/>
    <w:rsid w:val="00EC501C"/>
    <w:rsid w:val="00EC6A18"/>
    <w:rsid w:val="00EC7471"/>
    <w:rsid w:val="00ED0990"/>
    <w:rsid w:val="00ED0DDC"/>
    <w:rsid w:val="00ED4D9B"/>
    <w:rsid w:val="00ED7B39"/>
    <w:rsid w:val="00EE0282"/>
    <w:rsid w:val="00EE04C0"/>
    <w:rsid w:val="00EE14AF"/>
    <w:rsid w:val="00EE223A"/>
    <w:rsid w:val="00EE52F6"/>
    <w:rsid w:val="00EE551F"/>
    <w:rsid w:val="00EE5F2D"/>
    <w:rsid w:val="00EE6A57"/>
    <w:rsid w:val="00EF1B9A"/>
    <w:rsid w:val="00EF37B4"/>
    <w:rsid w:val="00EF4327"/>
    <w:rsid w:val="00EF5278"/>
    <w:rsid w:val="00EF6681"/>
    <w:rsid w:val="00F05279"/>
    <w:rsid w:val="00F0543B"/>
    <w:rsid w:val="00F06849"/>
    <w:rsid w:val="00F07A4E"/>
    <w:rsid w:val="00F10368"/>
    <w:rsid w:val="00F14585"/>
    <w:rsid w:val="00F1484C"/>
    <w:rsid w:val="00F1506D"/>
    <w:rsid w:val="00F16981"/>
    <w:rsid w:val="00F203B7"/>
    <w:rsid w:val="00F221C9"/>
    <w:rsid w:val="00F23AC1"/>
    <w:rsid w:val="00F256BA"/>
    <w:rsid w:val="00F26173"/>
    <w:rsid w:val="00F26EE6"/>
    <w:rsid w:val="00F30472"/>
    <w:rsid w:val="00F30EC2"/>
    <w:rsid w:val="00F338FA"/>
    <w:rsid w:val="00F37C01"/>
    <w:rsid w:val="00F4010C"/>
    <w:rsid w:val="00F439C5"/>
    <w:rsid w:val="00F46D69"/>
    <w:rsid w:val="00F50337"/>
    <w:rsid w:val="00F52808"/>
    <w:rsid w:val="00F6013B"/>
    <w:rsid w:val="00F608D0"/>
    <w:rsid w:val="00F61034"/>
    <w:rsid w:val="00F62119"/>
    <w:rsid w:val="00F62A62"/>
    <w:rsid w:val="00F67FD9"/>
    <w:rsid w:val="00F70A4C"/>
    <w:rsid w:val="00F7111A"/>
    <w:rsid w:val="00F71D68"/>
    <w:rsid w:val="00F721BC"/>
    <w:rsid w:val="00F7287B"/>
    <w:rsid w:val="00F739BC"/>
    <w:rsid w:val="00F77F86"/>
    <w:rsid w:val="00F81C7F"/>
    <w:rsid w:val="00F821DD"/>
    <w:rsid w:val="00F82B72"/>
    <w:rsid w:val="00F83AF8"/>
    <w:rsid w:val="00F92896"/>
    <w:rsid w:val="00F938F7"/>
    <w:rsid w:val="00F945F9"/>
    <w:rsid w:val="00F96ED9"/>
    <w:rsid w:val="00F97AC0"/>
    <w:rsid w:val="00F97DF6"/>
    <w:rsid w:val="00FA1440"/>
    <w:rsid w:val="00FA1971"/>
    <w:rsid w:val="00FA2028"/>
    <w:rsid w:val="00FA3146"/>
    <w:rsid w:val="00FA571A"/>
    <w:rsid w:val="00FA661E"/>
    <w:rsid w:val="00FA7A2A"/>
    <w:rsid w:val="00FB0F2B"/>
    <w:rsid w:val="00FB13D5"/>
    <w:rsid w:val="00FB247C"/>
    <w:rsid w:val="00FB27DE"/>
    <w:rsid w:val="00FB2893"/>
    <w:rsid w:val="00FB6D56"/>
    <w:rsid w:val="00FB73E1"/>
    <w:rsid w:val="00FC6209"/>
    <w:rsid w:val="00FD14D9"/>
    <w:rsid w:val="00FD1C32"/>
    <w:rsid w:val="00FD1F41"/>
    <w:rsid w:val="00FD393B"/>
    <w:rsid w:val="00FD7A9F"/>
    <w:rsid w:val="00FE008F"/>
    <w:rsid w:val="00FE409E"/>
    <w:rsid w:val="00FE6B15"/>
    <w:rsid w:val="00FE7ACA"/>
    <w:rsid w:val="00FF047A"/>
    <w:rsid w:val="00FF159F"/>
    <w:rsid w:val="00FF1722"/>
    <w:rsid w:val="00FF2FDF"/>
    <w:rsid w:val="00FF3065"/>
    <w:rsid w:val="00FF4FC2"/>
    <w:rsid w:val="017736D9"/>
    <w:rsid w:val="01C246FA"/>
    <w:rsid w:val="02117CB9"/>
    <w:rsid w:val="02E3F540"/>
    <w:rsid w:val="03997BC4"/>
    <w:rsid w:val="046D52DF"/>
    <w:rsid w:val="05F21ECF"/>
    <w:rsid w:val="06421726"/>
    <w:rsid w:val="06EDF3E4"/>
    <w:rsid w:val="06FEAC18"/>
    <w:rsid w:val="06FF0C06"/>
    <w:rsid w:val="075877EC"/>
    <w:rsid w:val="07D7299E"/>
    <w:rsid w:val="07DB04F6"/>
    <w:rsid w:val="07DDA47F"/>
    <w:rsid w:val="08024D58"/>
    <w:rsid w:val="08336C6F"/>
    <w:rsid w:val="08DB44D9"/>
    <w:rsid w:val="08F44099"/>
    <w:rsid w:val="09223360"/>
    <w:rsid w:val="09252AC9"/>
    <w:rsid w:val="096472D2"/>
    <w:rsid w:val="09F6CD2F"/>
    <w:rsid w:val="0A383345"/>
    <w:rsid w:val="0AED0F28"/>
    <w:rsid w:val="0AFFC6B4"/>
    <w:rsid w:val="0B1D314E"/>
    <w:rsid w:val="0B805DE6"/>
    <w:rsid w:val="0BC79DF5"/>
    <w:rsid w:val="0BCD28FA"/>
    <w:rsid w:val="0BDF53FD"/>
    <w:rsid w:val="0C1B11D7"/>
    <w:rsid w:val="0C1E1CFA"/>
    <w:rsid w:val="0D1FEA35"/>
    <w:rsid w:val="0DA633D5"/>
    <w:rsid w:val="0DBAA269"/>
    <w:rsid w:val="0DDD401A"/>
    <w:rsid w:val="0DFEF9ED"/>
    <w:rsid w:val="0E081FAE"/>
    <w:rsid w:val="0EBE7B44"/>
    <w:rsid w:val="0EDA7414"/>
    <w:rsid w:val="0EEF944D"/>
    <w:rsid w:val="0EFAF1E5"/>
    <w:rsid w:val="0EFF2D2D"/>
    <w:rsid w:val="0F2E4682"/>
    <w:rsid w:val="0F5642AC"/>
    <w:rsid w:val="0F670298"/>
    <w:rsid w:val="0F7F7974"/>
    <w:rsid w:val="0F7FBDEB"/>
    <w:rsid w:val="0F97CCCE"/>
    <w:rsid w:val="0FE101C0"/>
    <w:rsid w:val="0FEF02E7"/>
    <w:rsid w:val="0FFAC0DE"/>
    <w:rsid w:val="0FFB3F5D"/>
    <w:rsid w:val="10D564EB"/>
    <w:rsid w:val="11363960"/>
    <w:rsid w:val="118F7B16"/>
    <w:rsid w:val="11EB7CEC"/>
    <w:rsid w:val="12E90EAC"/>
    <w:rsid w:val="13F5C2BC"/>
    <w:rsid w:val="14011999"/>
    <w:rsid w:val="14410E29"/>
    <w:rsid w:val="15B63841"/>
    <w:rsid w:val="15EFFF6E"/>
    <w:rsid w:val="15FD8FD2"/>
    <w:rsid w:val="1615752E"/>
    <w:rsid w:val="16207A2F"/>
    <w:rsid w:val="16374940"/>
    <w:rsid w:val="16945169"/>
    <w:rsid w:val="169DDD62"/>
    <w:rsid w:val="16B17CD3"/>
    <w:rsid w:val="16B4578F"/>
    <w:rsid w:val="16BD512A"/>
    <w:rsid w:val="16E3E326"/>
    <w:rsid w:val="175F0E71"/>
    <w:rsid w:val="1767AC33"/>
    <w:rsid w:val="177BF977"/>
    <w:rsid w:val="178B4653"/>
    <w:rsid w:val="17CC43EB"/>
    <w:rsid w:val="17EF4E18"/>
    <w:rsid w:val="17F78264"/>
    <w:rsid w:val="17FAF0DB"/>
    <w:rsid w:val="17FBD4AA"/>
    <w:rsid w:val="17FF2FF7"/>
    <w:rsid w:val="185F664A"/>
    <w:rsid w:val="188A2E16"/>
    <w:rsid w:val="18B25E29"/>
    <w:rsid w:val="18D0407D"/>
    <w:rsid w:val="18DE61BC"/>
    <w:rsid w:val="193C25F9"/>
    <w:rsid w:val="19967D06"/>
    <w:rsid w:val="19A761D7"/>
    <w:rsid w:val="19B56D66"/>
    <w:rsid w:val="19FF7CDF"/>
    <w:rsid w:val="1A2B46B9"/>
    <w:rsid w:val="1AAFEF27"/>
    <w:rsid w:val="1AE2018F"/>
    <w:rsid w:val="1AED5B25"/>
    <w:rsid w:val="1AFDE689"/>
    <w:rsid w:val="1B50668D"/>
    <w:rsid w:val="1B7E702A"/>
    <w:rsid w:val="1B94355B"/>
    <w:rsid w:val="1BA304ED"/>
    <w:rsid w:val="1BDF6FCA"/>
    <w:rsid w:val="1BDF7647"/>
    <w:rsid w:val="1BEF0C43"/>
    <w:rsid w:val="1BF58A87"/>
    <w:rsid w:val="1BF94BF8"/>
    <w:rsid w:val="1BFC6E04"/>
    <w:rsid w:val="1C240915"/>
    <w:rsid w:val="1C570DB6"/>
    <w:rsid w:val="1CDE9A96"/>
    <w:rsid w:val="1D3A8D98"/>
    <w:rsid w:val="1D9DD920"/>
    <w:rsid w:val="1DA81AC6"/>
    <w:rsid w:val="1DB6215C"/>
    <w:rsid w:val="1DC771A8"/>
    <w:rsid w:val="1DCDCFB6"/>
    <w:rsid w:val="1DD3107C"/>
    <w:rsid w:val="1DD77C1E"/>
    <w:rsid w:val="1DF3F179"/>
    <w:rsid w:val="1DFE2B61"/>
    <w:rsid w:val="1DFFC4B3"/>
    <w:rsid w:val="1E1F7739"/>
    <w:rsid w:val="1E5A6F71"/>
    <w:rsid w:val="1E5F2832"/>
    <w:rsid w:val="1ED26C29"/>
    <w:rsid w:val="1EF6BE66"/>
    <w:rsid w:val="1EFD4D6D"/>
    <w:rsid w:val="1EFF144B"/>
    <w:rsid w:val="1F0B40DD"/>
    <w:rsid w:val="1F0F5265"/>
    <w:rsid w:val="1F1B31B3"/>
    <w:rsid w:val="1F3F5276"/>
    <w:rsid w:val="1F3F9FAB"/>
    <w:rsid w:val="1F4C419C"/>
    <w:rsid w:val="1F4F89A2"/>
    <w:rsid w:val="1F4FCD7E"/>
    <w:rsid w:val="1F5FFAFA"/>
    <w:rsid w:val="1F667D6C"/>
    <w:rsid w:val="1F7918C0"/>
    <w:rsid w:val="1F7E2AE3"/>
    <w:rsid w:val="1F8BCACC"/>
    <w:rsid w:val="1F9C3B26"/>
    <w:rsid w:val="1FA5F86A"/>
    <w:rsid w:val="1FAFA594"/>
    <w:rsid w:val="1FB95B96"/>
    <w:rsid w:val="1FCF2F7B"/>
    <w:rsid w:val="1FD5203C"/>
    <w:rsid w:val="1FEFBBBA"/>
    <w:rsid w:val="1FF3E7B0"/>
    <w:rsid w:val="1FF67CA3"/>
    <w:rsid w:val="1FF90A40"/>
    <w:rsid w:val="1FFD09A0"/>
    <w:rsid w:val="1FFEAB52"/>
    <w:rsid w:val="1FFFF576"/>
    <w:rsid w:val="20637406"/>
    <w:rsid w:val="20D97071"/>
    <w:rsid w:val="20FA14E9"/>
    <w:rsid w:val="21756262"/>
    <w:rsid w:val="21C8543A"/>
    <w:rsid w:val="221B6ECC"/>
    <w:rsid w:val="229E27C4"/>
    <w:rsid w:val="22EBD40A"/>
    <w:rsid w:val="22FB5119"/>
    <w:rsid w:val="235DA180"/>
    <w:rsid w:val="23946855"/>
    <w:rsid w:val="23B594B7"/>
    <w:rsid w:val="23F12EA7"/>
    <w:rsid w:val="24BE1DB2"/>
    <w:rsid w:val="24DE745D"/>
    <w:rsid w:val="24E14829"/>
    <w:rsid w:val="24FF4C5C"/>
    <w:rsid w:val="257AD0B4"/>
    <w:rsid w:val="25B77AE9"/>
    <w:rsid w:val="25D03F49"/>
    <w:rsid w:val="25E34245"/>
    <w:rsid w:val="25F90318"/>
    <w:rsid w:val="267443A4"/>
    <w:rsid w:val="26921541"/>
    <w:rsid w:val="26DC2AE7"/>
    <w:rsid w:val="26FB0DFA"/>
    <w:rsid w:val="26FBE553"/>
    <w:rsid w:val="26FFCA38"/>
    <w:rsid w:val="277DE55A"/>
    <w:rsid w:val="27992FD3"/>
    <w:rsid w:val="27D74ED0"/>
    <w:rsid w:val="27EBC1B3"/>
    <w:rsid w:val="27F7B51F"/>
    <w:rsid w:val="27FD02B4"/>
    <w:rsid w:val="27FEBF82"/>
    <w:rsid w:val="285551BD"/>
    <w:rsid w:val="293E69ED"/>
    <w:rsid w:val="2956EB92"/>
    <w:rsid w:val="29AFCDE1"/>
    <w:rsid w:val="29B76518"/>
    <w:rsid w:val="29BDF740"/>
    <w:rsid w:val="29DF9528"/>
    <w:rsid w:val="2A74969E"/>
    <w:rsid w:val="2A97D835"/>
    <w:rsid w:val="2AB4EA7C"/>
    <w:rsid w:val="2AD621A1"/>
    <w:rsid w:val="2ADCBCCA"/>
    <w:rsid w:val="2ADF8A48"/>
    <w:rsid w:val="2AFFDE8C"/>
    <w:rsid w:val="2B5F14BD"/>
    <w:rsid w:val="2B8F26BE"/>
    <w:rsid w:val="2BA0A922"/>
    <w:rsid w:val="2BBEB9A0"/>
    <w:rsid w:val="2BCA713B"/>
    <w:rsid w:val="2BDF164D"/>
    <w:rsid w:val="2BEF6E7F"/>
    <w:rsid w:val="2BFF1F9E"/>
    <w:rsid w:val="2BFF9612"/>
    <w:rsid w:val="2BFFEA68"/>
    <w:rsid w:val="2C877B9F"/>
    <w:rsid w:val="2CF06912"/>
    <w:rsid w:val="2CF32A3A"/>
    <w:rsid w:val="2D3A6BE8"/>
    <w:rsid w:val="2D604337"/>
    <w:rsid w:val="2D679DA3"/>
    <w:rsid w:val="2D7F807A"/>
    <w:rsid w:val="2D977C66"/>
    <w:rsid w:val="2DA69790"/>
    <w:rsid w:val="2DA7A0E6"/>
    <w:rsid w:val="2DB60A89"/>
    <w:rsid w:val="2DBF0EDD"/>
    <w:rsid w:val="2DDE0802"/>
    <w:rsid w:val="2DFC4BD3"/>
    <w:rsid w:val="2DFF3116"/>
    <w:rsid w:val="2DFF9BED"/>
    <w:rsid w:val="2E17108A"/>
    <w:rsid w:val="2E5EE746"/>
    <w:rsid w:val="2E7D4017"/>
    <w:rsid w:val="2E8FB146"/>
    <w:rsid w:val="2E9D66EC"/>
    <w:rsid w:val="2EBBA91C"/>
    <w:rsid w:val="2EBFCB63"/>
    <w:rsid w:val="2EDFEA03"/>
    <w:rsid w:val="2EF529EC"/>
    <w:rsid w:val="2EF6D752"/>
    <w:rsid w:val="2EFBA7A9"/>
    <w:rsid w:val="2F3C7BC6"/>
    <w:rsid w:val="2F3D3BB0"/>
    <w:rsid w:val="2F3F1B98"/>
    <w:rsid w:val="2F548329"/>
    <w:rsid w:val="2F7AFBAA"/>
    <w:rsid w:val="2F7F0102"/>
    <w:rsid w:val="2F7FE31C"/>
    <w:rsid w:val="2FBFE0DA"/>
    <w:rsid w:val="2FD6A55E"/>
    <w:rsid w:val="2FDB5A35"/>
    <w:rsid w:val="2FDD1712"/>
    <w:rsid w:val="2FDE65AF"/>
    <w:rsid w:val="2FDF7543"/>
    <w:rsid w:val="2FED2110"/>
    <w:rsid w:val="2FEDBE57"/>
    <w:rsid w:val="2FEFA167"/>
    <w:rsid w:val="2FF280F5"/>
    <w:rsid w:val="2FF44127"/>
    <w:rsid w:val="2FF602AE"/>
    <w:rsid w:val="2FF7778F"/>
    <w:rsid w:val="2FF788E2"/>
    <w:rsid w:val="2FF7D1C3"/>
    <w:rsid w:val="2FFC0590"/>
    <w:rsid w:val="2FFD0BD5"/>
    <w:rsid w:val="2FFD5539"/>
    <w:rsid w:val="2FFDE35D"/>
    <w:rsid w:val="2FFE6513"/>
    <w:rsid w:val="2FFEB6A1"/>
    <w:rsid w:val="2FFFE986"/>
    <w:rsid w:val="30320A05"/>
    <w:rsid w:val="30B46CC8"/>
    <w:rsid w:val="31C92CFE"/>
    <w:rsid w:val="31D81183"/>
    <w:rsid w:val="31DD3BA4"/>
    <w:rsid w:val="31DFC092"/>
    <w:rsid w:val="31E67093"/>
    <w:rsid w:val="31FB88A6"/>
    <w:rsid w:val="326420E6"/>
    <w:rsid w:val="3273513E"/>
    <w:rsid w:val="327665DF"/>
    <w:rsid w:val="32892EED"/>
    <w:rsid w:val="32CFA366"/>
    <w:rsid w:val="32E809BE"/>
    <w:rsid w:val="334E46FE"/>
    <w:rsid w:val="335D6285"/>
    <w:rsid w:val="337F8E96"/>
    <w:rsid w:val="3397ED5A"/>
    <w:rsid w:val="33CF4C9C"/>
    <w:rsid w:val="33DDF56A"/>
    <w:rsid w:val="33EE7C03"/>
    <w:rsid w:val="33FF3124"/>
    <w:rsid w:val="33FF80EC"/>
    <w:rsid w:val="340A2391"/>
    <w:rsid w:val="343A78D5"/>
    <w:rsid w:val="34547803"/>
    <w:rsid w:val="345D77FF"/>
    <w:rsid w:val="34625A0E"/>
    <w:rsid w:val="347D29A6"/>
    <w:rsid w:val="349C3739"/>
    <w:rsid w:val="34FF29D1"/>
    <w:rsid w:val="35779D34"/>
    <w:rsid w:val="359F5FBA"/>
    <w:rsid w:val="35BF23DE"/>
    <w:rsid w:val="35C7C60A"/>
    <w:rsid w:val="35CE7B91"/>
    <w:rsid w:val="35DA146F"/>
    <w:rsid w:val="35DFDCDB"/>
    <w:rsid w:val="35FF077B"/>
    <w:rsid w:val="35FF44F7"/>
    <w:rsid w:val="361E1DC6"/>
    <w:rsid w:val="363E658C"/>
    <w:rsid w:val="363FCB37"/>
    <w:rsid w:val="3678B2F7"/>
    <w:rsid w:val="367CA55E"/>
    <w:rsid w:val="367F5ABD"/>
    <w:rsid w:val="367FC1CD"/>
    <w:rsid w:val="36B00BEF"/>
    <w:rsid w:val="36BE3D70"/>
    <w:rsid w:val="36DE787D"/>
    <w:rsid w:val="36DFB0B8"/>
    <w:rsid w:val="36E4B812"/>
    <w:rsid w:val="36FB8C89"/>
    <w:rsid w:val="36FBB546"/>
    <w:rsid w:val="36FDF438"/>
    <w:rsid w:val="36FFFF13"/>
    <w:rsid w:val="37661D07"/>
    <w:rsid w:val="377A9AD9"/>
    <w:rsid w:val="377FAABD"/>
    <w:rsid w:val="377FD3EE"/>
    <w:rsid w:val="379FDBCF"/>
    <w:rsid w:val="37B70035"/>
    <w:rsid w:val="37BA592A"/>
    <w:rsid w:val="37BDD6FE"/>
    <w:rsid w:val="37BEF91E"/>
    <w:rsid w:val="37BF6313"/>
    <w:rsid w:val="37DE1FD1"/>
    <w:rsid w:val="37F5A360"/>
    <w:rsid w:val="37F67433"/>
    <w:rsid w:val="37F74231"/>
    <w:rsid w:val="37FB0AD0"/>
    <w:rsid w:val="37FBDC72"/>
    <w:rsid w:val="37FBEC31"/>
    <w:rsid w:val="37FD75B5"/>
    <w:rsid w:val="37FEA8C0"/>
    <w:rsid w:val="37FF0CDD"/>
    <w:rsid w:val="37FF3F5D"/>
    <w:rsid w:val="37FF9234"/>
    <w:rsid w:val="37FFB3A1"/>
    <w:rsid w:val="386F7867"/>
    <w:rsid w:val="387B6F6C"/>
    <w:rsid w:val="387EBBE2"/>
    <w:rsid w:val="393FBD89"/>
    <w:rsid w:val="395BB449"/>
    <w:rsid w:val="39792983"/>
    <w:rsid w:val="397E79DF"/>
    <w:rsid w:val="399269CF"/>
    <w:rsid w:val="39D7AA4C"/>
    <w:rsid w:val="39DA7747"/>
    <w:rsid w:val="39DFEBF2"/>
    <w:rsid w:val="39FCCC7B"/>
    <w:rsid w:val="39FD4AE6"/>
    <w:rsid w:val="39FECC5E"/>
    <w:rsid w:val="39FF539C"/>
    <w:rsid w:val="39FFD8F6"/>
    <w:rsid w:val="3A7B1596"/>
    <w:rsid w:val="3A8160F2"/>
    <w:rsid w:val="3AA5C7AE"/>
    <w:rsid w:val="3AAF1126"/>
    <w:rsid w:val="3AE7AE1A"/>
    <w:rsid w:val="3AEC7C8B"/>
    <w:rsid w:val="3AF7B624"/>
    <w:rsid w:val="3AFB3166"/>
    <w:rsid w:val="3AFD061C"/>
    <w:rsid w:val="3AFEFA0E"/>
    <w:rsid w:val="3AFF2EE1"/>
    <w:rsid w:val="3B133134"/>
    <w:rsid w:val="3B1FACE4"/>
    <w:rsid w:val="3B3E9E51"/>
    <w:rsid w:val="3B5B01CA"/>
    <w:rsid w:val="3B5FE7E3"/>
    <w:rsid w:val="3B6DCF47"/>
    <w:rsid w:val="3B6EAB42"/>
    <w:rsid w:val="3B77063E"/>
    <w:rsid w:val="3B7E5373"/>
    <w:rsid w:val="3B7E9FC8"/>
    <w:rsid w:val="3B7F1E3A"/>
    <w:rsid w:val="3B85547E"/>
    <w:rsid w:val="3BAAE3DF"/>
    <w:rsid w:val="3BB345D2"/>
    <w:rsid w:val="3BBE425A"/>
    <w:rsid w:val="3BBFC041"/>
    <w:rsid w:val="3BC39ECE"/>
    <w:rsid w:val="3BD6E7B4"/>
    <w:rsid w:val="3BEE1314"/>
    <w:rsid w:val="3BFA91CC"/>
    <w:rsid w:val="3BFB2E6E"/>
    <w:rsid w:val="3BFB8678"/>
    <w:rsid w:val="3BFE0A11"/>
    <w:rsid w:val="3BFEED7A"/>
    <w:rsid w:val="3BFF7248"/>
    <w:rsid w:val="3BFFC1D6"/>
    <w:rsid w:val="3C0D4CC2"/>
    <w:rsid w:val="3C4AFC28"/>
    <w:rsid w:val="3C6F75C4"/>
    <w:rsid w:val="3C76E8B7"/>
    <w:rsid w:val="3C7B7A63"/>
    <w:rsid w:val="3C7F09F2"/>
    <w:rsid w:val="3C8323CA"/>
    <w:rsid w:val="3C840053"/>
    <w:rsid w:val="3CBF3795"/>
    <w:rsid w:val="3CBFC16B"/>
    <w:rsid w:val="3CBFE7FE"/>
    <w:rsid w:val="3CE71298"/>
    <w:rsid w:val="3CE768DE"/>
    <w:rsid w:val="3CF635E3"/>
    <w:rsid w:val="3CF7E37B"/>
    <w:rsid w:val="3CFAF7DE"/>
    <w:rsid w:val="3CFC26DF"/>
    <w:rsid w:val="3CFD857B"/>
    <w:rsid w:val="3D2F01CE"/>
    <w:rsid w:val="3D2FEAD1"/>
    <w:rsid w:val="3D4FBFF0"/>
    <w:rsid w:val="3D5D3F1C"/>
    <w:rsid w:val="3D5F5593"/>
    <w:rsid w:val="3D777593"/>
    <w:rsid w:val="3D7BB1D4"/>
    <w:rsid w:val="3D7C2E2E"/>
    <w:rsid w:val="3D7F86BC"/>
    <w:rsid w:val="3D937EEE"/>
    <w:rsid w:val="3D968F20"/>
    <w:rsid w:val="3D9FDF02"/>
    <w:rsid w:val="3DB7813B"/>
    <w:rsid w:val="3DBD9BFA"/>
    <w:rsid w:val="3DC7B5E4"/>
    <w:rsid w:val="3DD52334"/>
    <w:rsid w:val="3DDA0DA5"/>
    <w:rsid w:val="3DDA7175"/>
    <w:rsid w:val="3DDF47BD"/>
    <w:rsid w:val="3DE5EAF2"/>
    <w:rsid w:val="3DEBC90E"/>
    <w:rsid w:val="3DED5C62"/>
    <w:rsid w:val="3DEF1242"/>
    <w:rsid w:val="3DF39901"/>
    <w:rsid w:val="3DF7D9C2"/>
    <w:rsid w:val="3DF9385E"/>
    <w:rsid w:val="3DFB30FB"/>
    <w:rsid w:val="3DFBB850"/>
    <w:rsid w:val="3DFD97BD"/>
    <w:rsid w:val="3DFDB308"/>
    <w:rsid w:val="3DFE91A0"/>
    <w:rsid w:val="3DFFE7BB"/>
    <w:rsid w:val="3E066C70"/>
    <w:rsid w:val="3E37B6AA"/>
    <w:rsid w:val="3E4DC7A4"/>
    <w:rsid w:val="3E5DCE3F"/>
    <w:rsid w:val="3E5FD14F"/>
    <w:rsid w:val="3E5FD9C7"/>
    <w:rsid w:val="3E6B2559"/>
    <w:rsid w:val="3E7A529C"/>
    <w:rsid w:val="3E7DE8FA"/>
    <w:rsid w:val="3E7E483B"/>
    <w:rsid w:val="3E7F2D2D"/>
    <w:rsid w:val="3E7F7B49"/>
    <w:rsid w:val="3E7F8F34"/>
    <w:rsid w:val="3E7FEC1C"/>
    <w:rsid w:val="3E8522D2"/>
    <w:rsid w:val="3E9B6609"/>
    <w:rsid w:val="3E9D96FC"/>
    <w:rsid w:val="3EA57931"/>
    <w:rsid w:val="3EB5CB22"/>
    <w:rsid w:val="3EBBB332"/>
    <w:rsid w:val="3EBD1091"/>
    <w:rsid w:val="3EBDE194"/>
    <w:rsid w:val="3EBF059E"/>
    <w:rsid w:val="3ED7346B"/>
    <w:rsid w:val="3EDEC65A"/>
    <w:rsid w:val="3EDF589E"/>
    <w:rsid w:val="3EEBAA2B"/>
    <w:rsid w:val="3EED9181"/>
    <w:rsid w:val="3EF376EB"/>
    <w:rsid w:val="3EF75512"/>
    <w:rsid w:val="3EF75558"/>
    <w:rsid w:val="3EFC4D17"/>
    <w:rsid w:val="3EFDB34D"/>
    <w:rsid w:val="3EFFD308"/>
    <w:rsid w:val="3EFFD78D"/>
    <w:rsid w:val="3F366F2D"/>
    <w:rsid w:val="3F3F7DD2"/>
    <w:rsid w:val="3F3FDAD3"/>
    <w:rsid w:val="3F52B63A"/>
    <w:rsid w:val="3F5AEB2F"/>
    <w:rsid w:val="3F5E5493"/>
    <w:rsid w:val="3F5F9528"/>
    <w:rsid w:val="3F65C3C1"/>
    <w:rsid w:val="3F6BE828"/>
    <w:rsid w:val="3F6C034D"/>
    <w:rsid w:val="3F6EDAD0"/>
    <w:rsid w:val="3F6F226E"/>
    <w:rsid w:val="3F6FB724"/>
    <w:rsid w:val="3F770078"/>
    <w:rsid w:val="3F79673E"/>
    <w:rsid w:val="3F7B3F12"/>
    <w:rsid w:val="3F7D82C7"/>
    <w:rsid w:val="3F7EFE2C"/>
    <w:rsid w:val="3F7F261B"/>
    <w:rsid w:val="3F7F4365"/>
    <w:rsid w:val="3F7F7B1E"/>
    <w:rsid w:val="3F7FBA34"/>
    <w:rsid w:val="3F9F7047"/>
    <w:rsid w:val="3FA7EB4F"/>
    <w:rsid w:val="3FAAB2CA"/>
    <w:rsid w:val="3FADB10E"/>
    <w:rsid w:val="3FAF4CFA"/>
    <w:rsid w:val="3FB51DEA"/>
    <w:rsid w:val="3FB5756A"/>
    <w:rsid w:val="3FB58D36"/>
    <w:rsid w:val="3FB6429C"/>
    <w:rsid w:val="3FB7DA76"/>
    <w:rsid w:val="3FBB5717"/>
    <w:rsid w:val="3FBC5544"/>
    <w:rsid w:val="3FBD7EA9"/>
    <w:rsid w:val="3FBE0269"/>
    <w:rsid w:val="3FBF2AD1"/>
    <w:rsid w:val="3FBF7441"/>
    <w:rsid w:val="3FBF7B06"/>
    <w:rsid w:val="3FBF7C1B"/>
    <w:rsid w:val="3FBFE441"/>
    <w:rsid w:val="3FBFEC58"/>
    <w:rsid w:val="3FC3144E"/>
    <w:rsid w:val="3FCB4FD9"/>
    <w:rsid w:val="3FCFBAEA"/>
    <w:rsid w:val="3FD27F72"/>
    <w:rsid w:val="3FD5BD31"/>
    <w:rsid w:val="3FD77C85"/>
    <w:rsid w:val="3FDB5EAE"/>
    <w:rsid w:val="3FDCB89C"/>
    <w:rsid w:val="3FDFC3FE"/>
    <w:rsid w:val="3FE53AC5"/>
    <w:rsid w:val="3FE544BF"/>
    <w:rsid w:val="3FE71FA1"/>
    <w:rsid w:val="3FE7372D"/>
    <w:rsid w:val="3FEACFDA"/>
    <w:rsid w:val="3FED6384"/>
    <w:rsid w:val="3FEF1ADD"/>
    <w:rsid w:val="3FEF4D74"/>
    <w:rsid w:val="3FEFAF05"/>
    <w:rsid w:val="3FEFD326"/>
    <w:rsid w:val="3FEFD58D"/>
    <w:rsid w:val="3FEFF909"/>
    <w:rsid w:val="3FF67877"/>
    <w:rsid w:val="3FF8E132"/>
    <w:rsid w:val="3FF9E80F"/>
    <w:rsid w:val="3FFB149E"/>
    <w:rsid w:val="3FFB31F3"/>
    <w:rsid w:val="3FFB38EB"/>
    <w:rsid w:val="3FFB80ED"/>
    <w:rsid w:val="3FFDC334"/>
    <w:rsid w:val="3FFDCF53"/>
    <w:rsid w:val="3FFE7386"/>
    <w:rsid w:val="3FFE816B"/>
    <w:rsid w:val="3FFEF645"/>
    <w:rsid w:val="3FFF195F"/>
    <w:rsid w:val="3FFF1C70"/>
    <w:rsid w:val="3FFF930A"/>
    <w:rsid w:val="3FFF986C"/>
    <w:rsid w:val="3FFFF572"/>
    <w:rsid w:val="3FFFF71E"/>
    <w:rsid w:val="403813A0"/>
    <w:rsid w:val="40C8079D"/>
    <w:rsid w:val="40D55E9A"/>
    <w:rsid w:val="411D5066"/>
    <w:rsid w:val="42044CE1"/>
    <w:rsid w:val="426F9D44"/>
    <w:rsid w:val="42B25050"/>
    <w:rsid w:val="43001D49"/>
    <w:rsid w:val="43D40EE7"/>
    <w:rsid w:val="43D575BF"/>
    <w:rsid w:val="43FA6D48"/>
    <w:rsid w:val="43FF0A1B"/>
    <w:rsid w:val="44A91516"/>
    <w:rsid w:val="44E7E791"/>
    <w:rsid w:val="46382C50"/>
    <w:rsid w:val="46710E11"/>
    <w:rsid w:val="467C1011"/>
    <w:rsid w:val="4683F1EE"/>
    <w:rsid w:val="46DF2760"/>
    <w:rsid w:val="472B7EAE"/>
    <w:rsid w:val="4776CF83"/>
    <w:rsid w:val="47831D87"/>
    <w:rsid w:val="47C83D41"/>
    <w:rsid w:val="47EFD40E"/>
    <w:rsid w:val="47FAE5EB"/>
    <w:rsid w:val="47FE7363"/>
    <w:rsid w:val="48347D4D"/>
    <w:rsid w:val="48541831"/>
    <w:rsid w:val="4879F1CB"/>
    <w:rsid w:val="48A24737"/>
    <w:rsid w:val="48B643CF"/>
    <w:rsid w:val="493D423D"/>
    <w:rsid w:val="497D1A27"/>
    <w:rsid w:val="497FE5B4"/>
    <w:rsid w:val="49A030E6"/>
    <w:rsid w:val="49BBB6AF"/>
    <w:rsid w:val="49C53A37"/>
    <w:rsid w:val="49F76CCC"/>
    <w:rsid w:val="49FE2524"/>
    <w:rsid w:val="49FFAA18"/>
    <w:rsid w:val="4AFB79B4"/>
    <w:rsid w:val="4AFFC00A"/>
    <w:rsid w:val="4B2DE639"/>
    <w:rsid w:val="4B2E1EE9"/>
    <w:rsid w:val="4B77B954"/>
    <w:rsid w:val="4B7B37E1"/>
    <w:rsid w:val="4B7F0741"/>
    <w:rsid w:val="4B853495"/>
    <w:rsid w:val="4B9EE9B4"/>
    <w:rsid w:val="4BB39F93"/>
    <w:rsid w:val="4BEBF50A"/>
    <w:rsid w:val="4BF5422B"/>
    <w:rsid w:val="4BF8B234"/>
    <w:rsid w:val="4BF92AA4"/>
    <w:rsid w:val="4BFE2917"/>
    <w:rsid w:val="4C2D49BF"/>
    <w:rsid w:val="4CEF4C44"/>
    <w:rsid w:val="4CF97CB9"/>
    <w:rsid w:val="4CFF6295"/>
    <w:rsid w:val="4D576D35"/>
    <w:rsid w:val="4D772E61"/>
    <w:rsid w:val="4D7F704A"/>
    <w:rsid w:val="4DA03DDE"/>
    <w:rsid w:val="4DBB51DC"/>
    <w:rsid w:val="4DBD9419"/>
    <w:rsid w:val="4DC53A78"/>
    <w:rsid w:val="4E2D7158"/>
    <w:rsid w:val="4E764AA5"/>
    <w:rsid w:val="4E7F7661"/>
    <w:rsid w:val="4E9D76AB"/>
    <w:rsid w:val="4EBACC8D"/>
    <w:rsid w:val="4EBF3FB2"/>
    <w:rsid w:val="4ED7E814"/>
    <w:rsid w:val="4EE6C2F1"/>
    <w:rsid w:val="4EEFFF0A"/>
    <w:rsid w:val="4EF0AE61"/>
    <w:rsid w:val="4EF222F5"/>
    <w:rsid w:val="4EF58B87"/>
    <w:rsid w:val="4EFD789C"/>
    <w:rsid w:val="4EFF7311"/>
    <w:rsid w:val="4F555CF5"/>
    <w:rsid w:val="4F6F73B7"/>
    <w:rsid w:val="4F776760"/>
    <w:rsid w:val="4F7BAEBB"/>
    <w:rsid w:val="4F7CE78C"/>
    <w:rsid w:val="4F7D6842"/>
    <w:rsid w:val="4F7DD9F9"/>
    <w:rsid w:val="4F8CA17E"/>
    <w:rsid w:val="4FB7FC9F"/>
    <w:rsid w:val="4FBF988C"/>
    <w:rsid w:val="4FD91D50"/>
    <w:rsid w:val="4FDFA423"/>
    <w:rsid w:val="4FE9A6B5"/>
    <w:rsid w:val="4FEDF86E"/>
    <w:rsid w:val="4FEE3539"/>
    <w:rsid w:val="4FEECF49"/>
    <w:rsid w:val="4FEED031"/>
    <w:rsid w:val="4FEF71BA"/>
    <w:rsid w:val="4FF74F61"/>
    <w:rsid w:val="4FF9DCE0"/>
    <w:rsid w:val="4FFB1DE2"/>
    <w:rsid w:val="4FFB43D6"/>
    <w:rsid w:val="4FFE6866"/>
    <w:rsid w:val="4FFEA81E"/>
    <w:rsid w:val="50496D4C"/>
    <w:rsid w:val="506B5614"/>
    <w:rsid w:val="50BDBF38"/>
    <w:rsid w:val="50CB7E15"/>
    <w:rsid w:val="50D772B5"/>
    <w:rsid w:val="513E17AF"/>
    <w:rsid w:val="517267A9"/>
    <w:rsid w:val="51CD3FC9"/>
    <w:rsid w:val="51E7EE5B"/>
    <w:rsid w:val="523CDA58"/>
    <w:rsid w:val="529DF27C"/>
    <w:rsid w:val="52C55CE6"/>
    <w:rsid w:val="52FD1E93"/>
    <w:rsid w:val="533EBC6B"/>
    <w:rsid w:val="53995597"/>
    <w:rsid w:val="539D0F6F"/>
    <w:rsid w:val="53AB5909"/>
    <w:rsid w:val="53D749B5"/>
    <w:rsid w:val="53ED1D2B"/>
    <w:rsid w:val="53FB5F69"/>
    <w:rsid w:val="53FBAA1C"/>
    <w:rsid w:val="53FBBEFD"/>
    <w:rsid w:val="53FD83D2"/>
    <w:rsid w:val="53FE3882"/>
    <w:rsid w:val="53FF794B"/>
    <w:rsid w:val="5458028F"/>
    <w:rsid w:val="54DF6123"/>
    <w:rsid w:val="54FDC9D5"/>
    <w:rsid w:val="54FF5217"/>
    <w:rsid w:val="54FFF27E"/>
    <w:rsid w:val="553E3594"/>
    <w:rsid w:val="55AF615A"/>
    <w:rsid w:val="55BD22DB"/>
    <w:rsid w:val="55CF29EB"/>
    <w:rsid w:val="55DF289D"/>
    <w:rsid w:val="55DFB73B"/>
    <w:rsid w:val="55E771BA"/>
    <w:rsid w:val="55E99C94"/>
    <w:rsid w:val="55EBBB4A"/>
    <w:rsid w:val="55F39B65"/>
    <w:rsid w:val="55FB5498"/>
    <w:rsid w:val="55FBA665"/>
    <w:rsid w:val="55FD095A"/>
    <w:rsid w:val="55FD4F30"/>
    <w:rsid w:val="55FF68A0"/>
    <w:rsid w:val="55FFFF7D"/>
    <w:rsid w:val="56083889"/>
    <w:rsid w:val="56358E45"/>
    <w:rsid w:val="56515A3E"/>
    <w:rsid w:val="56BDA2C2"/>
    <w:rsid w:val="56D3F578"/>
    <w:rsid w:val="56DDE5EE"/>
    <w:rsid w:val="56FAD294"/>
    <w:rsid w:val="56FFCCEA"/>
    <w:rsid w:val="571FFDAC"/>
    <w:rsid w:val="57379484"/>
    <w:rsid w:val="5753F202"/>
    <w:rsid w:val="575E0226"/>
    <w:rsid w:val="575E3535"/>
    <w:rsid w:val="576929BF"/>
    <w:rsid w:val="57752409"/>
    <w:rsid w:val="57753207"/>
    <w:rsid w:val="57778768"/>
    <w:rsid w:val="57851C19"/>
    <w:rsid w:val="579F98BD"/>
    <w:rsid w:val="57AE64B3"/>
    <w:rsid w:val="57AFA272"/>
    <w:rsid w:val="57BB6661"/>
    <w:rsid w:val="57BB9506"/>
    <w:rsid w:val="57BE9EC8"/>
    <w:rsid w:val="57BF2A4E"/>
    <w:rsid w:val="57BFF0BF"/>
    <w:rsid w:val="57CD1745"/>
    <w:rsid w:val="57CF1FE0"/>
    <w:rsid w:val="57D252E4"/>
    <w:rsid w:val="57D53988"/>
    <w:rsid w:val="57DC3730"/>
    <w:rsid w:val="57DD1CA7"/>
    <w:rsid w:val="57DF1B03"/>
    <w:rsid w:val="57DF2463"/>
    <w:rsid w:val="57DFDE95"/>
    <w:rsid w:val="57E1376C"/>
    <w:rsid w:val="57ED8E7A"/>
    <w:rsid w:val="57EDFB19"/>
    <w:rsid w:val="57EF390F"/>
    <w:rsid w:val="57F12C74"/>
    <w:rsid w:val="57F8ABB4"/>
    <w:rsid w:val="57FB8E17"/>
    <w:rsid w:val="57FD53E4"/>
    <w:rsid w:val="57FDA4B1"/>
    <w:rsid w:val="57FEA5B8"/>
    <w:rsid w:val="57FF0119"/>
    <w:rsid w:val="57FF12A9"/>
    <w:rsid w:val="57FF7E42"/>
    <w:rsid w:val="57FFAF94"/>
    <w:rsid w:val="57FFC682"/>
    <w:rsid w:val="57FFDF3A"/>
    <w:rsid w:val="57FFE123"/>
    <w:rsid w:val="580C5C5B"/>
    <w:rsid w:val="58405B1E"/>
    <w:rsid w:val="58662A75"/>
    <w:rsid w:val="58AA1387"/>
    <w:rsid w:val="58BB0357"/>
    <w:rsid w:val="58EE2AC0"/>
    <w:rsid w:val="58FF0177"/>
    <w:rsid w:val="58FF7642"/>
    <w:rsid w:val="59787766"/>
    <w:rsid w:val="597BE8FD"/>
    <w:rsid w:val="597D298B"/>
    <w:rsid w:val="59BB59A4"/>
    <w:rsid w:val="59BE6A27"/>
    <w:rsid w:val="59BE7449"/>
    <w:rsid w:val="59D12FD9"/>
    <w:rsid w:val="59EFA810"/>
    <w:rsid w:val="59F9B033"/>
    <w:rsid w:val="59FD8527"/>
    <w:rsid w:val="59FE3E3E"/>
    <w:rsid w:val="5A32171A"/>
    <w:rsid w:val="5A334B67"/>
    <w:rsid w:val="5A5FEB3D"/>
    <w:rsid w:val="5A77E074"/>
    <w:rsid w:val="5AAE49E3"/>
    <w:rsid w:val="5AB2FEA8"/>
    <w:rsid w:val="5AB83E9E"/>
    <w:rsid w:val="5ABFFDD7"/>
    <w:rsid w:val="5AFB0683"/>
    <w:rsid w:val="5AFE73AC"/>
    <w:rsid w:val="5AFFAF59"/>
    <w:rsid w:val="5B0F6BFA"/>
    <w:rsid w:val="5B210B1F"/>
    <w:rsid w:val="5B23D944"/>
    <w:rsid w:val="5B2B45D6"/>
    <w:rsid w:val="5B3E9181"/>
    <w:rsid w:val="5B578218"/>
    <w:rsid w:val="5B5F38BC"/>
    <w:rsid w:val="5B770F09"/>
    <w:rsid w:val="5B77B7CA"/>
    <w:rsid w:val="5B781D60"/>
    <w:rsid w:val="5B787DA8"/>
    <w:rsid w:val="5B7DA29F"/>
    <w:rsid w:val="5B7DDE2B"/>
    <w:rsid w:val="5B7F20AF"/>
    <w:rsid w:val="5B7F5585"/>
    <w:rsid w:val="5B833E6F"/>
    <w:rsid w:val="5B976E95"/>
    <w:rsid w:val="5BA0666C"/>
    <w:rsid w:val="5BA4301B"/>
    <w:rsid w:val="5BB7516E"/>
    <w:rsid w:val="5BCF290D"/>
    <w:rsid w:val="5BDD97B7"/>
    <w:rsid w:val="5BE7584E"/>
    <w:rsid w:val="5BEB1134"/>
    <w:rsid w:val="5BEF69C6"/>
    <w:rsid w:val="5BF574AB"/>
    <w:rsid w:val="5BFC29F7"/>
    <w:rsid w:val="5BFCC910"/>
    <w:rsid w:val="5BFD6AC2"/>
    <w:rsid w:val="5BFDA59F"/>
    <w:rsid w:val="5BFDAA60"/>
    <w:rsid w:val="5BFE2A1C"/>
    <w:rsid w:val="5BFEB6B2"/>
    <w:rsid w:val="5BFEF45A"/>
    <w:rsid w:val="5BFF0512"/>
    <w:rsid w:val="5BFF47CE"/>
    <w:rsid w:val="5BFF4D5E"/>
    <w:rsid w:val="5BFF6379"/>
    <w:rsid w:val="5C5FD3B3"/>
    <w:rsid w:val="5CB70964"/>
    <w:rsid w:val="5CDEACB7"/>
    <w:rsid w:val="5CE1164E"/>
    <w:rsid w:val="5CE408F9"/>
    <w:rsid w:val="5CEF1DC3"/>
    <w:rsid w:val="5CFD6D27"/>
    <w:rsid w:val="5CFE5655"/>
    <w:rsid w:val="5D074D66"/>
    <w:rsid w:val="5D478FE4"/>
    <w:rsid w:val="5D4F7068"/>
    <w:rsid w:val="5D5F36F5"/>
    <w:rsid w:val="5D6D5F06"/>
    <w:rsid w:val="5D6E1251"/>
    <w:rsid w:val="5D8348CE"/>
    <w:rsid w:val="5D8D458B"/>
    <w:rsid w:val="5D97E0A8"/>
    <w:rsid w:val="5DB363E0"/>
    <w:rsid w:val="5DBDFFA9"/>
    <w:rsid w:val="5DBF6475"/>
    <w:rsid w:val="5DCFA1B7"/>
    <w:rsid w:val="5DDB654D"/>
    <w:rsid w:val="5DEB2864"/>
    <w:rsid w:val="5DEB6479"/>
    <w:rsid w:val="5DEF96BD"/>
    <w:rsid w:val="5DEFA15A"/>
    <w:rsid w:val="5DEFB086"/>
    <w:rsid w:val="5DF70E39"/>
    <w:rsid w:val="5DF7CC44"/>
    <w:rsid w:val="5DF8734D"/>
    <w:rsid w:val="5DF9EF00"/>
    <w:rsid w:val="5DFB42D2"/>
    <w:rsid w:val="5DFB637D"/>
    <w:rsid w:val="5DFBDB33"/>
    <w:rsid w:val="5DFFBB40"/>
    <w:rsid w:val="5E625549"/>
    <w:rsid w:val="5E62B5C1"/>
    <w:rsid w:val="5E6E2B15"/>
    <w:rsid w:val="5E72AD66"/>
    <w:rsid w:val="5E7DB30C"/>
    <w:rsid w:val="5EAA2AB2"/>
    <w:rsid w:val="5EAB18E3"/>
    <w:rsid w:val="5EBABDE8"/>
    <w:rsid w:val="5EBB1F9C"/>
    <w:rsid w:val="5EBD1D9D"/>
    <w:rsid w:val="5EBF949D"/>
    <w:rsid w:val="5EBFB1F2"/>
    <w:rsid w:val="5ECA3C5E"/>
    <w:rsid w:val="5ECBD794"/>
    <w:rsid w:val="5ECFE524"/>
    <w:rsid w:val="5ED15B8D"/>
    <w:rsid w:val="5ED688D7"/>
    <w:rsid w:val="5ED7945E"/>
    <w:rsid w:val="5ED7AD32"/>
    <w:rsid w:val="5EF6C8BF"/>
    <w:rsid w:val="5EF78FFE"/>
    <w:rsid w:val="5EFD42F6"/>
    <w:rsid w:val="5EFF850B"/>
    <w:rsid w:val="5F1F8314"/>
    <w:rsid w:val="5F1F8F2A"/>
    <w:rsid w:val="5F1FEF5E"/>
    <w:rsid w:val="5F39396D"/>
    <w:rsid w:val="5F3D1158"/>
    <w:rsid w:val="5F3F39E2"/>
    <w:rsid w:val="5F5B0B37"/>
    <w:rsid w:val="5F5FFDCC"/>
    <w:rsid w:val="5F67CCB4"/>
    <w:rsid w:val="5F6F655D"/>
    <w:rsid w:val="5F749FD8"/>
    <w:rsid w:val="5F76410A"/>
    <w:rsid w:val="5F7AF0F1"/>
    <w:rsid w:val="5F7DA806"/>
    <w:rsid w:val="5F7F2136"/>
    <w:rsid w:val="5F7F28E7"/>
    <w:rsid w:val="5F7F590C"/>
    <w:rsid w:val="5F7F8D61"/>
    <w:rsid w:val="5FA7BC8D"/>
    <w:rsid w:val="5FA91569"/>
    <w:rsid w:val="5FAB0DFC"/>
    <w:rsid w:val="5FABA3CD"/>
    <w:rsid w:val="5FAD30DC"/>
    <w:rsid w:val="5FB06409"/>
    <w:rsid w:val="5FB919BA"/>
    <w:rsid w:val="5FB9312B"/>
    <w:rsid w:val="5FB9C62A"/>
    <w:rsid w:val="5FBA7382"/>
    <w:rsid w:val="5FBB1771"/>
    <w:rsid w:val="5FBF7277"/>
    <w:rsid w:val="5FBF9344"/>
    <w:rsid w:val="5FBFA191"/>
    <w:rsid w:val="5FC3F51F"/>
    <w:rsid w:val="5FC7A033"/>
    <w:rsid w:val="5FCF6FF5"/>
    <w:rsid w:val="5FCF75EA"/>
    <w:rsid w:val="5FCFA9F5"/>
    <w:rsid w:val="5FD1BAB9"/>
    <w:rsid w:val="5FD995C7"/>
    <w:rsid w:val="5FDA1984"/>
    <w:rsid w:val="5FDB607B"/>
    <w:rsid w:val="5FDC93E3"/>
    <w:rsid w:val="5FDCBF7C"/>
    <w:rsid w:val="5FDD5135"/>
    <w:rsid w:val="5FDDA4BF"/>
    <w:rsid w:val="5FDEBD66"/>
    <w:rsid w:val="5FDEC859"/>
    <w:rsid w:val="5FDF7B63"/>
    <w:rsid w:val="5FE38030"/>
    <w:rsid w:val="5FE7225A"/>
    <w:rsid w:val="5FE738AF"/>
    <w:rsid w:val="5FEB639C"/>
    <w:rsid w:val="5FED9573"/>
    <w:rsid w:val="5FEDDF89"/>
    <w:rsid w:val="5FEEC1F0"/>
    <w:rsid w:val="5FEF049D"/>
    <w:rsid w:val="5FEF2DE9"/>
    <w:rsid w:val="5FEF4FE4"/>
    <w:rsid w:val="5FEF8C3F"/>
    <w:rsid w:val="5FEFA195"/>
    <w:rsid w:val="5FEFD248"/>
    <w:rsid w:val="5FEFDB68"/>
    <w:rsid w:val="5FF1714D"/>
    <w:rsid w:val="5FF3AB45"/>
    <w:rsid w:val="5FF52D82"/>
    <w:rsid w:val="5FF7315C"/>
    <w:rsid w:val="5FF746A8"/>
    <w:rsid w:val="5FF77436"/>
    <w:rsid w:val="5FF7A781"/>
    <w:rsid w:val="5FF7DCBE"/>
    <w:rsid w:val="5FF957C0"/>
    <w:rsid w:val="5FFB8BD6"/>
    <w:rsid w:val="5FFBBFAE"/>
    <w:rsid w:val="5FFC0D7B"/>
    <w:rsid w:val="5FFDC1ED"/>
    <w:rsid w:val="5FFDFFA9"/>
    <w:rsid w:val="5FFE6206"/>
    <w:rsid w:val="5FFE7E2A"/>
    <w:rsid w:val="5FFEB192"/>
    <w:rsid w:val="5FFEB385"/>
    <w:rsid w:val="5FFEC57C"/>
    <w:rsid w:val="5FFF52E4"/>
    <w:rsid w:val="5FFF70AA"/>
    <w:rsid w:val="5FFFC59D"/>
    <w:rsid w:val="5FFFEAB2"/>
    <w:rsid w:val="602C7C65"/>
    <w:rsid w:val="60766619"/>
    <w:rsid w:val="609F31AE"/>
    <w:rsid w:val="615DE9FF"/>
    <w:rsid w:val="61BD9F32"/>
    <w:rsid w:val="61BEA512"/>
    <w:rsid w:val="61DC462B"/>
    <w:rsid w:val="61DEE674"/>
    <w:rsid w:val="61ED6596"/>
    <w:rsid w:val="61FEA07B"/>
    <w:rsid w:val="624C2CF5"/>
    <w:rsid w:val="624F8B31"/>
    <w:rsid w:val="627F325A"/>
    <w:rsid w:val="62B0196B"/>
    <w:rsid w:val="62DFB2D9"/>
    <w:rsid w:val="62F4FED5"/>
    <w:rsid w:val="637FACA2"/>
    <w:rsid w:val="63AFC423"/>
    <w:rsid w:val="63D69636"/>
    <w:rsid w:val="63D9D06A"/>
    <w:rsid w:val="63F3EDD4"/>
    <w:rsid w:val="63F7D88F"/>
    <w:rsid w:val="63FBC8ED"/>
    <w:rsid w:val="63FC2C39"/>
    <w:rsid w:val="63FD96C0"/>
    <w:rsid w:val="643D1DD7"/>
    <w:rsid w:val="645735A2"/>
    <w:rsid w:val="647A2599"/>
    <w:rsid w:val="649C546A"/>
    <w:rsid w:val="64DD5DE9"/>
    <w:rsid w:val="64EB4C37"/>
    <w:rsid w:val="64F07C1A"/>
    <w:rsid w:val="65730336"/>
    <w:rsid w:val="65BFD516"/>
    <w:rsid w:val="65DF8A86"/>
    <w:rsid w:val="65F5E719"/>
    <w:rsid w:val="65F86510"/>
    <w:rsid w:val="65F8D32A"/>
    <w:rsid w:val="65FBBF42"/>
    <w:rsid w:val="661B65AE"/>
    <w:rsid w:val="663C487E"/>
    <w:rsid w:val="667F64B0"/>
    <w:rsid w:val="6697B074"/>
    <w:rsid w:val="66ADD74B"/>
    <w:rsid w:val="66B25B70"/>
    <w:rsid w:val="66EF7291"/>
    <w:rsid w:val="66F10E43"/>
    <w:rsid w:val="66F3E157"/>
    <w:rsid w:val="66F61EB2"/>
    <w:rsid w:val="6756676A"/>
    <w:rsid w:val="675B3EEC"/>
    <w:rsid w:val="67730FB9"/>
    <w:rsid w:val="677BB317"/>
    <w:rsid w:val="677F08FC"/>
    <w:rsid w:val="678B5305"/>
    <w:rsid w:val="6791738C"/>
    <w:rsid w:val="679F4374"/>
    <w:rsid w:val="679F4E0E"/>
    <w:rsid w:val="679FF3E1"/>
    <w:rsid w:val="67AB5CC4"/>
    <w:rsid w:val="67BD3A2B"/>
    <w:rsid w:val="67D7B0A3"/>
    <w:rsid w:val="67D7EAAC"/>
    <w:rsid w:val="67DBFE75"/>
    <w:rsid w:val="67DDD4A4"/>
    <w:rsid w:val="67DEBAEA"/>
    <w:rsid w:val="67DFD18A"/>
    <w:rsid w:val="67E7F330"/>
    <w:rsid w:val="67ED9F6D"/>
    <w:rsid w:val="67EF9139"/>
    <w:rsid w:val="67EFEEA0"/>
    <w:rsid w:val="67FB2CDA"/>
    <w:rsid w:val="67FB38E7"/>
    <w:rsid w:val="67FF5310"/>
    <w:rsid w:val="67FF6D42"/>
    <w:rsid w:val="67FF7370"/>
    <w:rsid w:val="684E7C46"/>
    <w:rsid w:val="68BFDF0B"/>
    <w:rsid w:val="68E57DA0"/>
    <w:rsid w:val="68F45505"/>
    <w:rsid w:val="68FB48C7"/>
    <w:rsid w:val="68FFC062"/>
    <w:rsid w:val="691DC7B7"/>
    <w:rsid w:val="69276928"/>
    <w:rsid w:val="69525202"/>
    <w:rsid w:val="699B929E"/>
    <w:rsid w:val="69AD633C"/>
    <w:rsid w:val="69B06C64"/>
    <w:rsid w:val="69B741D9"/>
    <w:rsid w:val="69C5CDF4"/>
    <w:rsid w:val="69CF1A7E"/>
    <w:rsid w:val="69CFB796"/>
    <w:rsid w:val="69D3DAE2"/>
    <w:rsid w:val="69EBD7BB"/>
    <w:rsid w:val="69EF3448"/>
    <w:rsid w:val="69F6CF51"/>
    <w:rsid w:val="6A0E3075"/>
    <w:rsid w:val="6A3905E5"/>
    <w:rsid w:val="6A6E8350"/>
    <w:rsid w:val="6A6F72C7"/>
    <w:rsid w:val="6A9258EC"/>
    <w:rsid w:val="6A9E8F4B"/>
    <w:rsid w:val="6AAC3AC6"/>
    <w:rsid w:val="6AB90FD7"/>
    <w:rsid w:val="6AD67232"/>
    <w:rsid w:val="6ADA9D63"/>
    <w:rsid w:val="6AF326AB"/>
    <w:rsid w:val="6AFBC412"/>
    <w:rsid w:val="6B1BE8C1"/>
    <w:rsid w:val="6B2FB564"/>
    <w:rsid w:val="6B3043F0"/>
    <w:rsid w:val="6B3F852A"/>
    <w:rsid w:val="6B6B1D5E"/>
    <w:rsid w:val="6B6F084F"/>
    <w:rsid w:val="6B722C5B"/>
    <w:rsid w:val="6B72941C"/>
    <w:rsid w:val="6B7B26AB"/>
    <w:rsid w:val="6B7E0F2F"/>
    <w:rsid w:val="6B7EC4E2"/>
    <w:rsid w:val="6B7F48DD"/>
    <w:rsid w:val="6B7F6F3F"/>
    <w:rsid w:val="6B7FA144"/>
    <w:rsid w:val="6BB76A55"/>
    <w:rsid w:val="6BBF1A3B"/>
    <w:rsid w:val="6BCFB948"/>
    <w:rsid w:val="6BEFB279"/>
    <w:rsid w:val="6BEFFB12"/>
    <w:rsid w:val="6BF27800"/>
    <w:rsid w:val="6BF7BE8B"/>
    <w:rsid w:val="6BFA6B25"/>
    <w:rsid w:val="6BFB3342"/>
    <w:rsid w:val="6BFBCCA2"/>
    <w:rsid w:val="6BFEF35A"/>
    <w:rsid w:val="6BFF1D41"/>
    <w:rsid w:val="6BFF6A46"/>
    <w:rsid w:val="6BFFA483"/>
    <w:rsid w:val="6C297CF8"/>
    <w:rsid w:val="6C3565D4"/>
    <w:rsid w:val="6C3B743D"/>
    <w:rsid w:val="6C7FB76B"/>
    <w:rsid w:val="6C8EDC26"/>
    <w:rsid w:val="6CAE83F9"/>
    <w:rsid w:val="6CED7B7B"/>
    <w:rsid w:val="6CEFE66E"/>
    <w:rsid w:val="6CFB7115"/>
    <w:rsid w:val="6CFEB3A5"/>
    <w:rsid w:val="6CFEB4F9"/>
    <w:rsid w:val="6CFF6BED"/>
    <w:rsid w:val="6D19D25F"/>
    <w:rsid w:val="6D1D1F1E"/>
    <w:rsid w:val="6D3D938B"/>
    <w:rsid w:val="6D3FC599"/>
    <w:rsid w:val="6D4FDE38"/>
    <w:rsid w:val="6D576F60"/>
    <w:rsid w:val="6D5D1F49"/>
    <w:rsid w:val="6D5E18F2"/>
    <w:rsid w:val="6D5F206F"/>
    <w:rsid w:val="6D6D2A97"/>
    <w:rsid w:val="6D6D5456"/>
    <w:rsid w:val="6D795E68"/>
    <w:rsid w:val="6D7AB85C"/>
    <w:rsid w:val="6D7EEBDB"/>
    <w:rsid w:val="6D8D3731"/>
    <w:rsid w:val="6D9FBE81"/>
    <w:rsid w:val="6DBB42F1"/>
    <w:rsid w:val="6DBD3448"/>
    <w:rsid w:val="6DBD54FA"/>
    <w:rsid w:val="6DBF0B47"/>
    <w:rsid w:val="6DD2EC8C"/>
    <w:rsid w:val="6DDA533C"/>
    <w:rsid w:val="6DE74608"/>
    <w:rsid w:val="6DEDE950"/>
    <w:rsid w:val="6DF20ABD"/>
    <w:rsid w:val="6DF2F224"/>
    <w:rsid w:val="6DF77C92"/>
    <w:rsid w:val="6DF9843E"/>
    <w:rsid w:val="6DFC733D"/>
    <w:rsid w:val="6DFDB4EA"/>
    <w:rsid w:val="6E1E26AF"/>
    <w:rsid w:val="6E37F7EC"/>
    <w:rsid w:val="6E640F29"/>
    <w:rsid w:val="6E6E7817"/>
    <w:rsid w:val="6E7B32FF"/>
    <w:rsid w:val="6E940BDA"/>
    <w:rsid w:val="6EA2F412"/>
    <w:rsid w:val="6EAF4E2F"/>
    <w:rsid w:val="6EB7F8B7"/>
    <w:rsid w:val="6EBF6745"/>
    <w:rsid w:val="6EC3F381"/>
    <w:rsid w:val="6EC81E4C"/>
    <w:rsid w:val="6ED50CB9"/>
    <w:rsid w:val="6ED5466F"/>
    <w:rsid w:val="6EDBE691"/>
    <w:rsid w:val="6EDCECEF"/>
    <w:rsid w:val="6EDF7E1F"/>
    <w:rsid w:val="6EE1EAAE"/>
    <w:rsid w:val="6EEA32EB"/>
    <w:rsid w:val="6EEFE903"/>
    <w:rsid w:val="6EF5BFB0"/>
    <w:rsid w:val="6EF7C70C"/>
    <w:rsid w:val="6EF7F927"/>
    <w:rsid w:val="6EFD9362"/>
    <w:rsid w:val="6EFF37E5"/>
    <w:rsid w:val="6EFF96D7"/>
    <w:rsid w:val="6EFFBBE9"/>
    <w:rsid w:val="6F1FDF12"/>
    <w:rsid w:val="6F1FE6D8"/>
    <w:rsid w:val="6F2708C5"/>
    <w:rsid w:val="6F2F28EB"/>
    <w:rsid w:val="6F4FF512"/>
    <w:rsid w:val="6F50ED84"/>
    <w:rsid w:val="6F5B7FBB"/>
    <w:rsid w:val="6F5F2C25"/>
    <w:rsid w:val="6F5FABEA"/>
    <w:rsid w:val="6F5FB124"/>
    <w:rsid w:val="6F6B61CE"/>
    <w:rsid w:val="6F6BC04C"/>
    <w:rsid w:val="6F6E0490"/>
    <w:rsid w:val="6F6FC094"/>
    <w:rsid w:val="6F771D68"/>
    <w:rsid w:val="6F7B8A74"/>
    <w:rsid w:val="6F7D0D36"/>
    <w:rsid w:val="6F7F2CEE"/>
    <w:rsid w:val="6F7F4AF7"/>
    <w:rsid w:val="6F7F5575"/>
    <w:rsid w:val="6F7F5D4E"/>
    <w:rsid w:val="6F7FAD59"/>
    <w:rsid w:val="6F7FF3CD"/>
    <w:rsid w:val="6F7FFD13"/>
    <w:rsid w:val="6F8FAA80"/>
    <w:rsid w:val="6F9A1720"/>
    <w:rsid w:val="6F9E778D"/>
    <w:rsid w:val="6F9E9204"/>
    <w:rsid w:val="6F9F0067"/>
    <w:rsid w:val="6F9FDA06"/>
    <w:rsid w:val="6FA1ECA2"/>
    <w:rsid w:val="6FAF8D50"/>
    <w:rsid w:val="6FB3C2EC"/>
    <w:rsid w:val="6FB6E356"/>
    <w:rsid w:val="6FB76A5F"/>
    <w:rsid w:val="6FB98F6C"/>
    <w:rsid w:val="6FBB8E6C"/>
    <w:rsid w:val="6FBF4ABD"/>
    <w:rsid w:val="6FBF682C"/>
    <w:rsid w:val="6FBFAB8D"/>
    <w:rsid w:val="6FBFDDF1"/>
    <w:rsid w:val="6FC61F94"/>
    <w:rsid w:val="6FCFA75C"/>
    <w:rsid w:val="6FD9F084"/>
    <w:rsid w:val="6FDD17C1"/>
    <w:rsid w:val="6FDD421E"/>
    <w:rsid w:val="6FDF7AB3"/>
    <w:rsid w:val="6FE4025E"/>
    <w:rsid w:val="6FEB614B"/>
    <w:rsid w:val="6FEBC626"/>
    <w:rsid w:val="6FED8265"/>
    <w:rsid w:val="6FEDC91B"/>
    <w:rsid w:val="6FEF07DD"/>
    <w:rsid w:val="6FEF0D78"/>
    <w:rsid w:val="6FEF2507"/>
    <w:rsid w:val="6FF15EC3"/>
    <w:rsid w:val="6FF1C97B"/>
    <w:rsid w:val="6FF37668"/>
    <w:rsid w:val="6FF4946B"/>
    <w:rsid w:val="6FF62569"/>
    <w:rsid w:val="6FF72525"/>
    <w:rsid w:val="6FF78F6F"/>
    <w:rsid w:val="6FF79F9C"/>
    <w:rsid w:val="6FF90869"/>
    <w:rsid w:val="6FFB5CA9"/>
    <w:rsid w:val="6FFBEED5"/>
    <w:rsid w:val="6FFC228D"/>
    <w:rsid w:val="6FFD6A15"/>
    <w:rsid w:val="6FFE699B"/>
    <w:rsid w:val="6FFEF2BC"/>
    <w:rsid w:val="6FFF2262"/>
    <w:rsid w:val="6FFF289F"/>
    <w:rsid w:val="6FFF7B70"/>
    <w:rsid w:val="6FFF9317"/>
    <w:rsid w:val="6FFFDB7A"/>
    <w:rsid w:val="701A0B0D"/>
    <w:rsid w:val="702B5790"/>
    <w:rsid w:val="70B47450"/>
    <w:rsid w:val="70ECCCA4"/>
    <w:rsid w:val="70FFDE4F"/>
    <w:rsid w:val="70FFE166"/>
    <w:rsid w:val="7139787A"/>
    <w:rsid w:val="71773F8D"/>
    <w:rsid w:val="717F63C0"/>
    <w:rsid w:val="71B76E14"/>
    <w:rsid w:val="71BB5B9C"/>
    <w:rsid w:val="71DAF9E4"/>
    <w:rsid w:val="71FFF553"/>
    <w:rsid w:val="723A002F"/>
    <w:rsid w:val="723F2512"/>
    <w:rsid w:val="725D736E"/>
    <w:rsid w:val="725FF356"/>
    <w:rsid w:val="726D453F"/>
    <w:rsid w:val="727F1809"/>
    <w:rsid w:val="727F8CFB"/>
    <w:rsid w:val="72AD9144"/>
    <w:rsid w:val="72BF7824"/>
    <w:rsid w:val="72CFF4F8"/>
    <w:rsid w:val="72EF59A1"/>
    <w:rsid w:val="72F80DF3"/>
    <w:rsid w:val="72FF4545"/>
    <w:rsid w:val="72FFEC95"/>
    <w:rsid w:val="7315F42D"/>
    <w:rsid w:val="73295786"/>
    <w:rsid w:val="735D2970"/>
    <w:rsid w:val="736FD799"/>
    <w:rsid w:val="73717D71"/>
    <w:rsid w:val="737768EE"/>
    <w:rsid w:val="737E5732"/>
    <w:rsid w:val="737F0D82"/>
    <w:rsid w:val="738530A7"/>
    <w:rsid w:val="738B89A3"/>
    <w:rsid w:val="738D543D"/>
    <w:rsid w:val="7397C832"/>
    <w:rsid w:val="73AD2EDF"/>
    <w:rsid w:val="73B30546"/>
    <w:rsid w:val="73B7F948"/>
    <w:rsid w:val="73BB4873"/>
    <w:rsid w:val="73BE6CFA"/>
    <w:rsid w:val="73BF2ECE"/>
    <w:rsid w:val="73C7DDDE"/>
    <w:rsid w:val="73CCB7AC"/>
    <w:rsid w:val="73CF04C7"/>
    <w:rsid w:val="73D37861"/>
    <w:rsid w:val="73DD6D63"/>
    <w:rsid w:val="73DDB524"/>
    <w:rsid w:val="73E93C2B"/>
    <w:rsid w:val="73EF403B"/>
    <w:rsid w:val="73F702C0"/>
    <w:rsid w:val="73F72809"/>
    <w:rsid w:val="73FB9448"/>
    <w:rsid w:val="73FBC105"/>
    <w:rsid w:val="73FBF577"/>
    <w:rsid w:val="73FE17B0"/>
    <w:rsid w:val="73FE502A"/>
    <w:rsid w:val="73FE948F"/>
    <w:rsid w:val="73FFF2E7"/>
    <w:rsid w:val="74252F6A"/>
    <w:rsid w:val="743E88B9"/>
    <w:rsid w:val="74A02317"/>
    <w:rsid w:val="74AE3A7F"/>
    <w:rsid w:val="74BD3521"/>
    <w:rsid w:val="74CD7A19"/>
    <w:rsid w:val="74DB03A0"/>
    <w:rsid w:val="74DE4252"/>
    <w:rsid w:val="74E744E2"/>
    <w:rsid w:val="74ED5D85"/>
    <w:rsid w:val="74F50C83"/>
    <w:rsid w:val="74FC529B"/>
    <w:rsid w:val="75075D47"/>
    <w:rsid w:val="752B528E"/>
    <w:rsid w:val="752F37CB"/>
    <w:rsid w:val="7545CEEA"/>
    <w:rsid w:val="7549511F"/>
    <w:rsid w:val="755B5E59"/>
    <w:rsid w:val="757D353A"/>
    <w:rsid w:val="757FF977"/>
    <w:rsid w:val="758917C3"/>
    <w:rsid w:val="758D4058"/>
    <w:rsid w:val="75BDC0C1"/>
    <w:rsid w:val="75BECDBE"/>
    <w:rsid w:val="75BF0AE8"/>
    <w:rsid w:val="75BFBAEC"/>
    <w:rsid w:val="75D3DF02"/>
    <w:rsid w:val="75D3E400"/>
    <w:rsid w:val="75E3C2F1"/>
    <w:rsid w:val="75E69036"/>
    <w:rsid w:val="75EF0126"/>
    <w:rsid w:val="75EFF4C7"/>
    <w:rsid w:val="75F3EA60"/>
    <w:rsid w:val="75F54F33"/>
    <w:rsid w:val="75F7F115"/>
    <w:rsid w:val="75FB55B7"/>
    <w:rsid w:val="75FBB914"/>
    <w:rsid w:val="75FD1315"/>
    <w:rsid w:val="75FD2D1F"/>
    <w:rsid w:val="75FD852A"/>
    <w:rsid w:val="75FE047E"/>
    <w:rsid w:val="75FEF184"/>
    <w:rsid w:val="75FF289D"/>
    <w:rsid w:val="75FF8463"/>
    <w:rsid w:val="75FFB4E2"/>
    <w:rsid w:val="75FFB931"/>
    <w:rsid w:val="75FFFED7"/>
    <w:rsid w:val="76453498"/>
    <w:rsid w:val="7657EC02"/>
    <w:rsid w:val="765D2B1D"/>
    <w:rsid w:val="765FBEA6"/>
    <w:rsid w:val="766F5248"/>
    <w:rsid w:val="76714A6C"/>
    <w:rsid w:val="7677BB30"/>
    <w:rsid w:val="7679F867"/>
    <w:rsid w:val="769D75E4"/>
    <w:rsid w:val="769F46EE"/>
    <w:rsid w:val="76B99E5F"/>
    <w:rsid w:val="76CE2244"/>
    <w:rsid w:val="76E77EA4"/>
    <w:rsid w:val="76ED0899"/>
    <w:rsid w:val="76EF1CF6"/>
    <w:rsid w:val="76EFC850"/>
    <w:rsid w:val="76F59F91"/>
    <w:rsid w:val="76FD93C5"/>
    <w:rsid w:val="76FF7727"/>
    <w:rsid w:val="770E35E5"/>
    <w:rsid w:val="771FB24F"/>
    <w:rsid w:val="773278FD"/>
    <w:rsid w:val="7736DD7A"/>
    <w:rsid w:val="773739D0"/>
    <w:rsid w:val="774FC32E"/>
    <w:rsid w:val="775D885E"/>
    <w:rsid w:val="775F4F2A"/>
    <w:rsid w:val="775F7BEA"/>
    <w:rsid w:val="77623D50"/>
    <w:rsid w:val="77659996"/>
    <w:rsid w:val="77659B0A"/>
    <w:rsid w:val="776BBCF5"/>
    <w:rsid w:val="776F0E39"/>
    <w:rsid w:val="776FBF33"/>
    <w:rsid w:val="776FC31D"/>
    <w:rsid w:val="77731EBA"/>
    <w:rsid w:val="7777AF3A"/>
    <w:rsid w:val="777D079B"/>
    <w:rsid w:val="777E81CA"/>
    <w:rsid w:val="777F4B6C"/>
    <w:rsid w:val="777F79FF"/>
    <w:rsid w:val="777FF385"/>
    <w:rsid w:val="777FF9BB"/>
    <w:rsid w:val="778658C5"/>
    <w:rsid w:val="778B1D6D"/>
    <w:rsid w:val="77918865"/>
    <w:rsid w:val="779A732A"/>
    <w:rsid w:val="779D7599"/>
    <w:rsid w:val="779E5613"/>
    <w:rsid w:val="779F5701"/>
    <w:rsid w:val="77B52E12"/>
    <w:rsid w:val="77B7BD66"/>
    <w:rsid w:val="77BBED6E"/>
    <w:rsid w:val="77BD89BB"/>
    <w:rsid w:val="77BF214B"/>
    <w:rsid w:val="77BF6A43"/>
    <w:rsid w:val="77BF9493"/>
    <w:rsid w:val="77BFE282"/>
    <w:rsid w:val="77CDEC2D"/>
    <w:rsid w:val="77CF0C22"/>
    <w:rsid w:val="77CF0C28"/>
    <w:rsid w:val="77CF21F2"/>
    <w:rsid w:val="77CFEB10"/>
    <w:rsid w:val="77D7461B"/>
    <w:rsid w:val="77D7E574"/>
    <w:rsid w:val="77DA0C70"/>
    <w:rsid w:val="77DD2BB7"/>
    <w:rsid w:val="77DECC7C"/>
    <w:rsid w:val="77DEEE0C"/>
    <w:rsid w:val="77DFD88E"/>
    <w:rsid w:val="77E79E52"/>
    <w:rsid w:val="77EA999F"/>
    <w:rsid w:val="77EEDDDB"/>
    <w:rsid w:val="77EF6E50"/>
    <w:rsid w:val="77EFBA98"/>
    <w:rsid w:val="77F0E286"/>
    <w:rsid w:val="77F1B786"/>
    <w:rsid w:val="77F39841"/>
    <w:rsid w:val="77F65DF5"/>
    <w:rsid w:val="77F681B2"/>
    <w:rsid w:val="77F6FC61"/>
    <w:rsid w:val="77F7B287"/>
    <w:rsid w:val="77F7DE5A"/>
    <w:rsid w:val="77F91F54"/>
    <w:rsid w:val="77F991BC"/>
    <w:rsid w:val="77FB6DD3"/>
    <w:rsid w:val="77FB88B1"/>
    <w:rsid w:val="77FBD8CE"/>
    <w:rsid w:val="77FBDE12"/>
    <w:rsid w:val="77FC8522"/>
    <w:rsid w:val="77FD52C1"/>
    <w:rsid w:val="77FD705C"/>
    <w:rsid w:val="77FD78D0"/>
    <w:rsid w:val="77FDC76C"/>
    <w:rsid w:val="77FDD4AF"/>
    <w:rsid w:val="77FE2CB6"/>
    <w:rsid w:val="77FE7B02"/>
    <w:rsid w:val="77FF3010"/>
    <w:rsid w:val="77FF30AF"/>
    <w:rsid w:val="77FF35E7"/>
    <w:rsid w:val="77FF418E"/>
    <w:rsid w:val="77FF4C86"/>
    <w:rsid w:val="77FF5250"/>
    <w:rsid w:val="77FF6DDA"/>
    <w:rsid w:val="77FFBDC1"/>
    <w:rsid w:val="77FFD0D5"/>
    <w:rsid w:val="77FFD70F"/>
    <w:rsid w:val="77FFD8A2"/>
    <w:rsid w:val="77FFEC24"/>
    <w:rsid w:val="77FFEFDB"/>
    <w:rsid w:val="77FFF739"/>
    <w:rsid w:val="784FEEDB"/>
    <w:rsid w:val="786C348E"/>
    <w:rsid w:val="787F1762"/>
    <w:rsid w:val="787F17BD"/>
    <w:rsid w:val="78960D17"/>
    <w:rsid w:val="78BFEEAE"/>
    <w:rsid w:val="78C577DA"/>
    <w:rsid w:val="78CEC45B"/>
    <w:rsid w:val="78CF5B1B"/>
    <w:rsid w:val="78EE3207"/>
    <w:rsid w:val="78F6F0AD"/>
    <w:rsid w:val="78FE1FEA"/>
    <w:rsid w:val="78FF83E8"/>
    <w:rsid w:val="78FFAC76"/>
    <w:rsid w:val="78FFC811"/>
    <w:rsid w:val="79186FED"/>
    <w:rsid w:val="792B137D"/>
    <w:rsid w:val="793FA3E6"/>
    <w:rsid w:val="793FAAA1"/>
    <w:rsid w:val="795D016B"/>
    <w:rsid w:val="79620CC8"/>
    <w:rsid w:val="79698CC8"/>
    <w:rsid w:val="797FE019"/>
    <w:rsid w:val="7997F523"/>
    <w:rsid w:val="79A396A7"/>
    <w:rsid w:val="79A67345"/>
    <w:rsid w:val="79A71B1B"/>
    <w:rsid w:val="79A7BA43"/>
    <w:rsid w:val="79BDD973"/>
    <w:rsid w:val="79BE7018"/>
    <w:rsid w:val="79BFF700"/>
    <w:rsid w:val="79BFFB34"/>
    <w:rsid w:val="79C4C522"/>
    <w:rsid w:val="79CF95CA"/>
    <w:rsid w:val="79D5D0F5"/>
    <w:rsid w:val="79E7A6B0"/>
    <w:rsid w:val="79EAB87E"/>
    <w:rsid w:val="79ED5BCC"/>
    <w:rsid w:val="79EF2FD0"/>
    <w:rsid w:val="79F32793"/>
    <w:rsid w:val="79F728F5"/>
    <w:rsid w:val="79F9F133"/>
    <w:rsid w:val="79FB881E"/>
    <w:rsid w:val="79FBCD25"/>
    <w:rsid w:val="79FD5278"/>
    <w:rsid w:val="79FF0506"/>
    <w:rsid w:val="79FF6AD4"/>
    <w:rsid w:val="79FFC6F7"/>
    <w:rsid w:val="7A3D7EDE"/>
    <w:rsid w:val="7A5BF9F1"/>
    <w:rsid w:val="7A767E70"/>
    <w:rsid w:val="7A76FB16"/>
    <w:rsid w:val="7A77F522"/>
    <w:rsid w:val="7A9D963B"/>
    <w:rsid w:val="7A9F4A46"/>
    <w:rsid w:val="7AACBE9F"/>
    <w:rsid w:val="7AAFE8B8"/>
    <w:rsid w:val="7AB13C5E"/>
    <w:rsid w:val="7AB99003"/>
    <w:rsid w:val="7ABD547D"/>
    <w:rsid w:val="7ABE1AF2"/>
    <w:rsid w:val="7ABF07F2"/>
    <w:rsid w:val="7ACF73EF"/>
    <w:rsid w:val="7ADBD90C"/>
    <w:rsid w:val="7ADF4FED"/>
    <w:rsid w:val="7ADFBE19"/>
    <w:rsid w:val="7ADFC9D6"/>
    <w:rsid w:val="7AEAF0A3"/>
    <w:rsid w:val="7AEB9782"/>
    <w:rsid w:val="7AEE5BAD"/>
    <w:rsid w:val="7AEF2F31"/>
    <w:rsid w:val="7AEF5A91"/>
    <w:rsid w:val="7AF04CF7"/>
    <w:rsid w:val="7AF21BC2"/>
    <w:rsid w:val="7AF3020E"/>
    <w:rsid w:val="7AFAF535"/>
    <w:rsid w:val="7AFB31CF"/>
    <w:rsid w:val="7AFBD414"/>
    <w:rsid w:val="7AFE4E64"/>
    <w:rsid w:val="7AFE6D18"/>
    <w:rsid w:val="7AFF0A0B"/>
    <w:rsid w:val="7AFF3B0F"/>
    <w:rsid w:val="7B07FCD8"/>
    <w:rsid w:val="7B150058"/>
    <w:rsid w:val="7B15FCA6"/>
    <w:rsid w:val="7B357866"/>
    <w:rsid w:val="7B3D6D1C"/>
    <w:rsid w:val="7B3F1690"/>
    <w:rsid w:val="7B47FE87"/>
    <w:rsid w:val="7B4BB8CD"/>
    <w:rsid w:val="7B4F35C3"/>
    <w:rsid w:val="7B5E2B6A"/>
    <w:rsid w:val="7B5F2A70"/>
    <w:rsid w:val="7B5FC25D"/>
    <w:rsid w:val="7B5FEDF0"/>
    <w:rsid w:val="7B6787EA"/>
    <w:rsid w:val="7B67EDC5"/>
    <w:rsid w:val="7B724632"/>
    <w:rsid w:val="7B760E88"/>
    <w:rsid w:val="7B79A389"/>
    <w:rsid w:val="7B7B3330"/>
    <w:rsid w:val="7B7D55E2"/>
    <w:rsid w:val="7B7E7687"/>
    <w:rsid w:val="7B7F0561"/>
    <w:rsid w:val="7B7F23F7"/>
    <w:rsid w:val="7B7F92FD"/>
    <w:rsid w:val="7B7FEBFF"/>
    <w:rsid w:val="7B7FF09B"/>
    <w:rsid w:val="7B8D7D9D"/>
    <w:rsid w:val="7B8F8B52"/>
    <w:rsid w:val="7B965F8E"/>
    <w:rsid w:val="7B9F6540"/>
    <w:rsid w:val="7BA77386"/>
    <w:rsid w:val="7BABB59B"/>
    <w:rsid w:val="7BB0F044"/>
    <w:rsid w:val="7BB23793"/>
    <w:rsid w:val="7BB2BFED"/>
    <w:rsid w:val="7BBA514D"/>
    <w:rsid w:val="7BBD5E6A"/>
    <w:rsid w:val="7BBD98E6"/>
    <w:rsid w:val="7BBDE66F"/>
    <w:rsid w:val="7BBF2056"/>
    <w:rsid w:val="7BBF3BDB"/>
    <w:rsid w:val="7BBF687E"/>
    <w:rsid w:val="7BBFC208"/>
    <w:rsid w:val="7BBFD3C8"/>
    <w:rsid w:val="7BC73166"/>
    <w:rsid w:val="7BCE27D7"/>
    <w:rsid w:val="7BD2CFC2"/>
    <w:rsid w:val="7BD3F50C"/>
    <w:rsid w:val="7BD7AC12"/>
    <w:rsid w:val="7BD8463D"/>
    <w:rsid w:val="7BD98FF4"/>
    <w:rsid w:val="7BDA208C"/>
    <w:rsid w:val="7BDB3524"/>
    <w:rsid w:val="7BDD8126"/>
    <w:rsid w:val="7BDDBE53"/>
    <w:rsid w:val="7BDEA34D"/>
    <w:rsid w:val="7BDF157D"/>
    <w:rsid w:val="7BDF69BC"/>
    <w:rsid w:val="7BDF91B3"/>
    <w:rsid w:val="7BDFABE1"/>
    <w:rsid w:val="7BDFE4F6"/>
    <w:rsid w:val="7BE3EA3E"/>
    <w:rsid w:val="7BEAF16F"/>
    <w:rsid w:val="7BEDCF8C"/>
    <w:rsid w:val="7BEE6043"/>
    <w:rsid w:val="7BEF8739"/>
    <w:rsid w:val="7BEFD089"/>
    <w:rsid w:val="7BEFDB9D"/>
    <w:rsid w:val="7BEFDE6F"/>
    <w:rsid w:val="7BF2E237"/>
    <w:rsid w:val="7BF3D1FF"/>
    <w:rsid w:val="7BF73CEC"/>
    <w:rsid w:val="7BF77B1F"/>
    <w:rsid w:val="7BF79281"/>
    <w:rsid w:val="7BF7A14F"/>
    <w:rsid w:val="7BF7E338"/>
    <w:rsid w:val="7BF7EEE4"/>
    <w:rsid w:val="7BFA5831"/>
    <w:rsid w:val="7BFABA4C"/>
    <w:rsid w:val="7BFB3FC1"/>
    <w:rsid w:val="7BFBC33D"/>
    <w:rsid w:val="7BFD755C"/>
    <w:rsid w:val="7BFDFF08"/>
    <w:rsid w:val="7BFE5132"/>
    <w:rsid w:val="7BFF15BC"/>
    <w:rsid w:val="7BFF3753"/>
    <w:rsid w:val="7BFF7F0C"/>
    <w:rsid w:val="7BFF8905"/>
    <w:rsid w:val="7BFFB272"/>
    <w:rsid w:val="7BFFDCF8"/>
    <w:rsid w:val="7BFFEB5D"/>
    <w:rsid w:val="7C1B3174"/>
    <w:rsid w:val="7C28061F"/>
    <w:rsid w:val="7C293C00"/>
    <w:rsid w:val="7C3D4DC1"/>
    <w:rsid w:val="7C4E36F0"/>
    <w:rsid w:val="7C532E79"/>
    <w:rsid w:val="7C563951"/>
    <w:rsid w:val="7C5EBD5C"/>
    <w:rsid w:val="7C5F530E"/>
    <w:rsid w:val="7C6F4B55"/>
    <w:rsid w:val="7C77329B"/>
    <w:rsid w:val="7C7B9FE1"/>
    <w:rsid w:val="7C7D8B19"/>
    <w:rsid w:val="7C7FAC81"/>
    <w:rsid w:val="7C9B9459"/>
    <w:rsid w:val="7CAF2ADC"/>
    <w:rsid w:val="7CAF9AD7"/>
    <w:rsid w:val="7CB8A656"/>
    <w:rsid w:val="7CBB4C1C"/>
    <w:rsid w:val="7CBF5607"/>
    <w:rsid w:val="7CBF668C"/>
    <w:rsid w:val="7CBFF538"/>
    <w:rsid w:val="7CD38E3F"/>
    <w:rsid w:val="7CDE8A8D"/>
    <w:rsid w:val="7CDED962"/>
    <w:rsid w:val="7CDF851E"/>
    <w:rsid w:val="7CE93943"/>
    <w:rsid w:val="7CEF9422"/>
    <w:rsid w:val="7CF19A39"/>
    <w:rsid w:val="7CF55299"/>
    <w:rsid w:val="7CFB3BC9"/>
    <w:rsid w:val="7CFE03C1"/>
    <w:rsid w:val="7CFE96B5"/>
    <w:rsid w:val="7CFF4567"/>
    <w:rsid w:val="7CFF85D4"/>
    <w:rsid w:val="7CFFC39B"/>
    <w:rsid w:val="7CFFC878"/>
    <w:rsid w:val="7CFFC8AF"/>
    <w:rsid w:val="7D1EF850"/>
    <w:rsid w:val="7D38C06D"/>
    <w:rsid w:val="7D390CAD"/>
    <w:rsid w:val="7D3FD557"/>
    <w:rsid w:val="7D499869"/>
    <w:rsid w:val="7D4F7FE1"/>
    <w:rsid w:val="7D5AA204"/>
    <w:rsid w:val="7D5F3DAB"/>
    <w:rsid w:val="7D6EABA3"/>
    <w:rsid w:val="7D6F865B"/>
    <w:rsid w:val="7D77980B"/>
    <w:rsid w:val="7D77AD1B"/>
    <w:rsid w:val="7D78A02C"/>
    <w:rsid w:val="7D7BC493"/>
    <w:rsid w:val="7D7D5289"/>
    <w:rsid w:val="7D7F9C53"/>
    <w:rsid w:val="7D7FF4CA"/>
    <w:rsid w:val="7D83A71C"/>
    <w:rsid w:val="7D87807D"/>
    <w:rsid w:val="7D8A06BC"/>
    <w:rsid w:val="7D8FC6E0"/>
    <w:rsid w:val="7D963C95"/>
    <w:rsid w:val="7D9A9D91"/>
    <w:rsid w:val="7D9B2EE6"/>
    <w:rsid w:val="7D9D6693"/>
    <w:rsid w:val="7D9FB675"/>
    <w:rsid w:val="7D9FDFCE"/>
    <w:rsid w:val="7DA542E1"/>
    <w:rsid w:val="7DAA9E23"/>
    <w:rsid w:val="7DADFA55"/>
    <w:rsid w:val="7DAFA51B"/>
    <w:rsid w:val="7DB8FA41"/>
    <w:rsid w:val="7DBAEC2B"/>
    <w:rsid w:val="7DBD5558"/>
    <w:rsid w:val="7DBE4A25"/>
    <w:rsid w:val="7DBEB051"/>
    <w:rsid w:val="7DBF8DE8"/>
    <w:rsid w:val="7DBF9A67"/>
    <w:rsid w:val="7DBF9C17"/>
    <w:rsid w:val="7DBFBCE2"/>
    <w:rsid w:val="7DC7D6FA"/>
    <w:rsid w:val="7DCF7E1B"/>
    <w:rsid w:val="7DD7D01D"/>
    <w:rsid w:val="7DD7F7D4"/>
    <w:rsid w:val="7DDA3A67"/>
    <w:rsid w:val="7DDED2A4"/>
    <w:rsid w:val="7DDF34B0"/>
    <w:rsid w:val="7DE707DC"/>
    <w:rsid w:val="7DEBF7AF"/>
    <w:rsid w:val="7DEE55D7"/>
    <w:rsid w:val="7DEF3E97"/>
    <w:rsid w:val="7DEF41BE"/>
    <w:rsid w:val="7DEF4AB5"/>
    <w:rsid w:val="7DEF55B5"/>
    <w:rsid w:val="7DF179DA"/>
    <w:rsid w:val="7DF3728C"/>
    <w:rsid w:val="7DF3EF10"/>
    <w:rsid w:val="7DF67870"/>
    <w:rsid w:val="7DF692D3"/>
    <w:rsid w:val="7DF76ADA"/>
    <w:rsid w:val="7DF78DE5"/>
    <w:rsid w:val="7DF7EDF7"/>
    <w:rsid w:val="7DF7F184"/>
    <w:rsid w:val="7DF9F6A8"/>
    <w:rsid w:val="7DFB1754"/>
    <w:rsid w:val="7DFB2B2B"/>
    <w:rsid w:val="7DFB5209"/>
    <w:rsid w:val="7DFB8B10"/>
    <w:rsid w:val="7DFC360C"/>
    <w:rsid w:val="7DFCD0CA"/>
    <w:rsid w:val="7DFD969A"/>
    <w:rsid w:val="7DFE8A71"/>
    <w:rsid w:val="7DFF377F"/>
    <w:rsid w:val="7DFF50D3"/>
    <w:rsid w:val="7DFF6EDC"/>
    <w:rsid w:val="7DFFD3BA"/>
    <w:rsid w:val="7E1B1A04"/>
    <w:rsid w:val="7E1E3960"/>
    <w:rsid w:val="7E2B6C1B"/>
    <w:rsid w:val="7E398014"/>
    <w:rsid w:val="7E3E42BD"/>
    <w:rsid w:val="7E3E5E2E"/>
    <w:rsid w:val="7E3F1CD6"/>
    <w:rsid w:val="7E573730"/>
    <w:rsid w:val="7E575162"/>
    <w:rsid w:val="7E576514"/>
    <w:rsid w:val="7E5A75EB"/>
    <w:rsid w:val="7E5D1A94"/>
    <w:rsid w:val="7E69CCC9"/>
    <w:rsid w:val="7E6D4944"/>
    <w:rsid w:val="7E73DEA7"/>
    <w:rsid w:val="7E777574"/>
    <w:rsid w:val="7E7A5771"/>
    <w:rsid w:val="7E7B4F2F"/>
    <w:rsid w:val="7E7B5EA6"/>
    <w:rsid w:val="7E7D1423"/>
    <w:rsid w:val="7E7D2069"/>
    <w:rsid w:val="7E7E53EA"/>
    <w:rsid w:val="7E7F3773"/>
    <w:rsid w:val="7E7F86FF"/>
    <w:rsid w:val="7E7F9C74"/>
    <w:rsid w:val="7E7FB3CE"/>
    <w:rsid w:val="7E7FC151"/>
    <w:rsid w:val="7E840568"/>
    <w:rsid w:val="7E9B5A30"/>
    <w:rsid w:val="7E9E8A91"/>
    <w:rsid w:val="7E9F34A2"/>
    <w:rsid w:val="7EA48935"/>
    <w:rsid w:val="7EA59617"/>
    <w:rsid w:val="7EAF88A2"/>
    <w:rsid w:val="7EB326FC"/>
    <w:rsid w:val="7EB358FC"/>
    <w:rsid w:val="7EB77DB1"/>
    <w:rsid w:val="7EB7902A"/>
    <w:rsid w:val="7EBA5FF9"/>
    <w:rsid w:val="7EBCF057"/>
    <w:rsid w:val="7EBDB597"/>
    <w:rsid w:val="7EBDBDF9"/>
    <w:rsid w:val="7EBDE5DF"/>
    <w:rsid w:val="7EBF27A0"/>
    <w:rsid w:val="7EBF37AF"/>
    <w:rsid w:val="7EBF6048"/>
    <w:rsid w:val="7EBF9033"/>
    <w:rsid w:val="7EBF91FA"/>
    <w:rsid w:val="7EBFBC6F"/>
    <w:rsid w:val="7EBFD4E3"/>
    <w:rsid w:val="7EBFF83F"/>
    <w:rsid w:val="7ECE38CA"/>
    <w:rsid w:val="7ECF0C5E"/>
    <w:rsid w:val="7ED2C302"/>
    <w:rsid w:val="7ED3F805"/>
    <w:rsid w:val="7ED5F739"/>
    <w:rsid w:val="7ED7B7C7"/>
    <w:rsid w:val="7ED92A9E"/>
    <w:rsid w:val="7EDB048E"/>
    <w:rsid w:val="7EDE07BF"/>
    <w:rsid w:val="7EDF327E"/>
    <w:rsid w:val="7EDF747F"/>
    <w:rsid w:val="7EE322A8"/>
    <w:rsid w:val="7EE59D49"/>
    <w:rsid w:val="7EEBCD24"/>
    <w:rsid w:val="7EEC191D"/>
    <w:rsid w:val="7EEF268A"/>
    <w:rsid w:val="7EEF64A2"/>
    <w:rsid w:val="7EF1186B"/>
    <w:rsid w:val="7EF389AF"/>
    <w:rsid w:val="7EF38A33"/>
    <w:rsid w:val="7EF5102A"/>
    <w:rsid w:val="7EF5BDCA"/>
    <w:rsid w:val="7EF7ACAD"/>
    <w:rsid w:val="7EF7E407"/>
    <w:rsid w:val="7EF7EFA8"/>
    <w:rsid w:val="7EF89632"/>
    <w:rsid w:val="7EFA5254"/>
    <w:rsid w:val="7EFB29FE"/>
    <w:rsid w:val="7EFB9BAE"/>
    <w:rsid w:val="7EFBD9EF"/>
    <w:rsid w:val="7EFC5C2D"/>
    <w:rsid w:val="7EFD128D"/>
    <w:rsid w:val="7EFD4115"/>
    <w:rsid w:val="7EFE4A33"/>
    <w:rsid w:val="7EFEE61A"/>
    <w:rsid w:val="7EFF1385"/>
    <w:rsid w:val="7EFF1A74"/>
    <w:rsid w:val="7EFF590A"/>
    <w:rsid w:val="7EFF8200"/>
    <w:rsid w:val="7EFF9E12"/>
    <w:rsid w:val="7EFFDE79"/>
    <w:rsid w:val="7EFFFE27"/>
    <w:rsid w:val="7F077B0D"/>
    <w:rsid w:val="7F0B4783"/>
    <w:rsid w:val="7F167C0D"/>
    <w:rsid w:val="7F1FE32C"/>
    <w:rsid w:val="7F212760"/>
    <w:rsid w:val="7F290A3E"/>
    <w:rsid w:val="7F2B0114"/>
    <w:rsid w:val="7F3474F3"/>
    <w:rsid w:val="7F3548EE"/>
    <w:rsid w:val="7F37ADC3"/>
    <w:rsid w:val="7F37FC92"/>
    <w:rsid w:val="7F3B4AC0"/>
    <w:rsid w:val="7F3DC361"/>
    <w:rsid w:val="7F3E0401"/>
    <w:rsid w:val="7F3E68A3"/>
    <w:rsid w:val="7F3E6A03"/>
    <w:rsid w:val="7F3F38A3"/>
    <w:rsid w:val="7F3FB5A8"/>
    <w:rsid w:val="7F3FDAC9"/>
    <w:rsid w:val="7F3FF37B"/>
    <w:rsid w:val="7F431756"/>
    <w:rsid w:val="7F4F5EE5"/>
    <w:rsid w:val="7F4F9B5E"/>
    <w:rsid w:val="7F4FFCB0"/>
    <w:rsid w:val="7F53FD92"/>
    <w:rsid w:val="7F56E698"/>
    <w:rsid w:val="7F5766C3"/>
    <w:rsid w:val="7F59A05F"/>
    <w:rsid w:val="7F5A6979"/>
    <w:rsid w:val="7F5B9C6E"/>
    <w:rsid w:val="7F5CC8B6"/>
    <w:rsid w:val="7F5D9A36"/>
    <w:rsid w:val="7F6122F2"/>
    <w:rsid w:val="7F622D3B"/>
    <w:rsid w:val="7F6DDAC7"/>
    <w:rsid w:val="7F6E2205"/>
    <w:rsid w:val="7F6F0BE6"/>
    <w:rsid w:val="7F717D65"/>
    <w:rsid w:val="7F7348E6"/>
    <w:rsid w:val="7F75B7B4"/>
    <w:rsid w:val="7F77D240"/>
    <w:rsid w:val="7F77EC92"/>
    <w:rsid w:val="7F7A0C29"/>
    <w:rsid w:val="7F7BF964"/>
    <w:rsid w:val="7F7CDEA7"/>
    <w:rsid w:val="7F7D22B9"/>
    <w:rsid w:val="7F7EA372"/>
    <w:rsid w:val="7F7F15ED"/>
    <w:rsid w:val="7F7F2479"/>
    <w:rsid w:val="7F7F2E29"/>
    <w:rsid w:val="7F7F474A"/>
    <w:rsid w:val="7F7F81E8"/>
    <w:rsid w:val="7F7FBCC6"/>
    <w:rsid w:val="7F7FC3CC"/>
    <w:rsid w:val="7F7FD045"/>
    <w:rsid w:val="7F7FDD3A"/>
    <w:rsid w:val="7F7FF722"/>
    <w:rsid w:val="7F7FFC25"/>
    <w:rsid w:val="7F9042B1"/>
    <w:rsid w:val="7F97F377"/>
    <w:rsid w:val="7F9F5463"/>
    <w:rsid w:val="7F9FB737"/>
    <w:rsid w:val="7F9FED44"/>
    <w:rsid w:val="7FA11B2E"/>
    <w:rsid w:val="7FA4E05C"/>
    <w:rsid w:val="7FA73CB9"/>
    <w:rsid w:val="7FAB3DED"/>
    <w:rsid w:val="7FABBB01"/>
    <w:rsid w:val="7FAC3E37"/>
    <w:rsid w:val="7FAD18DA"/>
    <w:rsid w:val="7FAD895D"/>
    <w:rsid w:val="7FADEDE0"/>
    <w:rsid w:val="7FAF3DC4"/>
    <w:rsid w:val="7FAFBF5B"/>
    <w:rsid w:val="7FAFBFC7"/>
    <w:rsid w:val="7FB22DD2"/>
    <w:rsid w:val="7FB316A0"/>
    <w:rsid w:val="7FB412CA"/>
    <w:rsid w:val="7FB6187C"/>
    <w:rsid w:val="7FB77A30"/>
    <w:rsid w:val="7FBA4391"/>
    <w:rsid w:val="7FBA7EDA"/>
    <w:rsid w:val="7FBB0601"/>
    <w:rsid w:val="7FBB6374"/>
    <w:rsid w:val="7FBC09EE"/>
    <w:rsid w:val="7FBD1EE0"/>
    <w:rsid w:val="7FBE095E"/>
    <w:rsid w:val="7FBE2CAB"/>
    <w:rsid w:val="7FBE9C41"/>
    <w:rsid w:val="7FBEB566"/>
    <w:rsid w:val="7FBF4683"/>
    <w:rsid w:val="7FBFB823"/>
    <w:rsid w:val="7FBFBE4A"/>
    <w:rsid w:val="7FBFC3B1"/>
    <w:rsid w:val="7FBFE9FA"/>
    <w:rsid w:val="7FBFF907"/>
    <w:rsid w:val="7FC34916"/>
    <w:rsid w:val="7FC3BF00"/>
    <w:rsid w:val="7FC71417"/>
    <w:rsid w:val="7FC72AB4"/>
    <w:rsid w:val="7FC7EEED"/>
    <w:rsid w:val="7FC7F347"/>
    <w:rsid w:val="7FC7F7BB"/>
    <w:rsid w:val="7FC99335"/>
    <w:rsid w:val="7FCA230E"/>
    <w:rsid w:val="7FCBC940"/>
    <w:rsid w:val="7FCDFF1B"/>
    <w:rsid w:val="7FCF2C56"/>
    <w:rsid w:val="7FCF6CB4"/>
    <w:rsid w:val="7FCF6DAA"/>
    <w:rsid w:val="7FCF9647"/>
    <w:rsid w:val="7FCFD617"/>
    <w:rsid w:val="7FD268CA"/>
    <w:rsid w:val="7FD3F83E"/>
    <w:rsid w:val="7FD52EB8"/>
    <w:rsid w:val="7FD6CD30"/>
    <w:rsid w:val="7FD7006E"/>
    <w:rsid w:val="7FD761F0"/>
    <w:rsid w:val="7FD7C865"/>
    <w:rsid w:val="7FD7EDF9"/>
    <w:rsid w:val="7FD907E0"/>
    <w:rsid w:val="7FD99469"/>
    <w:rsid w:val="7FD99990"/>
    <w:rsid w:val="7FD9A03B"/>
    <w:rsid w:val="7FDBC525"/>
    <w:rsid w:val="7FDCEFBA"/>
    <w:rsid w:val="7FDDE2A4"/>
    <w:rsid w:val="7FDE5EE0"/>
    <w:rsid w:val="7FDE703F"/>
    <w:rsid w:val="7FDF1026"/>
    <w:rsid w:val="7FDF1F19"/>
    <w:rsid w:val="7FDF46F7"/>
    <w:rsid w:val="7FDF6C2C"/>
    <w:rsid w:val="7FDFAA33"/>
    <w:rsid w:val="7FDFABF6"/>
    <w:rsid w:val="7FDFC861"/>
    <w:rsid w:val="7FDFE9C1"/>
    <w:rsid w:val="7FE3D05E"/>
    <w:rsid w:val="7FE716C0"/>
    <w:rsid w:val="7FE7DAA9"/>
    <w:rsid w:val="7FE7FF44"/>
    <w:rsid w:val="7FE8118B"/>
    <w:rsid w:val="7FEA65E7"/>
    <w:rsid w:val="7FEB9280"/>
    <w:rsid w:val="7FEB9793"/>
    <w:rsid w:val="7FEBB7DB"/>
    <w:rsid w:val="7FEBF3CE"/>
    <w:rsid w:val="7FEC475E"/>
    <w:rsid w:val="7FED6C36"/>
    <w:rsid w:val="7FED75C9"/>
    <w:rsid w:val="7FED7F39"/>
    <w:rsid w:val="7FEDF42E"/>
    <w:rsid w:val="7FEDF65E"/>
    <w:rsid w:val="7FEE159E"/>
    <w:rsid w:val="7FEE8CAE"/>
    <w:rsid w:val="7FEF24F4"/>
    <w:rsid w:val="7FEF4D0E"/>
    <w:rsid w:val="7FEF9951"/>
    <w:rsid w:val="7FEFB723"/>
    <w:rsid w:val="7FEFD674"/>
    <w:rsid w:val="7FEFE449"/>
    <w:rsid w:val="7FF158AA"/>
    <w:rsid w:val="7FF15A13"/>
    <w:rsid w:val="7FF1B775"/>
    <w:rsid w:val="7FF25E87"/>
    <w:rsid w:val="7FF34F15"/>
    <w:rsid w:val="7FF393F0"/>
    <w:rsid w:val="7FF3AFBB"/>
    <w:rsid w:val="7FF3B75D"/>
    <w:rsid w:val="7FF48905"/>
    <w:rsid w:val="7FF54573"/>
    <w:rsid w:val="7FF582A0"/>
    <w:rsid w:val="7FF5C597"/>
    <w:rsid w:val="7FF69768"/>
    <w:rsid w:val="7FF698A1"/>
    <w:rsid w:val="7FF6E566"/>
    <w:rsid w:val="7FF74804"/>
    <w:rsid w:val="7FF757AD"/>
    <w:rsid w:val="7FF77E3B"/>
    <w:rsid w:val="7FF78280"/>
    <w:rsid w:val="7FF7AB8D"/>
    <w:rsid w:val="7FF7B749"/>
    <w:rsid w:val="7FF7C15A"/>
    <w:rsid w:val="7FF7CA26"/>
    <w:rsid w:val="7FF7F177"/>
    <w:rsid w:val="7FF7F185"/>
    <w:rsid w:val="7FF9116B"/>
    <w:rsid w:val="7FF96327"/>
    <w:rsid w:val="7FF96566"/>
    <w:rsid w:val="7FF97C5C"/>
    <w:rsid w:val="7FFA18BE"/>
    <w:rsid w:val="7FFA5E23"/>
    <w:rsid w:val="7FFA94C2"/>
    <w:rsid w:val="7FFAC901"/>
    <w:rsid w:val="7FFAFAFD"/>
    <w:rsid w:val="7FFB413F"/>
    <w:rsid w:val="7FFB446E"/>
    <w:rsid w:val="7FFB6AF1"/>
    <w:rsid w:val="7FFB8FA6"/>
    <w:rsid w:val="7FFBD056"/>
    <w:rsid w:val="7FFBEDE2"/>
    <w:rsid w:val="7FFC5AEE"/>
    <w:rsid w:val="7FFCC299"/>
    <w:rsid w:val="7FFD0883"/>
    <w:rsid w:val="7FFD421D"/>
    <w:rsid w:val="7FFD63C0"/>
    <w:rsid w:val="7FFD71EE"/>
    <w:rsid w:val="7FFD7A2A"/>
    <w:rsid w:val="7FFE2671"/>
    <w:rsid w:val="7FFE3E99"/>
    <w:rsid w:val="7FFE5903"/>
    <w:rsid w:val="7FFE6955"/>
    <w:rsid w:val="7FFE7986"/>
    <w:rsid w:val="7FFE8B45"/>
    <w:rsid w:val="7FFE936F"/>
    <w:rsid w:val="7FFE9DFD"/>
    <w:rsid w:val="7FFEA894"/>
    <w:rsid w:val="7FFF0391"/>
    <w:rsid w:val="7FFF047B"/>
    <w:rsid w:val="7FFF2400"/>
    <w:rsid w:val="7FFF2F37"/>
    <w:rsid w:val="7FFF333C"/>
    <w:rsid w:val="7FFF3DCA"/>
    <w:rsid w:val="7FFF50F0"/>
    <w:rsid w:val="7FFF51F9"/>
    <w:rsid w:val="7FFF57AA"/>
    <w:rsid w:val="7FFF5BBF"/>
    <w:rsid w:val="7FFF5C66"/>
    <w:rsid w:val="7FFF7C99"/>
    <w:rsid w:val="7FFF8B92"/>
    <w:rsid w:val="7FFF8C1D"/>
    <w:rsid w:val="7FFF9675"/>
    <w:rsid w:val="7FFF976C"/>
    <w:rsid w:val="7FFFA004"/>
    <w:rsid w:val="7FFFA928"/>
    <w:rsid w:val="7FFFA9C0"/>
    <w:rsid w:val="7FFFAB2B"/>
    <w:rsid w:val="7FFFAE40"/>
    <w:rsid w:val="7FFFB96C"/>
    <w:rsid w:val="7FFFC7F1"/>
    <w:rsid w:val="7FFFD114"/>
    <w:rsid w:val="7FFFE35B"/>
    <w:rsid w:val="7FFFEA4C"/>
    <w:rsid w:val="7FFFEF4E"/>
    <w:rsid w:val="80FDBD8E"/>
    <w:rsid w:val="856DBEEF"/>
    <w:rsid w:val="877FD6F9"/>
    <w:rsid w:val="87BF0462"/>
    <w:rsid w:val="87DB1861"/>
    <w:rsid w:val="87FD40F8"/>
    <w:rsid w:val="87FFCCB4"/>
    <w:rsid w:val="8959176F"/>
    <w:rsid w:val="89EF5DB8"/>
    <w:rsid w:val="8A9EC10F"/>
    <w:rsid w:val="8BA4EB37"/>
    <w:rsid w:val="8BED3BB1"/>
    <w:rsid w:val="8BFF4766"/>
    <w:rsid w:val="8C5A74D9"/>
    <w:rsid w:val="8CBD580E"/>
    <w:rsid w:val="8CE3A011"/>
    <w:rsid w:val="8CFD7D7D"/>
    <w:rsid w:val="8D7F6736"/>
    <w:rsid w:val="8DBB011C"/>
    <w:rsid w:val="8DFF7B97"/>
    <w:rsid w:val="8E7CCBDC"/>
    <w:rsid w:val="8F1F2B81"/>
    <w:rsid w:val="8F3F9617"/>
    <w:rsid w:val="8F5786FC"/>
    <w:rsid w:val="8F6F3222"/>
    <w:rsid w:val="8F9EF6CE"/>
    <w:rsid w:val="8F9F1EF0"/>
    <w:rsid w:val="8FAD005A"/>
    <w:rsid w:val="8FAFBB30"/>
    <w:rsid w:val="8FB7207E"/>
    <w:rsid w:val="8FDD5CB3"/>
    <w:rsid w:val="8FEF4C75"/>
    <w:rsid w:val="8FFDC4D0"/>
    <w:rsid w:val="8FFEC5A9"/>
    <w:rsid w:val="908FDBB2"/>
    <w:rsid w:val="91EF8697"/>
    <w:rsid w:val="931B213E"/>
    <w:rsid w:val="935F4096"/>
    <w:rsid w:val="93BBE195"/>
    <w:rsid w:val="93BE3A61"/>
    <w:rsid w:val="93F905AB"/>
    <w:rsid w:val="94CE08F1"/>
    <w:rsid w:val="94EFA440"/>
    <w:rsid w:val="95E5AC45"/>
    <w:rsid w:val="95FF679F"/>
    <w:rsid w:val="96FFEA80"/>
    <w:rsid w:val="975F39A7"/>
    <w:rsid w:val="977F7140"/>
    <w:rsid w:val="97CFB7CA"/>
    <w:rsid w:val="97E75F1C"/>
    <w:rsid w:val="97F266FF"/>
    <w:rsid w:val="97F48A0C"/>
    <w:rsid w:val="97FAD05F"/>
    <w:rsid w:val="97FB0DA7"/>
    <w:rsid w:val="97FD7924"/>
    <w:rsid w:val="97FEC777"/>
    <w:rsid w:val="97FFB5BD"/>
    <w:rsid w:val="992F3B53"/>
    <w:rsid w:val="9995BFE6"/>
    <w:rsid w:val="99D9EA14"/>
    <w:rsid w:val="99FFEBC6"/>
    <w:rsid w:val="9AF15319"/>
    <w:rsid w:val="9AFD0107"/>
    <w:rsid w:val="9B251F7E"/>
    <w:rsid w:val="9B3E558A"/>
    <w:rsid w:val="9B3F93C7"/>
    <w:rsid w:val="9B465F36"/>
    <w:rsid w:val="9B5D1BBD"/>
    <w:rsid w:val="9B6F7484"/>
    <w:rsid w:val="9B792112"/>
    <w:rsid w:val="9B7F27C2"/>
    <w:rsid w:val="9BAB2F6C"/>
    <w:rsid w:val="9BCB2CD8"/>
    <w:rsid w:val="9BEBF6E3"/>
    <w:rsid w:val="9BF37557"/>
    <w:rsid w:val="9BF45E23"/>
    <w:rsid w:val="9BF56A46"/>
    <w:rsid w:val="9BFF8CB4"/>
    <w:rsid w:val="9CBB3091"/>
    <w:rsid w:val="9CDBA032"/>
    <w:rsid w:val="9CF51C00"/>
    <w:rsid w:val="9CFF42C5"/>
    <w:rsid w:val="9CFF6233"/>
    <w:rsid w:val="9D1E9A77"/>
    <w:rsid w:val="9D7BB499"/>
    <w:rsid w:val="9D9E0D80"/>
    <w:rsid w:val="9DBDA47D"/>
    <w:rsid w:val="9DF1D568"/>
    <w:rsid w:val="9DF71A71"/>
    <w:rsid w:val="9DFC979D"/>
    <w:rsid w:val="9E5D6A06"/>
    <w:rsid w:val="9E67BC7B"/>
    <w:rsid w:val="9E72CBA6"/>
    <w:rsid w:val="9E7EA464"/>
    <w:rsid w:val="9E7F0BD7"/>
    <w:rsid w:val="9E7F8985"/>
    <w:rsid w:val="9E7FB2CB"/>
    <w:rsid w:val="9E93B646"/>
    <w:rsid w:val="9EE3FDFF"/>
    <w:rsid w:val="9EEE09F9"/>
    <w:rsid w:val="9F336466"/>
    <w:rsid w:val="9F4C9359"/>
    <w:rsid w:val="9F5F69BE"/>
    <w:rsid w:val="9F661678"/>
    <w:rsid w:val="9F6E4B1B"/>
    <w:rsid w:val="9F6F4CE3"/>
    <w:rsid w:val="9F6FC6F2"/>
    <w:rsid w:val="9F76460A"/>
    <w:rsid w:val="9F7E9799"/>
    <w:rsid w:val="9F7FB378"/>
    <w:rsid w:val="9F9CD944"/>
    <w:rsid w:val="9FAF458C"/>
    <w:rsid w:val="9FB6186E"/>
    <w:rsid w:val="9FB79A6B"/>
    <w:rsid w:val="9FBFE628"/>
    <w:rsid w:val="9FDB81AC"/>
    <w:rsid w:val="9FDBE455"/>
    <w:rsid w:val="9FE77A23"/>
    <w:rsid w:val="9FF30C64"/>
    <w:rsid w:val="9FF6CE90"/>
    <w:rsid w:val="9FF6F06E"/>
    <w:rsid w:val="9FFB7C4B"/>
    <w:rsid w:val="9FFD066B"/>
    <w:rsid w:val="9FFD4D0A"/>
    <w:rsid w:val="9FFD7254"/>
    <w:rsid w:val="9FFD8637"/>
    <w:rsid w:val="9FFDDE8C"/>
    <w:rsid w:val="9FFE4798"/>
    <w:rsid w:val="9FFFA47E"/>
    <w:rsid w:val="A0DDDF08"/>
    <w:rsid w:val="A1FD8F26"/>
    <w:rsid w:val="A37DA13E"/>
    <w:rsid w:val="A3DB831B"/>
    <w:rsid w:val="A3FAC701"/>
    <w:rsid w:val="A57BEB97"/>
    <w:rsid w:val="A5A26C0D"/>
    <w:rsid w:val="A5F7E05C"/>
    <w:rsid w:val="A5FEC687"/>
    <w:rsid w:val="A6BFF583"/>
    <w:rsid w:val="A6EBB70B"/>
    <w:rsid w:val="A7A9D22B"/>
    <w:rsid w:val="A7BE628C"/>
    <w:rsid w:val="A7E29030"/>
    <w:rsid w:val="A7E7F508"/>
    <w:rsid w:val="A7EDC3E9"/>
    <w:rsid w:val="A7EF5A00"/>
    <w:rsid w:val="A7EF9B44"/>
    <w:rsid w:val="A7F78B70"/>
    <w:rsid w:val="A7FC2659"/>
    <w:rsid w:val="A7FDD91F"/>
    <w:rsid w:val="A87F7A5F"/>
    <w:rsid w:val="A8CBAEB4"/>
    <w:rsid w:val="A95493CD"/>
    <w:rsid w:val="A9CBDA27"/>
    <w:rsid w:val="A9EFC7BF"/>
    <w:rsid w:val="A9FD6576"/>
    <w:rsid w:val="AA37A942"/>
    <w:rsid w:val="AABF1D4C"/>
    <w:rsid w:val="AADE2B38"/>
    <w:rsid w:val="AAE520ED"/>
    <w:rsid w:val="ABBF18CF"/>
    <w:rsid w:val="ABDABA39"/>
    <w:rsid w:val="ABEE7BA5"/>
    <w:rsid w:val="ABF69B06"/>
    <w:rsid w:val="ABFD42BB"/>
    <w:rsid w:val="AC59BD33"/>
    <w:rsid w:val="AC7F4182"/>
    <w:rsid w:val="ACEFCB4C"/>
    <w:rsid w:val="ACFD4019"/>
    <w:rsid w:val="ACFF08F0"/>
    <w:rsid w:val="ADB73C6E"/>
    <w:rsid w:val="ADD9F03D"/>
    <w:rsid w:val="ADDB3905"/>
    <w:rsid w:val="ADDFE4A6"/>
    <w:rsid w:val="ADF70790"/>
    <w:rsid w:val="ADFD5718"/>
    <w:rsid w:val="ADFD9DA2"/>
    <w:rsid w:val="ADFF28A0"/>
    <w:rsid w:val="ADFFC1FA"/>
    <w:rsid w:val="AE6FB611"/>
    <w:rsid w:val="AE8DD18E"/>
    <w:rsid w:val="AE9FDAC2"/>
    <w:rsid w:val="AEB6C8B1"/>
    <w:rsid w:val="AEB71D24"/>
    <w:rsid w:val="AEBB41B7"/>
    <w:rsid w:val="AECDDBE0"/>
    <w:rsid w:val="AEDFA02E"/>
    <w:rsid w:val="AEEB9994"/>
    <w:rsid w:val="AEF9E131"/>
    <w:rsid w:val="AEFF0FBA"/>
    <w:rsid w:val="AEFFCA88"/>
    <w:rsid w:val="AF05F2D8"/>
    <w:rsid w:val="AF488C71"/>
    <w:rsid w:val="AF73CBFB"/>
    <w:rsid w:val="AF73F5FF"/>
    <w:rsid w:val="AF75B3D8"/>
    <w:rsid w:val="AF7D9F3F"/>
    <w:rsid w:val="AF7F479A"/>
    <w:rsid w:val="AF7FFFC3"/>
    <w:rsid w:val="AFA75792"/>
    <w:rsid w:val="AFAF0378"/>
    <w:rsid w:val="AFAFDF7E"/>
    <w:rsid w:val="AFB7F801"/>
    <w:rsid w:val="AFBD1C2C"/>
    <w:rsid w:val="AFBF623C"/>
    <w:rsid w:val="AFC73BB8"/>
    <w:rsid w:val="AFD2CCBE"/>
    <w:rsid w:val="AFDF6CA0"/>
    <w:rsid w:val="AFE880C5"/>
    <w:rsid w:val="AFEB0CB0"/>
    <w:rsid w:val="AFEDB464"/>
    <w:rsid w:val="AFEE3718"/>
    <w:rsid w:val="AFEF6143"/>
    <w:rsid w:val="AFF709DD"/>
    <w:rsid w:val="AFFAF70F"/>
    <w:rsid w:val="AFFB9B47"/>
    <w:rsid w:val="AFFD5DF1"/>
    <w:rsid w:val="AFFD7665"/>
    <w:rsid w:val="AFFFC82A"/>
    <w:rsid w:val="AFFFD259"/>
    <w:rsid w:val="AFFFF56C"/>
    <w:rsid w:val="B0B7ECAF"/>
    <w:rsid w:val="B1BF1A15"/>
    <w:rsid w:val="B1FF42FE"/>
    <w:rsid w:val="B25F5526"/>
    <w:rsid w:val="B27C211B"/>
    <w:rsid w:val="B2AD70DC"/>
    <w:rsid w:val="B2EE922C"/>
    <w:rsid w:val="B2FEACB3"/>
    <w:rsid w:val="B2FFCBB0"/>
    <w:rsid w:val="B3237A19"/>
    <w:rsid w:val="B36382B1"/>
    <w:rsid w:val="B3733920"/>
    <w:rsid w:val="B3937ECA"/>
    <w:rsid w:val="B3B83BD7"/>
    <w:rsid w:val="B3BB22AB"/>
    <w:rsid w:val="B3D9A7BE"/>
    <w:rsid w:val="B3DF0AE9"/>
    <w:rsid w:val="B3DFD06D"/>
    <w:rsid w:val="B3F7C88B"/>
    <w:rsid w:val="B3FBB7AD"/>
    <w:rsid w:val="B3FF278B"/>
    <w:rsid w:val="B3FF73DD"/>
    <w:rsid w:val="B3FFF72F"/>
    <w:rsid w:val="B4E509CB"/>
    <w:rsid w:val="B4FFA55E"/>
    <w:rsid w:val="B517B3F4"/>
    <w:rsid w:val="B572E072"/>
    <w:rsid w:val="B5B6913A"/>
    <w:rsid w:val="B5B740A4"/>
    <w:rsid w:val="B5BB8B15"/>
    <w:rsid w:val="B5BFB7CD"/>
    <w:rsid w:val="B5EB37C7"/>
    <w:rsid w:val="B5EE0473"/>
    <w:rsid w:val="B5F578DF"/>
    <w:rsid w:val="B5FBEB1B"/>
    <w:rsid w:val="B5FFEF7D"/>
    <w:rsid w:val="B66FFD36"/>
    <w:rsid w:val="B67B829C"/>
    <w:rsid w:val="B6A9043A"/>
    <w:rsid w:val="B6BAF51F"/>
    <w:rsid w:val="B6BB1E14"/>
    <w:rsid w:val="B6BE592E"/>
    <w:rsid w:val="B6D6AA85"/>
    <w:rsid w:val="B6DBFA8C"/>
    <w:rsid w:val="B6EFBC16"/>
    <w:rsid w:val="B6EFC3EE"/>
    <w:rsid w:val="B6FD1706"/>
    <w:rsid w:val="B6FF15B4"/>
    <w:rsid w:val="B6FFE1AE"/>
    <w:rsid w:val="B71BF134"/>
    <w:rsid w:val="B75A7C7E"/>
    <w:rsid w:val="B75D6915"/>
    <w:rsid w:val="B76E7B02"/>
    <w:rsid w:val="B7756010"/>
    <w:rsid w:val="B7AEBBD7"/>
    <w:rsid w:val="B7BB0003"/>
    <w:rsid w:val="B7BB1BF2"/>
    <w:rsid w:val="B7CD800A"/>
    <w:rsid w:val="B7CFF77B"/>
    <w:rsid w:val="B7DD033C"/>
    <w:rsid w:val="B7DD5B58"/>
    <w:rsid w:val="B7EC5D57"/>
    <w:rsid w:val="B7F74A75"/>
    <w:rsid w:val="B7FB15B4"/>
    <w:rsid w:val="B7FCA102"/>
    <w:rsid w:val="B7FD0EE0"/>
    <w:rsid w:val="B7FE24B2"/>
    <w:rsid w:val="B7FF047F"/>
    <w:rsid w:val="B7FF2BB2"/>
    <w:rsid w:val="B7FF3349"/>
    <w:rsid w:val="B7FF3EFF"/>
    <w:rsid w:val="B7FF52AB"/>
    <w:rsid w:val="B7FF5693"/>
    <w:rsid w:val="B7FFFAF6"/>
    <w:rsid w:val="B83BC6DF"/>
    <w:rsid w:val="B83DC008"/>
    <w:rsid w:val="B8BB41B4"/>
    <w:rsid w:val="B8F96309"/>
    <w:rsid w:val="B8FE0619"/>
    <w:rsid w:val="B8FFFA40"/>
    <w:rsid w:val="B95E71AF"/>
    <w:rsid w:val="B9DFF298"/>
    <w:rsid w:val="B9E37EB7"/>
    <w:rsid w:val="B9ECE842"/>
    <w:rsid w:val="B9FF9D61"/>
    <w:rsid w:val="BA4FABB2"/>
    <w:rsid w:val="BA6B04D1"/>
    <w:rsid w:val="BA8E2C35"/>
    <w:rsid w:val="BAAD01FE"/>
    <w:rsid w:val="BAC923A6"/>
    <w:rsid w:val="BAE3E859"/>
    <w:rsid w:val="BAEBC44C"/>
    <w:rsid w:val="BAF22847"/>
    <w:rsid w:val="BAF600AA"/>
    <w:rsid w:val="BAF6891B"/>
    <w:rsid w:val="BAFF044B"/>
    <w:rsid w:val="BAFF4477"/>
    <w:rsid w:val="BB1F2DB9"/>
    <w:rsid w:val="BB5F4FBD"/>
    <w:rsid w:val="BB6AECFC"/>
    <w:rsid w:val="BB755E06"/>
    <w:rsid w:val="BB76A342"/>
    <w:rsid w:val="BB776297"/>
    <w:rsid w:val="BB97DB62"/>
    <w:rsid w:val="BBAF2A18"/>
    <w:rsid w:val="BBAFD30F"/>
    <w:rsid w:val="BBAFE8C2"/>
    <w:rsid w:val="BBBAA065"/>
    <w:rsid w:val="BBCF18D2"/>
    <w:rsid w:val="BBD318F0"/>
    <w:rsid w:val="BBD34147"/>
    <w:rsid w:val="BBDD6912"/>
    <w:rsid w:val="BBDE1D6E"/>
    <w:rsid w:val="BBDF284D"/>
    <w:rsid w:val="BBEA1C35"/>
    <w:rsid w:val="BBEB158D"/>
    <w:rsid w:val="BBEB317B"/>
    <w:rsid w:val="BBF31110"/>
    <w:rsid w:val="BBF66C1C"/>
    <w:rsid w:val="BBF708A9"/>
    <w:rsid w:val="BBF77746"/>
    <w:rsid w:val="BBF7D5E2"/>
    <w:rsid w:val="BBFB43DE"/>
    <w:rsid w:val="BBFC4AAC"/>
    <w:rsid w:val="BBFE8EEB"/>
    <w:rsid w:val="BBFEB859"/>
    <w:rsid w:val="BBFF557E"/>
    <w:rsid w:val="BC7F6E73"/>
    <w:rsid w:val="BCB3F7D1"/>
    <w:rsid w:val="BCB7BB6F"/>
    <w:rsid w:val="BCBF1415"/>
    <w:rsid w:val="BCCB7BB4"/>
    <w:rsid w:val="BCD72B92"/>
    <w:rsid w:val="BCDF53D7"/>
    <w:rsid w:val="BCED99C8"/>
    <w:rsid w:val="BCEE4E85"/>
    <w:rsid w:val="BCFF15F9"/>
    <w:rsid w:val="BCFFB099"/>
    <w:rsid w:val="BD34BBF4"/>
    <w:rsid w:val="BD4E3A47"/>
    <w:rsid w:val="BD661E3B"/>
    <w:rsid w:val="BD67E752"/>
    <w:rsid w:val="BD6E0777"/>
    <w:rsid w:val="BD7309A7"/>
    <w:rsid w:val="BD799B5D"/>
    <w:rsid w:val="BD7B5651"/>
    <w:rsid w:val="BD7F2FC4"/>
    <w:rsid w:val="BD9F3A52"/>
    <w:rsid w:val="BDAE068A"/>
    <w:rsid w:val="BDBA4721"/>
    <w:rsid w:val="BDBEDDEE"/>
    <w:rsid w:val="BDC71105"/>
    <w:rsid w:val="BDCE6D66"/>
    <w:rsid w:val="BDD8CE9B"/>
    <w:rsid w:val="BDDCD0C7"/>
    <w:rsid w:val="BDE36E22"/>
    <w:rsid w:val="BDED0D5B"/>
    <w:rsid w:val="BDED7004"/>
    <w:rsid w:val="BDEE675F"/>
    <w:rsid w:val="BDEF9833"/>
    <w:rsid w:val="BDF45923"/>
    <w:rsid w:val="BDF5D081"/>
    <w:rsid w:val="BDF78323"/>
    <w:rsid w:val="BDF7B167"/>
    <w:rsid w:val="BDF7C6C7"/>
    <w:rsid w:val="BDFF1933"/>
    <w:rsid w:val="BDFF6A03"/>
    <w:rsid w:val="BDFF79A9"/>
    <w:rsid w:val="BE0F99FA"/>
    <w:rsid w:val="BE2F2ADF"/>
    <w:rsid w:val="BE53BF7E"/>
    <w:rsid w:val="BE55DD92"/>
    <w:rsid w:val="BE9E962D"/>
    <w:rsid w:val="BE9F8ACD"/>
    <w:rsid w:val="BEA7DCA4"/>
    <w:rsid w:val="BEB585AF"/>
    <w:rsid w:val="BEB7B668"/>
    <w:rsid w:val="BEB8AE17"/>
    <w:rsid w:val="BEB969C4"/>
    <w:rsid w:val="BEBE24B8"/>
    <w:rsid w:val="BEBF6AE3"/>
    <w:rsid w:val="BECD32FB"/>
    <w:rsid w:val="BEDB140C"/>
    <w:rsid w:val="BEDDA1EE"/>
    <w:rsid w:val="BEDE20B7"/>
    <w:rsid w:val="BEDF4DC8"/>
    <w:rsid w:val="BEDF9E56"/>
    <w:rsid w:val="BEE64D05"/>
    <w:rsid w:val="BEE7BBAA"/>
    <w:rsid w:val="BEE7C9AF"/>
    <w:rsid w:val="BEEB0D94"/>
    <w:rsid w:val="BEEBDCE2"/>
    <w:rsid w:val="BEEF9DE9"/>
    <w:rsid w:val="BEEFDCEB"/>
    <w:rsid w:val="BEFB6926"/>
    <w:rsid w:val="BEFD248A"/>
    <w:rsid w:val="BEFD35BD"/>
    <w:rsid w:val="BEFE0FB7"/>
    <w:rsid w:val="BEFE963E"/>
    <w:rsid w:val="BEFF9CD1"/>
    <w:rsid w:val="BEFFA732"/>
    <w:rsid w:val="BEFFDA5A"/>
    <w:rsid w:val="BEFFDFE3"/>
    <w:rsid w:val="BF1D8694"/>
    <w:rsid w:val="BF2EDBE7"/>
    <w:rsid w:val="BF35CACC"/>
    <w:rsid w:val="BF37B9A7"/>
    <w:rsid w:val="BF3FB9F0"/>
    <w:rsid w:val="BF3FBDDA"/>
    <w:rsid w:val="BF5D355F"/>
    <w:rsid w:val="BF674516"/>
    <w:rsid w:val="BF6B736A"/>
    <w:rsid w:val="BF6FA417"/>
    <w:rsid w:val="BF77B473"/>
    <w:rsid w:val="BF7B7919"/>
    <w:rsid w:val="BF7BBDA6"/>
    <w:rsid w:val="BF7D8728"/>
    <w:rsid w:val="BF7D917F"/>
    <w:rsid w:val="BF7F9880"/>
    <w:rsid w:val="BF85560F"/>
    <w:rsid w:val="BF8FB58C"/>
    <w:rsid w:val="BF9600FA"/>
    <w:rsid w:val="BF9B4143"/>
    <w:rsid w:val="BF9F8630"/>
    <w:rsid w:val="BFA5BFE8"/>
    <w:rsid w:val="BFB0B42D"/>
    <w:rsid w:val="BFB6E323"/>
    <w:rsid w:val="BFB7127E"/>
    <w:rsid w:val="BFBBB11D"/>
    <w:rsid w:val="BFBD87DE"/>
    <w:rsid w:val="BFBE5D79"/>
    <w:rsid w:val="BFBE8EF8"/>
    <w:rsid w:val="BFBF2803"/>
    <w:rsid w:val="BFBF855A"/>
    <w:rsid w:val="BFBFCC22"/>
    <w:rsid w:val="BFBFFB74"/>
    <w:rsid w:val="BFCFBC7A"/>
    <w:rsid w:val="BFD7AEBC"/>
    <w:rsid w:val="BFD7E934"/>
    <w:rsid w:val="BFDB275C"/>
    <w:rsid w:val="BFDDDA5F"/>
    <w:rsid w:val="BFDE2026"/>
    <w:rsid w:val="BFDE58DE"/>
    <w:rsid w:val="BFDF026A"/>
    <w:rsid w:val="BFDF7CBE"/>
    <w:rsid w:val="BFDF7F4B"/>
    <w:rsid w:val="BFDFB4D9"/>
    <w:rsid w:val="BFDFE32C"/>
    <w:rsid w:val="BFE2197D"/>
    <w:rsid w:val="BFE3DB66"/>
    <w:rsid w:val="BFE68ED0"/>
    <w:rsid w:val="BFE70429"/>
    <w:rsid w:val="BFE928A8"/>
    <w:rsid w:val="BFEA4053"/>
    <w:rsid w:val="BFEAC8A3"/>
    <w:rsid w:val="BFEDAD97"/>
    <w:rsid w:val="BFEDFBAF"/>
    <w:rsid w:val="BFEE06F6"/>
    <w:rsid w:val="BFEEBB20"/>
    <w:rsid w:val="BFEEC976"/>
    <w:rsid w:val="BFEEEDAA"/>
    <w:rsid w:val="BFEF005C"/>
    <w:rsid w:val="BFEF8DCC"/>
    <w:rsid w:val="BFF3782A"/>
    <w:rsid w:val="BFF604EA"/>
    <w:rsid w:val="BFF730BA"/>
    <w:rsid w:val="BFF7517A"/>
    <w:rsid w:val="BFF7765E"/>
    <w:rsid w:val="BFF78617"/>
    <w:rsid w:val="BFF7CFBB"/>
    <w:rsid w:val="BFF7E1D6"/>
    <w:rsid w:val="BFF9981C"/>
    <w:rsid w:val="BFFBB6CB"/>
    <w:rsid w:val="BFFBE2CB"/>
    <w:rsid w:val="BFFBF258"/>
    <w:rsid w:val="BFFBFC35"/>
    <w:rsid w:val="BFFD6A54"/>
    <w:rsid w:val="BFFD84E4"/>
    <w:rsid w:val="BFFEC0B0"/>
    <w:rsid w:val="BFFEF21D"/>
    <w:rsid w:val="BFFF03D1"/>
    <w:rsid w:val="BFFF0DBD"/>
    <w:rsid w:val="BFFF2F33"/>
    <w:rsid w:val="BFFF31D1"/>
    <w:rsid w:val="BFFF3F50"/>
    <w:rsid w:val="BFFF6117"/>
    <w:rsid w:val="BFFF6440"/>
    <w:rsid w:val="BFFFA78B"/>
    <w:rsid w:val="BFFFA989"/>
    <w:rsid w:val="C0BDF863"/>
    <w:rsid w:val="C0F72708"/>
    <w:rsid w:val="C14CA068"/>
    <w:rsid w:val="C15B7A21"/>
    <w:rsid w:val="C2760AD9"/>
    <w:rsid w:val="C37FCA39"/>
    <w:rsid w:val="C3BFA589"/>
    <w:rsid w:val="C3DEAA16"/>
    <w:rsid w:val="C3FBFC0B"/>
    <w:rsid w:val="C4BF7A0D"/>
    <w:rsid w:val="C4E7C444"/>
    <w:rsid w:val="C4F72629"/>
    <w:rsid w:val="C4FFC65F"/>
    <w:rsid w:val="C5797B11"/>
    <w:rsid w:val="C57E600D"/>
    <w:rsid w:val="C5BF7CD6"/>
    <w:rsid w:val="C5E7DD1E"/>
    <w:rsid w:val="C5FD1F6C"/>
    <w:rsid w:val="C6FD1C1D"/>
    <w:rsid w:val="C741F6E2"/>
    <w:rsid w:val="C75F078C"/>
    <w:rsid w:val="C76EE8D8"/>
    <w:rsid w:val="C7775A67"/>
    <w:rsid w:val="C77BAD19"/>
    <w:rsid w:val="C7BFDBFF"/>
    <w:rsid w:val="C7EFBACB"/>
    <w:rsid w:val="C7FF3C79"/>
    <w:rsid w:val="C7FF824C"/>
    <w:rsid w:val="C97BC0BD"/>
    <w:rsid w:val="C97E89BD"/>
    <w:rsid w:val="C9E188A0"/>
    <w:rsid w:val="CAFD686F"/>
    <w:rsid w:val="CAFFDDB1"/>
    <w:rsid w:val="CB1A15C9"/>
    <w:rsid w:val="CB53C416"/>
    <w:rsid w:val="CB5A1992"/>
    <w:rsid w:val="CB7DB40E"/>
    <w:rsid w:val="CB7E8232"/>
    <w:rsid w:val="CB7FD807"/>
    <w:rsid w:val="CBD98DC9"/>
    <w:rsid w:val="CBDE02B1"/>
    <w:rsid w:val="CBEEE0B8"/>
    <w:rsid w:val="CBEFFDD6"/>
    <w:rsid w:val="CBFA37CF"/>
    <w:rsid w:val="CD17382E"/>
    <w:rsid w:val="CD8DB5CE"/>
    <w:rsid w:val="CDBB1D19"/>
    <w:rsid w:val="CDBFAEED"/>
    <w:rsid w:val="CDCF717D"/>
    <w:rsid w:val="CDE2C89F"/>
    <w:rsid w:val="CDEF6E27"/>
    <w:rsid w:val="CDF0C8C5"/>
    <w:rsid w:val="CDFEE171"/>
    <w:rsid w:val="CDFF838C"/>
    <w:rsid w:val="CEB1C2DA"/>
    <w:rsid w:val="CECFF04F"/>
    <w:rsid w:val="CEFF215C"/>
    <w:rsid w:val="CF1D6242"/>
    <w:rsid w:val="CF5F7370"/>
    <w:rsid w:val="CF6D9D83"/>
    <w:rsid w:val="CF7D17C8"/>
    <w:rsid w:val="CF7F3FAE"/>
    <w:rsid w:val="CFAF1CA0"/>
    <w:rsid w:val="CFAFD091"/>
    <w:rsid w:val="CFB57CC2"/>
    <w:rsid w:val="CFBF1ED7"/>
    <w:rsid w:val="CFBF98D9"/>
    <w:rsid w:val="CFD1DFCB"/>
    <w:rsid w:val="CFD60B6D"/>
    <w:rsid w:val="CFE98133"/>
    <w:rsid w:val="CFEB426A"/>
    <w:rsid w:val="CFF19DAB"/>
    <w:rsid w:val="CFF2FC04"/>
    <w:rsid w:val="CFF66044"/>
    <w:rsid w:val="CFFB1220"/>
    <w:rsid w:val="CFFD4BC2"/>
    <w:rsid w:val="CFFE260B"/>
    <w:rsid w:val="CFFF376B"/>
    <w:rsid w:val="CFFF6EEF"/>
    <w:rsid w:val="CFFF86E3"/>
    <w:rsid w:val="CFFFD69C"/>
    <w:rsid w:val="CFFFDC47"/>
    <w:rsid w:val="D03FBB5F"/>
    <w:rsid w:val="D0B938F6"/>
    <w:rsid w:val="D1FB8B95"/>
    <w:rsid w:val="D26B8540"/>
    <w:rsid w:val="D27FFA2F"/>
    <w:rsid w:val="D2B6B8F0"/>
    <w:rsid w:val="D2BF7972"/>
    <w:rsid w:val="D2F537C1"/>
    <w:rsid w:val="D2FC5189"/>
    <w:rsid w:val="D2FD460C"/>
    <w:rsid w:val="D2FFB30B"/>
    <w:rsid w:val="D3470988"/>
    <w:rsid w:val="D377BE57"/>
    <w:rsid w:val="D39A0E52"/>
    <w:rsid w:val="D3CF6F72"/>
    <w:rsid w:val="D3D76768"/>
    <w:rsid w:val="D3D94EE0"/>
    <w:rsid w:val="D3DF0B67"/>
    <w:rsid w:val="D3F6CA57"/>
    <w:rsid w:val="D3F7D5DC"/>
    <w:rsid w:val="D3FF3573"/>
    <w:rsid w:val="D44E556F"/>
    <w:rsid w:val="D47B7340"/>
    <w:rsid w:val="D4AF98D5"/>
    <w:rsid w:val="D4E7C1C4"/>
    <w:rsid w:val="D4F45D04"/>
    <w:rsid w:val="D59CBC32"/>
    <w:rsid w:val="D5B34647"/>
    <w:rsid w:val="D5E473C1"/>
    <w:rsid w:val="D5FBAD55"/>
    <w:rsid w:val="D5FD1FAA"/>
    <w:rsid w:val="D5FE02AB"/>
    <w:rsid w:val="D5FE1E8A"/>
    <w:rsid w:val="D63E7834"/>
    <w:rsid w:val="D65FC0EB"/>
    <w:rsid w:val="D699D9C0"/>
    <w:rsid w:val="D6BF8B35"/>
    <w:rsid w:val="D6E3978D"/>
    <w:rsid w:val="D6FF57B4"/>
    <w:rsid w:val="D73E9B6D"/>
    <w:rsid w:val="D7689CE2"/>
    <w:rsid w:val="D76F515F"/>
    <w:rsid w:val="D76F90E6"/>
    <w:rsid w:val="D77DECDA"/>
    <w:rsid w:val="D79F3F3D"/>
    <w:rsid w:val="D7B61E30"/>
    <w:rsid w:val="D7BA8427"/>
    <w:rsid w:val="D7CF3EB5"/>
    <w:rsid w:val="D7D4AE20"/>
    <w:rsid w:val="D7D57E2E"/>
    <w:rsid w:val="D7DA0646"/>
    <w:rsid w:val="D7DF76F0"/>
    <w:rsid w:val="D7E77E7D"/>
    <w:rsid w:val="D7EAC961"/>
    <w:rsid w:val="D7EE9CE6"/>
    <w:rsid w:val="D7EF1E35"/>
    <w:rsid w:val="D7F30A83"/>
    <w:rsid w:val="D7F34C06"/>
    <w:rsid w:val="D7F712C6"/>
    <w:rsid w:val="D7F72ACD"/>
    <w:rsid w:val="D7FCABD2"/>
    <w:rsid w:val="D7FD8EFA"/>
    <w:rsid w:val="D7FE06A7"/>
    <w:rsid w:val="D7FE8308"/>
    <w:rsid w:val="D7FFF3B7"/>
    <w:rsid w:val="D82E8EE8"/>
    <w:rsid w:val="D862A6E8"/>
    <w:rsid w:val="D8CFE9F1"/>
    <w:rsid w:val="D8FFAEAF"/>
    <w:rsid w:val="D97E432C"/>
    <w:rsid w:val="D9B6EC5D"/>
    <w:rsid w:val="D9BD01E5"/>
    <w:rsid w:val="D9D90F89"/>
    <w:rsid w:val="D9FBAB0B"/>
    <w:rsid w:val="D9FE3DFE"/>
    <w:rsid w:val="D9FE4149"/>
    <w:rsid w:val="D9FEE4B2"/>
    <w:rsid w:val="D9FF171F"/>
    <w:rsid w:val="DA6FDA7E"/>
    <w:rsid w:val="DA7F82ED"/>
    <w:rsid w:val="DA9C5412"/>
    <w:rsid w:val="DA9ED2C8"/>
    <w:rsid w:val="DAA7345D"/>
    <w:rsid w:val="DABF51E7"/>
    <w:rsid w:val="DAE55E92"/>
    <w:rsid w:val="DAED94CD"/>
    <w:rsid w:val="DAF188DD"/>
    <w:rsid w:val="DAFB5CFF"/>
    <w:rsid w:val="DAFD8260"/>
    <w:rsid w:val="DB1F9783"/>
    <w:rsid w:val="DB391774"/>
    <w:rsid w:val="DB5FD581"/>
    <w:rsid w:val="DB646881"/>
    <w:rsid w:val="DB6DD891"/>
    <w:rsid w:val="DB8DBC51"/>
    <w:rsid w:val="DB9BE874"/>
    <w:rsid w:val="DBB97458"/>
    <w:rsid w:val="DBB99672"/>
    <w:rsid w:val="DBBC63C5"/>
    <w:rsid w:val="DBBD1604"/>
    <w:rsid w:val="DBBEFA89"/>
    <w:rsid w:val="DBBF16DF"/>
    <w:rsid w:val="DBBFF74A"/>
    <w:rsid w:val="DBCDB1D2"/>
    <w:rsid w:val="DBDB72B2"/>
    <w:rsid w:val="DBDF389D"/>
    <w:rsid w:val="DBE8F3AE"/>
    <w:rsid w:val="DBE90053"/>
    <w:rsid w:val="DBEB8C4B"/>
    <w:rsid w:val="DBEF960C"/>
    <w:rsid w:val="DBEFD90B"/>
    <w:rsid w:val="DBFADCC5"/>
    <w:rsid w:val="DBFB556A"/>
    <w:rsid w:val="DBFBE7EB"/>
    <w:rsid w:val="DBFC8CE1"/>
    <w:rsid w:val="DBFDE492"/>
    <w:rsid w:val="DBFFF31F"/>
    <w:rsid w:val="DBFFF535"/>
    <w:rsid w:val="DC55DF3F"/>
    <w:rsid w:val="DC767C52"/>
    <w:rsid w:val="DC7B79DC"/>
    <w:rsid w:val="DCAB532F"/>
    <w:rsid w:val="DCBD9AE0"/>
    <w:rsid w:val="DCD5110E"/>
    <w:rsid w:val="DCEF41F8"/>
    <w:rsid w:val="DCFE9CF6"/>
    <w:rsid w:val="DCFF3438"/>
    <w:rsid w:val="DD33ED0F"/>
    <w:rsid w:val="DD3F4FF0"/>
    <w:rsid w:val="DD57B66F"/>
    <w:rsid w:val="DD6F9411"/>
    <w:rsid w:val="DD7D92FD"/>
    <w:rsid w:val="DD7E2BBC"/>
    <w:rsid w:val="DD9BBE7E"/>
    <w:rsid w:val="DD9F47F3"/>
    <w:rsid w:val="DDAC3EB0"/>
    <w:rsid w:val="DDB6A040"/>
    <w:rsid w:val="DDB74251"/>
    <w:rsid w:val="DDB7D95F"/>
    <w:rsid w:val="DDBB9522"/>
    <w:rsid w:val="DDBCBF9C"/>
    <w:rsid w:val="DDBEA928"/>
    <w:rsid w:val="DDBFAA8A"/>
    <w:rsid w:val="DDBFAAC6"/>
    <w:rsid w:val="DDDBD1DC"/>
    <w:rsid w:val="DDDF732C"/>
    <w:rsid w:val="DDE4F5EE"/>
    <w:rsid w:val="DDEDEBAF"/>
    <w:rsid w:val="DDEE42D1"/>
    <w:rsid w:val="DDEFE1DE"/>
    <w:rsid w:val="DDF3124E"/>
    <w:rsid w:val="DDF71F8B"/>
    <w:rsid w:val="DDF73C30"/>
    <w:rsid w:val="DDF75E9C"/>
    <w:rsid w:val="DDF7BDBE"/>
    <w:rsid w:val="DDFA1770"/>
    <w:rsid w:val="DDFB2EDA"/>
    <w:rsid w:val="DDFDDA52"/>
    <w:rsid w:val="DDFEA76A"/>
    <w:rsid w:val="DDFEA8B4"/>
    <w:rsid w:val="DDFF025C"/>
    <w:rsid w:val="DDFF2CFA"/>
    <w:rsid w:val="DDFF81C0"/>
    <w:rsid w:val="DDFF9BE2"/>
    <w:rsid w:val="DDFF9FA6"/>
    <w:rsid w:val="DDFFA88A"/>
    <w:rsid w:val="DDFFB9E2"/>
    <w:rsid w:val="DDFFC081"/>
    <w:rsid w:val="DE1F0A08"/>
    <w:rsid w:val="DE3F8C5D"/>
    <w:rsid w:val="DE4D5ADC"/>
    <w:rsid w:val="DE4FBA80"/>
    <w:rsid w:val="DE5E85EF"/>
    <w:rsid w:val="DE7B6DFE"/>
    <w:rsid w:val="DE7CDC41"/>
    <w:rsid w:val="DE7EF7A1"/>
    <w:rsid w:val="DEBF16D2"/>
    <w:rsid w:val="DED35AA6"/>
    <w:rsid w:val="DED71D7A"/>
    <w:rsid w:val="DEDF13A9"/>
    <w:rsid w:val="DEDF2DB5"/>
    <w:rsid w:val="DEE93FD7"/>
    <w:rsid w:val="DEEEE878"/>
    <w:rsid w:val="DEF58FBB"/>
    <w:rsid w:val="DEF725F6"/>
    <w:rsid w:val="DEF98DF0"/>
    <w:rsid w:val="DEFA870D"/>
    <w:rsid w:val="DEFD7940"/>
    <w:rsid w:val="DEFE8841"/>
    <w:rsid w:val="DEFFAA84"/>
    <w:rsid w:val="DEFFABCE"/>
    <w:rsid w:val="DF15333E"/>
    <w:rsid w:val="DF1D02FB"/>
    <w:rsid w:val="DF36C2DF"/>
    <w:rsid w:val="DF37D9D0"/>
    <w:rsid w:val="DF3C4F5D"/>
    <w:rsid w:val="DF3E1301"/>
    <w:rsid w:val="DF3E48F9"/>
    <w:rsid w:val="DF3F1FB9"/>
    <w:rsid w:val="DF3FF5D4"/>
    <w:rsid w:val="DF460E26"/>
    <w:rsid w:val="DF47D6C9"/>
    <w:rsid w:val="DF5C1233"/>
    <w:rsid w:val="DF5F548B"/>
    <w:rsid w:val="DF5F592C"/>
    <w:rsid w:val="DF651378"/>
    <w:rsid w:val="DF6C6F81"/>
    <w:rsid w:val="DF723456"/>
    <w:rsid w:val="DF7605E6"/>
    <w:rsid w:val="DF77461A"/>
    <w:rsid w:val="DF7763A5"/>
    <w:rsid w:val="DF7B7195"/>
    <w:rsid w:val="DF7FA5D2"/>
    <w:rsid w:val="DF7FAF6E"/>
    <w:rsid w:val="DF8FCB01"/>
    <w:rsid w:val="DF9E8958"/>
    <w:rsid w:val="DF9F4AC0"/>
    <w:rsid w:val="DF9FEFB9"/>
    <w:rsid w:val="DFA387B5"/>
    <w:rsid w:val="DFAF30FE"/>
    <w:rsid w:val="DFB174B9"/>
    <w:rsid w:val="DFB4D576"/>
    <w:rsid w:val="DFB9C0B0"/>
    <w:rsid w:val="DFBB6E83"/>
    <w:rsid w:val="DFBB933C"/>
    <w:rsid w:val="DFBC6BA1"/>
    <w:rsid w:val="DFBCB0F0"/>
    <w:rsid w:val="DFBDB219"/>
    <w:rsid w:val="DFBF2C48"/>
    <w:rsid w:val="DFBF4A26"/>
    <w:rsid w:val="DFBF72D9"/>
    <w:rsid w:val="DFBF83DC"/>
    <w:rsid w:val="DFBFD67B"/>
    <w:rsid w:val="DFC65C8A"/>
    <w:rsid w:val="DFC79E94"/>
    <w:rsid w:val="DFCFF9CE"/>
    <w:rsid w:val="DFD52195"/>
    <w:rsid w:val="DFD7E15C"/>
    <w:rsid w:val="DFD99FDB"/>
    <w:rsid w:val="DFDB69C5"/>
    <w:rsid w:val="DFDB71BD"/>
    <w:rsid w:val="DFDBF02E"/>
    <w:rsid w:val="DFDCD89D"/>
    <w:rsid w:val="DFDD4C33"/>
    <w:rsid w:val="DFDDDB47"/>
    <w:rsid w:val="DFDE86AB"/>
    <w:rsid w:val="DFDEFDBE"/>
    <w:rsid w:val="DFDF1422"/>
    <w:rsid w:val="DFDFB09B"/>
    <w:rsid w:val="DFDFBC40"/>
    <w:rsid w:val="DFDFDA9D"/>
    <w:rsid w:val="DFE5DE6B"/>
    <w:rsid w:val="DFE69D09"/>
    <w:rsid w:val="DFE7EF4D"/>
    <w:rsid w:val="DFEB78E4"/>
    <w:rsid w:val="DFEDF193"/>
    <w:rsid w:val="DFEE9DDB"/>
    <w:rsid w:val="DFEEE747"/>
    <w:rsid w:val="DFEF4A8B"/>
    <w:rsid w:val="DFF040AB"/>
    <w:rsid w:val="DFF6CB88"/>
    <w:rsid w:val="DFF70133"/>
    <w:rsid w:val="DFF71DAC"/>
    <w:rsid w:val="DFF738ED"/>
    <w:rsid w:val="DFF769A4"/>
    <w:rsid w:val="DFF79584"/>
    <w:rsid w:val="DFF7E5D6"/>
    <w:rsid w:val="DFFB7F38"/>
    <w:rsid w:val="DFFBB7A0"/>
    <w:rsid w:val="DFFBD6D6"/>
    <w:rsid w:val="DFFBE335"/>
    <w:rsid w:val="DFFC5A22"/>
    <w:rsid w:val="DFFE0468"/>
    <w:rsid w:val="DFFE1083"/>
    <w:rsid w:val="DFFF0A07"/>
    <w:rsid w:val="DFFF468A"/>
    <w:rsid w:val="DFFF6C91"/>
    <w:rsid w:val="DFFF7CDB"/>
    <w:rsid w:val="DFFFA9EA"/>
    <w:rsid w:val="DFFFC781"/>
    <w:rsid w:val="E12D6A85"/>
    <w:rsid w:val="E13FFDBB"/>
    <w:rsid w:val="E1A7083C"/>
    <w:rsid w:val="E1D7C95F"/>
    <w:rsid w:val="E2AD4CC8"/>
    <w:rsid w:val="E33BC0A7"/>
    <w:rsid w:val="E35FB5D1"/>
    <w:rsid w:val="E35FFF20"/>
    <w:rsid w:val="E3772B5D"/>
    <w:rsid w:val="E3BD27A6"/>
    <w:rsid w:val="E3BF9833"/>
    <w:rsid w:val="E3E3BAA2"/>
    <w:rsid w:val="E3EF5AA9"/>
    <w:rsid w:val="E3FF16E5"/>
    <w:rsid w:val="E46E0094"/>
    <w:rsid w:val="E4F3CAAC"/>
    <w:rsid w:val="E4F9F52E"/>
    <w:rsid w:val="E4FBAF11"/>
    <w:rsid w:val="E4FE8562"/>
    <w:rsid w:val="E4FFA06A"/>
    <w:rsid w:val="E5582507"/>
    <w:rsid w:val="E575D147"/>
    <w:rsid w:val="E5BEEDB5"/>
    <w:rsid w:val="E5D93A26"/>
    <w:rsid w:val="E5DE12A1"/>
    <w:rsid w:val="E5EC9E1F"/>
    <w:rsid w:val="E5F29052"/>
    <w:rsid w:val="E5F2C3A3"/>
    <w:rsid w:val="E5F914E8"/>
    <w:rsid w:val="E5FFEBF3"/>
    <w:rsid w:val="E63C3CC6"/>
    <w:rsid w:val="E6B6C0DC"/>
    <w:rsid w:val="E6B7738E"/>
    <w:rsid w:val="E6DB6823"/>
    <w:rsid w:val="E6DF4A01"/>
    <w:rsid w:val="E6F68F78"/>
    <w:rsid w:val="E6FF5595"/>
    <w:rsid w:val="E7070DAE"/>
    <w:rsid w:val="E7391A4B"/>
    <w:rsid w:val="E73FB30E"/>
    <w:rsid w:val="E76F872E"/>
    <w:rsid w:val="E7733E65"/>
    <w:rsid w:val="E77743A1"/>
    <w:rsid w:val="E777CB00"/>
    <w:rsid w:val="E77CCA69"/>
    <w:rsid w:val="E77D5AC1"/>
    <w:rsid w:val="E797ED16"/>
    <w:rsid w:val="E79BF9E2"/>
    <w:rsid w:val="E7AF6661"/>
    <w:rsid w:val="E7BF941B"/>
    <w:rsid w:val="E7BFBDF2"/>
    <w:rsid w:val="E7C5BDBB"/>
    <w:rsid w:val="E7DF2B2F"/>
    <w:rsid w:val="E7F36294"/>
    <w:rsid w:val="E7F51AB2"/>
    <w:rsid w:val="E7F7BB02"/>
    <w:rsid w:val="E7F7CB07"/>
    <w:rsid w:val="E7FBE0FD"/>
    <w:rsid w:val="E7FCF46F"/>
    <w:rsid w:val="E7FDFCEC"/>
    <w:rsid w:val="E7FF095D"/>
    <w:rsid w:val="E7FF3AC5"/>
    <w:rsid w:val="E7FF3F09"/>
    <w:rsid w:val="E7FF4383"/>
    <w:rsid w:val="E7FF5C5C"/>
    <w:rsid w:val="E7FF87B7"/>
    <w:rsid w:val="E7FFCCA5"/>
    <w:rsid w:val="E87E7951"/>
    <w:rsid w:val="E8B7436D"/>
    <w:rsid w:val="E8CF77BB"/>
    <w:rsid w:val="E8F42BE7"/>
    <w:rsid w:val="E8F757DA"/>
    <w:rsid w:val="E8FEE7AB"/>
    <w:rsid w:val="E977C213"/>
    <w:rsid w:val="E97D37C0"/>
    <w:rsid w:val="E9DE5EE8"/>
    <w:rsid w:val="E9FBF16B"/>
    <w:rsid w:val="E9FFD2B1"/>
    <w:rsid w:val="EA6D2836"/>
    <w:rsid w:val="EA7B4D6D"/>
    <w:rsid w:val="EA7FFAB4"/>
    <w:rsid w:val="EA96A894"/>
    <w:rsid w:val="EABF4789"/>
    <w:rsid w:val="EAEB2F82"/>
    <w:rsid w:val="EAED39B1"/>
    <w:rsid w:val="EAEE3CE6"/>
    <w:rsid w:val="EAF3C4AD"/>
    <w:rsid w:val="EAF771DA"/>
    <w:rsid w:val="EAFE1038"/>
    <w:rsid w:val="EAFFFFFA"/>
    <w:rsid w:val="EB3765D8"/>
    <w:rsid w:val="EB3D5195"/>
    <w:rsid w:val="EB598D1D"/>
    <w:rsid w:val="EB6A8000"/>
    <w:rsid w:val="EB6F2686"/>
    <w:rsid w:val="EB6FD4D1"/>
    <w:rsid w:val="EB6FD66D"/>
    <w:rsid w:val="EB71A8F7"/>
    <w:rsid w:val="EB75D68F"/>
    <w:rsid w:val="EB7BE9BD"/>
    <w:rsid w:val="EB7FAD2F"/>
    <w:rsid w:val="EB814C6B"/>
    <w:rsid w:val="EBAE76C5"/>
    <w:rsid w:val="EBB74167"/>
    <w:rsid w:val="EBBBF7F7"/>
    <w:rsid w:val="EBBCB4EB"/>
    <w:rsid w:val="EBBDFC3E"/>
    <w:rsid w:val="EBCF7B34"/>
    <w:rsid w:val="EBD63B8C"/>
    <w:rsid w:val="EBDF520B"/>
    <w:rsid w:val="EBEFD70B"/>
    <w:rsid w:val="EBFB1F1F"/>
    <w:rsid w:val="EBFB20E1"/>
    <w:rsid w:val="EBFCD59B"/>
    <w:rsid w:val="EBFDB468"/>
    <w:rsid w:val="EBFE7F7E"/>
    <w:rsid w:val="EBFF4679"/>
    <w:rsid w:val="EBFF909E"/>
    <w:rsid w:val="EC6F2045"/>
    <w:rsid w:val="ECED156F"/>
    <w:rsid w:val="ECFD5091"/>
    <w:rsid w:val="ECFE9597"/>
    <w:rsid w:val="ECFF48A1"/>
    <w:rsid w:val="ED0B703C"/>
    <w:rsid w:val="ED2B6862"/>
    <w:rsid w:val="ED33475B"/>
    <w:rsid w:val="ED3B1C4E"/>
    <w:rsid w:val="ED3D7AD2"/>
    <w:rsid w:val="ED4B1B7E"/>
    <w:rsid w:val="ED55DDF5"/>
    <w:rsid w:val="ED657EF0"/>
    <w:rsid w:val="ED7C4F01"/>
    <w:rsid w:val="ED7D6669"/>
    <w:rsid w:val="ED7DD53D"/>
    <w:rsid w:val="ED9C0E87"/>
    <w:rsid w:val="EDA9653F"/>
    <w:rsid w:val="EDAD06C1"/>
    <w:rsid w:val="EDBB73BC"/>
    <w:rsid w:val="EDBE9399"/>
    <w:rsid w:val="EDBEBD92"/>
    <w:rsid w:val="EDBEFE37"/>
    <w:rsid w:val="EDCF2491"/>
    <w:rsid w:val="EDD7B31D"/>
    <w:rsid w:val="EDDDE78E"/>
    <w:rsid w:val="EDDEA3CE"/>
    <w:rsid w:val="EDDF2513"/>
    <w:rsid w:val="EDDFA583"/>
    <w:rsid w:val="EDEEB45C"/>
    <w:rsid w:val="EDEFB638"/>
    <w:rsid w:val="EDF7481C"/>
    <w:rsid w:val="EDF78115"/>
    <w:rsid w:val="EDFA4556"/>
    <w:rsid w:val="EDFAE14B"/>
    <w:rsid w:val="EDFCC4A6"/>
    <w:rsid w:val="EDFED5FC"/>
    <w:rsid w:val="EDFF0391"/>
    <w:rsid w:val="EDFF2841"/>
    <w:rsid w:val="EDFFB5F5"/>
    <w:rsid w:val="EE0FFAC3"/>
    <w:rsid w:val="EE3FE590"/>
    <w:rsid w:val="EE7FFF20"/>
    <w:rsid w:val="EE979056"/>
    <w:rsid w:val="EE9D7CA1"/>
    <w:rsid w:val="EE9FFD11"/>
    <w:rsid w:val="EEB23206"/>
    <w:rsid w:val="EEB7F077"/>
    <w:rsid w:val="EEBF007F"/>
    <w:rsid w:val="EEBFEA90"/>
    <w:rsid w:val="EEC3B859"/>
    <w:rsid w:val="EECF00BC"/>
    <w:rsid w:val="EECF113E"/>
    <w:rsid w:val="EECF1181"/>
    <w:rsid w:val="EED22303"/>
    <w:rsid w:val="EED482E5"/>
    <w:rsid w:val="EED8CA81"/>
    <w:rsid w:val="EEDF6332"/>
    <w:rsid w:val="EEE74465"/>
    <w:rsid w:val="EEEB3260"/>
    <w:rsid w:val="EEF6CE9D"/>
    <w:rsid w:val="EEFE21CD"/>
    <w:rsid w:val="EEFF02B3"/>
    <w:rsid w:val="EF2D111A"/>
    <w:rsid w:val="EF399D65"/>
    <w:rsid w:val="EF3F7989"/>
    <w:rsid w:val="EF4A7C0B"/>
    <w:rsid w:val="EF4EBB97"/>
    <w:rsid w:val="EF5F4AEC"/>
    <w:rsid w:val="EF5F7754"/>
    <w:rsid w:val="EF6D0C8A"/>
    <w:rsid w:val="EF6F962A"/>
    <w:rsid w:val="EF6FBA8E"/>
    <w:rsid w:val="EF738C14"/>
    <w:rsid w:val="EF76A122"/>
    <w:rsid w:val="EF77BC85"/>
    <w:rsid w:val="EF790B02"/>
    <w:rsid w:val="EF7D45AC"/>
    <w:rsid w:val="EF7EDFD7"/>
    <w:rsid w:val="EF7F7E71"/>
    <w:rsid w:val="EF9E1C54"/>
    <w:rsid w:val="EFA22B35"/>
    <w:rsid w:val="EFABD443"/>
    <w:rsid w:val="EFB39A41"/>
    <w:rsid w:val="EFB4BF35"/>
    <w:rsid w:val="EFB55640"/>
    <w:rsid w:val="EFB95106"/>
    <w:rsid w:val="EFBD0FDE"/>
    <w:rsid w:val="EFBE7A61"/>
    <w:rsid w:val="EFBEC69F"/>
    <w:rsid w:val="EFBEC9C1"/>
    <w:rsid w:val="EFBF09A8"/>
    <w:rsid w:val="EFBF3408"/>
    <w:rsid w:val="EFBF3CED"/>
    <w:rsid w:val="EFBFA0E1"/>
    <w:rsid w:val="EFCA0307"/>
    <w:rsid w:val="EFCD876E"/>
    <w:rsid w:val="EFCF0ACD"/>
    <w:rsid w:val="EFD4A546"/>
    <w:rsid w:val="EFD7A796"/>
    <w:rsid w:val="EFDB86E6"/>
    <w:rsid w:val="EFDE6D91"/>
    <w:rsid w:val="EFDF370F"/>
    <w:rsid w:val="EFDF392E"/>
    <w:rsid w:val="EFDF3962"/>
    <w:rsid w:val="EFDF7627"/>
    <w:rsid w:val="EFDFBA73"/>
    <w:rsid w:val="EFEA5954"/>
    <w:rsid w:val="EFEBFBD0"/>
    <w:rsid w:val="EFEC373B"/>
    <w:rsid w:val="EFED42FB"/>
    <w:rsid w:val="EFED6CC7"/>
    <w:rsid w:val="EFEF1FCB"/>
    <w:rsid w:val="EFEF7174"/>
    <w:rsid w:val="EFEF7D7B"/>
    <w:rsid w:val="EFF337CA"/>
    <w:rsid w:val="EFF3B784"/>
    <w:rsid w:val="EFF3F5BB"/>
    <w:rsid w:val="EFF50A7C"/>
    <w:rsid w:val="EFF732C3"/>
    <w:rsid w:val="EFF9CC69"/>
    <w:rsid w:val="EFFB18FF"/>
    <w:rsid w:val="EFFD487A"/>
    <w:rsid w:val="EFFDAFE9"/>
    <w:rsid w:val="EFFDC427"/>
    <w:rsid w:val="EFFE232E"/>
    <w:rsid w:val="EFFE2AD5"/>
    <w:rsid w:val="EFFE8321"/>
    <w:rsid w:val="EFFE8D73"/>
    <w:rsid w:val="EFFE9440"/>
    <w:rsid w:val="EFFEC420"/>
    <w:rsid w:val="EFFF61E1"/>
    <w:rsid w:val="EFFF7233"/>
    <w:rsid w:val="EFFF7758"/>
    <w:rsid w:val="EFFFA499"/>
    <w:rsid w:val="EFFFBFA7"/>
    <w:rsid w:val="EFFFC6E8"/>
    <w:rsid w:val="EFFFCF2E"/>
    <w:rsid w:val="EFFFD747"/>
    <w:rsid w:val="EFFFE66C"/>
    <w:rsid w:val="F02DD5E7"/>
    <w:rsid w:val="F045182B"/>
    <w:rsid w:val="F0B74503"/>
    <w:rsid w:val="F0E675E2"/>
    <w:rsid w:val="F16B1092"/>
    <w:rsid w:val="F16B9432"/>
    <w:rsid w:val="F16F3783"/>
    <w:rsid w:val="F19F7DAF"/>
    <w:rsid w:val="F1AB5D68"/>
    <w:rsid w:val="F1AF2955"/>
    <w:rsid w:val="F1B60AF4"/>
    <w:rsid w:val="F1BEF40A"/>
    <w:rsid w:val="F1DCAB97"/>
    <w:rsid w:val="F1EF3C94"/>
    <w:rsid w:val="F1F7C589"/>
    <w:rsid w:val="F1FF6A74"/>
    <w:rsid w:val="F27FAD77"/>
    <w:rsid w:val="F27FCE1D"/>
    <w:rsid w:val="F2BEF479"/>
    <w:rsid w:val="F2EE5D80"/>
    <w:rsid w:val="F2F75379"/>
    <w:rsid w:val="F2F927FC"/>
    <w:rsid w:val="F2FE4C96"/>
    <w:rsid w:val="F2FF368C"/>
    <w:rsid w:val="F363C762"/>
    <w:rsid w:val="F3774866"/>
    <w:rsid w:val="F377B115"/>
    <w:rsid w:val="F37B52E0"/>
    <w:rsid w:val="F385957F"/>
    <w:rsid w:val="F39FDF79"/>
    <w:rsid w:val="F3A67421"/>
    <w:rsid w:val="F3AFBB18"/>
    <w:rsid w:val="F3B395EA"/>
    <w:rsid w:val="F3B936C3"/>
    <w:rsid w:val="F3BF897F"/>
    <w:rsid w:val="F3D741D1"/>
    <w:rsid w:val="F3DDB955"/>
    <w:rsid w:val="F3DE79E1"/>
    <w:rsid w:val="F3E45E0B"/>
    <w:rsid w:val="F3EBA1EB"/>
    <w:rsid w:val="F3EEF842"/>
    <w:rsid w:val="F3EF2232"/>
    <w:rsid w:val="F3F983E8"/>
    <w:rsid w:val="F3FBB4C2"/>
    <w:rsid w:val="F3FF7895"/>
    <w:rsid w:val="F3FF9140"/>
    <w:rsid w:val="F3FFF9FE"/>
    <w:rsid w:val="F45552E6"/>
    <w:rsid w:val="F465DBEB"/>
    <w:rsid w:val="F47D33BF"/>
    <w:rsid w:val="F4AE0576"/>
    <w:rsid w:val="F4B73A31"/>
    <w:rsid w:val="F4BD7B2B"/>
    <w:rsid w:val="F4DF832D"/>
    <w:rsid w:val="F4F1F3C5"/>
    <w:rsid w:val="F4FF6ABA"/>
    <w:rsid w:val="F50FE5E6"/>
    <w:rsid w:val="F56FD9B8"/>
    <w:rsid w:val="F57D323F"/>
    <w:rsid w:val="F59B1811"/>
    <w:rsid w:val="F5AD22A7"/>
    <w:rsid w:val="F5BF4788"/>
    <w:rsid w:val="F5DF4678"/>
    <w:rsid w:val="F5DFD241"/>
    <w:rsid w:val="F5DFD97A"/>
    <w:rsid w:val="F5EF0C6E"/>
    <w:rsid w:val="F5F5763C"/>
    <w:rsid w:val="F5FB87C5"/>
    <w:rsid w:val="F5FDEA3B"/>
    <w:rsid w:val="F5FF8851"/>
    <w:rsid w:val="F5FFA04D"/>
    <w:rsid w:val="F5FFAA47"/>
    <w:rsid w:val="F65D8DCB"/>
    <w:rsid w:val="F65DC932"/>
    <w:rsid w:val="F65F71D0"/>
    <w:rsid w:val="F66F3FA6"/>
    <w:rsid w:val="F69DA2DD"/>
    <w:rsid w:val="F69F692F"/>
    <w:rsid w:val="F6B4A91C"/>
    <w:rsid w:val="F6B5FC87"/>
    <w:rsid w:val="F6BDC84A"/>
    <w:rsid w:val="F6CEACA0"/>
    <w:rsid w:val="F6CF78AA"/>
    <w:rsid w:val="F6DBA67F"/>
    <w:rsid w:val="F6DBBECA"/>
    <w:rsid w:val="F6DFC9AE"/>
    <w:rsid w:val="F6EF0A5D"/>
    <w:rsid w:val="F6EFC196"/>
    <w:rsid w:val="F6F2A3F5"/>
    <w:rsid w:val="F6F71731"/>
    <w:rsid w:val="F6F99B1B"/>
    <w:rsid w:val="F6FBECE5"/>
    <w:rsid w:val="F6FD22FB"/>
    <w:rsid w:val="F6FE6658"/>
    <w:rsid w:val="F6FECE5D"/>
    <w:rsid w:val="F6FEF76D"/>
    <w:rsid w:val="F71A21C0"/>
    <w:rsid w:val="F71F50DA"/>
    <w:rsid w:val="F71FE2C1"/>
    <w:rsid w:val="F731EA82"/>
    <w:rsid w:val="F73E8D62"/>
    <w:rsid w:val="F73F233C"/>
    <w:rsid w:val="F75B219C"/>
    <w:rsid w:val="F75DEEEC"/>
    <w:rsid w:val="F7655BE0"/>
    <w:rsid w:val="F76BA37B"/>
    <w:rsid w:val="F76F1173"/>
    <w:rsid w:val="F76F1572"/>
    <w:rsid w:val="F76F2138"/>
    <w:rsid w:val="F76F4112"/>
    <w:rsid w:val="F77D45F9"/>
    <w:rsid w:val="F7925A55"/>
    <w:rsid w:val="F7970B2F"/>
    <w:rsid w:val="F79A8490"/>
    <w:rsid w:val="F79F95BA"/>
    <w:rsid w:val="F7A78312"/>
    <w:rsid w:val="F7AD710B"/>
    <w:rsid w:val="F7AE7495"/>
    <w:rsid w:val="F7AF8878"/>
    <w:rsid w:val="F7B78023"/>
    <w:rsid w:val="F7B78B54"/>
    <w:rsid w:val="F7BDCDE2"/>
    <w:rsid w:val="F7BE0323"/>
    <w:rsid w:val="F7BEAA25"/>
    <w:rsid w:val="F7BF4FE1"/>
    <w:rsid w:val="F7C90290"/>
    <w:rsid w:val="F7CDD07C"/>
    <w:rsid w:val="F7D51C71"/>
    <w:rsid w:val="F7DA514F"/>
    <w:rsid w:val="F7DB6275"/>
    <w:rsid w:val="F7DDD0D3"/>
    <w:rsid w:val="F7DE38A6"/>
    <w:rsid w:val="F7DEA0EF"/>
    <w:rsid w:val="F7DF3FE7"/>
    <w:rsid w:val="F7E56EAE"/>
    <w:rsid w:val="F7E7144B"/>
    <w:rsid w:val="F7E74FD0"/>
    <w:rsid w:val="F7E7797F"/>
    <w:rsid w:val="F7E7A712"/>
    <w:rsid w:val="F7EB1DAF"/>
    <w:rsid w:val="F7EC358F"/>
    <w:rsid w:val="F7ECB67C"/>
    <w:rsid w:val="F7ED90CE"/>
    <w:rsid w:val="F7EDDC8F"/>
    <w:rsid w:val="F7EF318A"/>
    <w:rsid w:val="F7EF3493"/>
    <w:rsid w:val="F7EF4061"/>
    <w:rsid w:val="F7F03138"/>
    <w:rsid w:val="F7F39642"/>
    <w:rsid w:val="F7F46B36"/>
    <w:rsid w:val="F7F60E73"/>
    <w:rsid w:val="F7F73ACD"/>
    <w:rsid w:val="F7F7AB4A"/>
    <w:rsid w:val="F7F9335A"/>
    <w:rsid w:val="F7FA3F70"/>
    <w:rsid w:val="F7FAD715"/>
    <w:rsid w:val="F7FB70D5"/>
    <w:rsid w:val="F7FBA507"/>
    <w:rsid w:val="F7FBD076"/>
    <w:rsid w:val="F7FBE8E2"/>
    <w:rsid w:val="F7FCCF05"/>
    <w:rsid w:val="F7FD89CD"/>
    <w:rsid w:val="F7FDC2E7"/>
    <w:rsid w:val="F7FDD136"/>
    <w:rsid w:val="F7FDEBC5"/>
    <w:rsid w:val="F7FE1C38"/>
    <w:rsid w:val="F7FE32B0"/>
    <w:rsid w:val="F7FEC048"/>
    <w:rsid w:val="F7FF0F3F"/>
    <w:rsid w:val="F7FF2F6F"/>
    <w:rsid w:val="F7FF474F"/>
    <w:rsid w:val="F7FF84CB"/>
    <w:rsid w:val="F7FF8CFE"/>
    <w:rsid w:val="F7FFE958"/>
    <w:rsid w:val="F7FFF636"/>
    <w:rsid w:val="F87D4791"/>
    <w:rsid w:val="F8D4751E"/>
    <w:rsid w:val="F8EFA0A9"/>
    <w:rsid w:val="F8EFAEBC"/>
    <w:rsid w:val="F8F763FD"/>
    <w:rsid w:val="F8FDC258"/>
    <w:rsid w:val="F8FF986F"/>
    <w:rsid w:val="F8FFC46A"/>
    <w:rsid w:val="F91E974A"/>
    <w:rsid w:val="F91F6E1B"/>
    <w:rsid w:val="F91FA0DE"/>
    <w:rsid w:val="F9293F3B"/>
    <w:rsid w:val="F947897A"/>
    <w:rsid w:val="F97A2661"/>
    <w:rsid w:val="F97BDF02"/>
    <w:rsid w:val="F97DF2F1"/>
    <w:rsid w:val="F9837A7F"/>
    <w:rsid w:val="F98A9607"/>
    <w:rsid w:val="F9A6F130"/>
    <w:rsid w:val="F9AF8FF2"/>
    <w:rsid w:val="F9B91D4C"/>
    <w:rsid w:val="F9BCDF52"/>
    <w:rsid w:val="F9BF0547"/>
    <w:rsid w:val="F9BF65CA"/>
    <w:rsid w:val="F9CDF874"/>
    <w:rsid w:val="F9D42BE8"/>
    <w:rsid w:val="F9D797C2"/>
    <w:rsid w:val="F9DD6A09"/>
    <w:rsid w:val="F9DF3978"/>
    <w:rsid w:val="F9DF629B"/>
    <w:rsid w:val="F9DF9CE7"/>
    <w:rsid w:val="F9E9070C"/>
    <w:rsid w:val="F9EB760A"/>
    <w:rsid w:val="F9EC8409"/>
    <w:rsid w:val="F9EFAA15"/>
    <w:rsid w:val="F9F018CA"/>
    <w:rsid w:val="F9F08890"/>
    <w:rsid w:val="F9F788F7"/>
    <w:rsid w:val="F9FA8453"/>
    <w:rsid w:val="F9FABFC1"/>
    <w:rsid w:val="F9FBEC6E"/>
    <w:rsid w:val="F9FD873F"/>
    <w:rsid w:val="F9FFAAA7"/>
    <w:rsid w:val="F9FFC34C"/>
    <w:rsid w:val="FA5869C5"/>
    <w:rsid w:val="FA74C71C"/>
    <w:rsid w:val="FAAF2732"/>
    <w:rsid w:val="FABF9851"/>
    <w:rsid w:val="FAD3209A"/>
    <w:rsid w:val="FADB9F02"/>
    <w:rsid w:val="FAEE00A8"/>
    <w:rsid w:val="FAEF468A"/>
    <w:rsid w:val="FAF5D4CD"/>
    <w:rsid w:val="FAF6EB23"/>
    <w:rsid w:val="FAF7331D"/>
    <w:rsid w:val="FAF7F279"/>
    <w:rsid w:val="FAF8E084"/>
    <w:rsid w:val="FAFC31FA"/>
    <w:rsid w:val="FAFDFEA1"/>
    <w:rsid w:val="FAFDFEFF"/>
    <w:rsid w:val="FAFE922C"/>
    <w:rsid w:val="FAFE9864"/>
    <w:rsid w:val="FAFF04B7"/>
    <w:rsid w:val="FAFF31BA"/>
    <w:rsid w:val="FAFFE9B1"/>
    <w:rsid w:val="FB096E0A"/>
    <w:rsid w:val="FB27F563"/>
    <w:rsid w:val="FB2FF3D3"/>
    <w:rsid w:val="FB321D56"/>
    <w:rsid w:val="FB35F569"/>
    <w:rsid w:val="FB39AD12"/>
    <w:rsid w:val="FB47A715"/>
    <w:rsid w:val="FB56BB07"/>
    <w:rsid w:val="FB5DAF81"/>
    <w:rsid w:val="FB67223F"/>
    <w:rsid w:val="FB6A631E"/>
    <w:rsid w:val="FB6A7ECB"/>
    <w:rsid w:val="FB77024B"/>
    <w:rsid w:val="FB7B8E10"/>
    <w:rsid w:val="FB7C628B"/>
    <w:rsid w:val="FB7E1E2C"/>
    <w:rsid w:val="FB7E578A"/>
    <w:rsid w:val="FB7E71B8"/>
    <w:rsid w:val="FB7F1901"/>
    <w:rsid w:val="FB7F53A7"/>
    <w:rsid w:val="FB7FED87"/>
    <w:rsid w:val="FB95F97F"/>
    <w:rsid w:val="FB97E391"/>
    <w:rsid w:val="FB9FEA66"/>
    <w:rsid w:val="FBA3730C"/>
    <w:rsid w:val="FBA9F8A3"/>
    <w:rsid w:val="FBAD6E86"/>
    <w:rsid w:val="FBAFD715"/>
    <w:rsid w:val="FBBBB5FF"/>
    <w:rsid w:val="FBBD1B2E"/>
    <w:rsid w:val="FBBF8D38"/>
    <w:rsid w:val="FBBFAB63"/>
    <w:rsid w:val="FBBFB9EA"/>
    <w:rsid w:val="FBBFE3CF"/>
    <w:rsid w:val="FBC30FA5"/>
    <w:rsid w:val="FBCD0233"/>
    <w:rsid w:val="FBCE9022"/>
    <w:rsid w:val="FBCF6EEE"/>
    <w:rsid w:val="FBD5EE86"/>
    <w:rsid w:val="FBD66387"/>
    <w:rsid w:val="FBD7F38F"/>
    <w:rsid w:val="FBD91C87"/>
    <w:rsid w:val="FBD963A6"/>
    <w:rsid w:val="FBDB36F3"/>
    <w:rsid w:val="FBDD932C"/>
    <w:rsid w:val="FBDDB046"/>
    <w:rsid w:val="FBDF4CCB"/>
    <w:rsid w:val="FBDF9F9B"/>
    <w:rsid w:val="FBDFE6D7"/>
    <w:rsid w:val="FBDFEA09"/>
    <w:rsid w:val="FBE716EB"/>
    <w:rsid w:val="FBE72CD9"/>
    <w:rsid w:val="FBEC02BA"/>
    <w:rsid w:val="FBEFDAA7"/>
    <w:rsid w:val="FBEFDAC2"/>
    <w:rsid w:val="FBEFE424"/>
    <w:rsid w:val="FBF15872"/>
    <w:rsid w:val="FBF75687"/>
    <w:rsid w:val="FBF7A8C4"/>
    <w:rsid w:val="FBF7EE84"/>
    <w:rsid w:val="FBF9EBAB"/>
    <w:rsid w:val="FBFA81E3"/>
    <w:rsid w:val="FBFB87D7"/>
    <w:rsid w:val="FBFBC2E0"/>
    <w:rsid w:val="FBFBD8E3"/>
    <w:rsid w:val="FBFBE5DB"/>
    <w:rsid w:val="FBFBE9B3"/>
    <w:rsid w:val="FBFC2E95"/>
    <w:rsid w:val="FBFCBBAB"/>
    <w:rsid w:val="FBFD17FE"/>
    <w:rsid w:val="FBFD24D9"/>
    <w:rsid w:val="FBFD53AD"/>
    <w:rsid w:val="FBFDBC32"/>
    <w:rsid w:val="FBFEA22A"/>
    <w:rsid w:val="FBFF5959"/>
    <w:rsid w:val="FBFF66F6"/>
    <w:rsid w:val="FBFF6866"/>
    <w:rsid w:val="FBFF754E"/>
    <w:rsid w:val="FBFF8363"/>
    <w:rsid w:val="FBFF99C2"/>
    <w:rsid w:val="FBFFACD8"/>
    <w:rsid w:val="FBFFC787"/>
    <w:rsid w:val="FC3F4FE1"/>
    <w:rsid w:val="FC3F5039"/>
    <w:rsid w:val="FC4F7575"/>
    <w:rsid w:val="FC5F4371"/>
    <w:rsid w:val="FC62BBA8"/>
    <w:rsid w:val="FC69DDCC"/>
    <w:rsid w:val="FC9F2892"/>
    <w:rsid w:val="FCA4CCF1"/>
    <w:rsid w:val="FCAD5B43"/>
    <w:rsid w:val="FCBFF756"/>
    <w:rsid w:val="FCCF4302"/>
    <w:rsid w:val="FCD3F370"/>
    <w:rsid w:val="FCDDCDE2"/>
    <w:rsid w:val="FCDFA014"/>
    <w:rsid w:val="FCE34FAC"/>
    <w:rsid w:val="FCE9BFE4"/>
    <w:rsid w:val="FCEB0D2F"/>
    <w:rsid w:val="FCEBBEAA"/>
    <w:rsid w:val="FCF3EBC2"/>
    <w:rsid w:val="FCF5FAE7"/>
    <w:rsid w:val="FCF7BD8C"/>
    <w:rsid w:val="FCFAD5ED"/>
    <w:rsid w:val="FCFF26A9"/>
    <w:rsid w:val="FD2D6B5B"/>
    <w:rsid w:val="FD336FB6"/>
    <w:rsid w:val="FD33A8B3"/>
    <w:rsid w:val="FD3ECD84"/>
    <w:rsid w:val="FD46E42C"/>
    <w:rsid w:val="FD4702CE"/>
    <w:rsid w:val="FD4F3960"/>
    <w:rsid w:val="FD4FD4BC"/>
    <w:rsid w:val="FD5D3427"/>
    <w:rsid w:val="FD5F96CE"/>
    <w:rsid w:val="FD6596E0"/>
    <w:rsid w:val="FD6E681F"/>
    <w:rsid w:val="FD6F204A"/>
    <w:rsid w:val="FD6FB32E"/>
    <w:rsid w:val="FD7717CA"/>
    <w:rsid w:val="FD798247"/>
    <w:rsid w:val="FD7B7C2D"/>
    <w:rsid w:val="FD7D7EB4"/>
    <w:rsid w:val="FD7D9D13"/>
    <w:rsid w:val="FD7E2499"/>
    <w:rsid w:val="FD7F1BC6"/>
    <w:rsid w:val="FD8BB19E"/>
    <w:rsid w:val="FD8C2885"/>
    <w:rsid w:val="FD8E1FAF"/>
    <w:rsid w:val="FD939B5F"/>
    <w:rsid w:val="FD97CADC"/>
    <w:rsid w:val="FD9935DE"/>
    <w:rsid w:val="FD9F4455"/>
    <w:rsid w:val="FDB33572"/>
    <w:rsid w:val="FDB7A70B"/>
    <w:rsid w:val="FDBA6FCB"/>
    <w:rsid w:val="FDBBDC0D"/>
    <w:rsid w:val="FDBC74EE"/>
    <w:rsid w:val="FDBD1443"/>
    <w:rsid w:val="FDBD3F35"/>
    <w:rsid w:val="FDBD8A82"/>
    <w:rsid w:val="FDBDBB89"/>
    <w:rsid w:val="FDBE2F99"/>
    <w:rsid w:val="FDBF9642"/>
    <w:rsid w:val="FDBF99BD"/>
    <w:rsid w:val="FDBFAE40"/>
    <w:rsid w:val="FDC30635"/>
    <w:rsid w:val="FDCDC237"/>
    <w:rsid w:val="FDCFB4F2"/>
    <w:rsid w:val="FDD5425F"/>
    <w:rsid w:val="FDD6B773"/>
    <w:rsid w:val="FDD7CB43"/>
    <w:rsid w:val="FDDADB90"/>
    <w:rsid w:val="FDDF2B9A"/>
    <w:rsid w:val="FDDFFDF7"/>
    <w:rsid w:val="FDE5D8BF"/>
    <w:rsid w:val="FDE6A625"/>
    <w:rsid w:val="FDE70D2C"/>
    <w:rsid w:val="FDE763D5"/>
    <w:rsid w:val="FDE7B65A"/>
    <w:rsid w:val="FDE8E923"/>
    <w:rsid w:val="FDEAC427"/>
    <w:rsid w:val="FDEB25D2"/>
    <w:rsid w:val="FDEBA8CC"/>
    <w:rsid w:val="FDEC6811"/>
    <w:rsid w:val="FDEEBEA0"/>
    <w:rsid w:val="FDEF08C9"/>
    <w:rsid w:val="FDF334FD"/>
    <w:rsid w:val="FDF3B67B"/>
    <w:rsid w:val="FDF4DBDA"/>
    <w:rsid w:val="FDF50B58"/>
    <w:rsid w:val="FDF6BED6"/>
    <w:rsid w:val="FDF6CA7B"/>
    <w:rsid w:val="FDF78436"/>
    <w:rsid w:val="FDF7F89A"/>
    <w:rsid w:val="FDFD27BD"/>
    <w:rsid w:val="FDFD720D"/>
    <w:rsid w:val="FDFDC599"/>
    <w:rsid w:val="FDFE0A59"/>
    <w:rsid w:val="FDFE4F36"/>
    <w:rsid w:val="FDFF1741"/>
    <w:rsid w:val="FDFF398A"/>
    <w:rsid w:val="FDFF3A90"/>
    <w:rsid w:val="FDFFAC1E"/>
    <w:rsid w:val="FDFFCF6F"/>
    <w:rsid w:val="FE0FEBD6"/>
    <w:rsid w:val="FE173E37"/>
    <w:rsid w:val="FE27ACA5"/>
    <w:rsid w:val="FE27AEAD"/>
    <w:rsid w:val="FE2F62CD"/>
    <w:rsid w:val="FE3FF141"/>
    <w:rsid w:val="FE4F8196"/>
    <w:rsid w:val="FE5BE5C3"/>
    <w:rsid w:val="FE5FCFA4"/>
    <w:rsid w:val="FE616665"/>
    <w:rsid w:val="FE63B001"/>
    <w:rsid w:val="FE69D806"/>
    <w:rsid w:val="FE761FC4"/>
    <w:rsid w:val="FE788F1E"/>
    <w:rsid w:val="FE7965AC"/>
    <w:rsid w:val="FE7CE28B"/>
    <w:rsid w:val="FE7D962A"/>
    <w:rsid w:val="FE7F01EC"/>
    <w:rsid w:val="FE7F2BDD"/>
    <w:rsid w:val="FE7FD747"/>
    <w:rsid w:val="FE7FE6FD"/>
    <w:rsid w:val="FE8CC494"/>
    <w:rsid w:val="FE8DF8D6"/>
    <w:rsid w:val="FE973592"/>
    <w:rsid w:val="FE9D05F8"/>
    <w:rsid w:val="FE9EF6BF"/>
    <w:rsid w:val="FE9F7953"/>
    <w:rsid w:val="FEA62DD7"/>
    <w:rsid w:val="FEA7E105"/>
    <w:rsid w:val="FEA9C445"/>
    <w:rsid w:val="FEB39E1F"/>
    <w:rsid w:val="FEB70A7A"/>
    <w:rsid w:val="FEBF494C"/>
    <w:rsid w:val="FEBF7CD7"/>
    <w:rsid w:val="FEBFEA91"/>
    <w:rsid w:val="FEC69B01"/>
    <w:rsid w:val="FECB35FF"/>
    <w:rsid w:val="FECF1381"/>
    <w:rsid w:val="FED5388A"/>
    <w:rsid w:val="FED875B2"/>
    <w:rsid w:val="FED8E0DD"/>
    <w:rsid w:val="FED98FA3"/>
    <w:rsid w:val="FEDAEB9F"/>
    <w:rsid w:val="FEDBFD23"/>
    <w:rsid w:val="FEDCB0DF"/>
    <w:rsid w:val="FEDD2CB6"/>
    <w:rsid w:val="FEDD8DFC"/>
    <w:rsid w:val="FEDDD36B"/>
    <w:rsid w:val="FEDF1EB5"/>
    <w:rsid w:val="FEDF223B"/>
    <w:rsid w:val="FEDF48AD"/>
    <w:rsid w:val="FEDFACAC"/>
    <w:rsid w:val="FEE3F095"/>
    <w:rsid w:val="FEE572FC"/>
    <w:rsid w:val="FEE7201F"/>
    <w:rsid w:val="FEE7237C"/>
    <w:rsid w:val="FEE7B7D5"/>
    <w:rsid w:val="FEE7DE82"/>
    <w:rsid w:val="FEEAAFA9"/>
    <w:rsid w:val="FEEAD2CA"/>
    <w:rsid w:val="FEEF844A"/>
    <w:rsid w:val="FEEFDECB"/>
    <w:rsid w:val="FEEFFF70"/>
    <w:rsid w:val="FEF30830"/>
    <w:rsid w:val="FEF67094"/>
    <w:rsid w:val="FEF6B1ED"/>
    <w:rsid w:val="FEF79A64"/>
    <w:rsid w:val="FEF908F5"/>
    <w:rsid w:val="FEFA2E48"/>
    <w:rsid w:val="FEFB0E49"/>
    <w:rsid w:val="FEFB739E"/>
    <w:rsid w:val="FEFBA6B9"/>
    <w:rsid w:val="FEFBAA7D"/>
    <w:rsid w:val="FEFC19C8"/>
    <w:rsid w:val="FEFC2418"/>
    <w:rsid w:val="FEFCEA43"/>
    <w:rsid w:val="FEFD40EB"/>
    <w:rsid w:val="FEFDBBA2"/>
    <w:rsid w:val="FEFF0A5E"/>
    <w:rsid w:val="FEFF0CB1"/>
    <w:rsid w:val="FEFF27FE"/>
    <w:rsid w:val="FEFF4878"/>
    <w:rsid w:val="FEFF71D5"/>
    <w:rsid w:val="FEFF8B96"/>
    <w:rsid w:val="FEFF9109"/>
    <w:rsid w:val="FEFF97F5"/>
    <w:rsid w:val="FEFFB22B"/>
    <w:rsid w:val="FEFFBA3B"/>
    <w:rsid w:val="FEFFD0CE"/>
    <w:rsid w:val="FEFFD7D2"/>
    <w:rsid w:val="FEFFD8F7"/>
    <w:rsid w:val="FEFFE385"/>
    <w:rsid w:val="FF03B944"/>
    <w:rsid w:val="FF077A28"/>
    <w:rsid w:val="FF07A2B2"/>
    <w:rsid w:val="FF0D6DF8"/>
    <w:rsid w:val="FF1B0CF6"/>
    <w:rsid w:val="FF1D5B84"/>
    <w:rsid w:val="FF2B2B19"/>
    <w:rsid w:val="FF2B4213"/>
    <w:rsid w:val="FF2BBB48"/>
    <w:rsid w:val="FF2CFB64"/>
    <w:rsid w:val="FF2D6C03"/>
    <w:rsid w:val="FF2F33C3"/>
    <w:rsid w:val="FF2F6E4D"/>
    <w:rsid w:val="FF3345EA"/>
    <w:rsid w:val="FF3793B8"/>
    <w:rsid w:val="FF3BE7C7"/>
    <w:rsid w:val="FF3F0A88"/>
    <w:rsid w:val="FF3F52D7"/>
    <w:rsid w:val="FF3F9295"/>
    <w:rsid w:val="FF3FCE65"/>
    <w:rsid w:val="FF3FEF94"/>
    <w:rsid w:val="FF459C4A"/>
    <w:rsid w:val="FF46DB85"/>
    <w:rsid w:val="FF46F3C7"/>
    <w:rsid w:val="FF4F5B0D"/>
    <w:rsid w:val="FF561719"/>
    <w:rsid w:val="FF5733B4"/>
    <w:rsid w:val="FF57C3E3"/>
    <w:rsid w:val="FF5D6336"/>
    <w:rsid w:val="FF5F9BCD"/>
    <w:rsid w:val="FF5FA065"/>
    <w:rsid w:val="FF5FE15C"/>
    <w:rsid w:val="FF636B78"/>
    <w:rsid w:val="FF6374B7"/>
    <w:rsid w:val="FF63C7D5"/>
    <w:rsid w:val="FF65D02E"/>
    <w:rsid w:val="FF6B86E6"/>
    <w:rsid w:val="FF6BFD64"/>
    <w:rsid w:val="FF6F3386"/>
    <w:rsid w:val="FF6F4769"/>
    <w:rsid w:val="FF6F4B3F"/>
    <w:rsid w:val="FF73AE7F"/>
    <w:rsid w:val="FF73EB89"/>
    <w:rsid w:val="FF74871F"/>
    <w:rsid w:val="FF771100"/>
    <w:rsid w:val="FF77AD7B"/>
    <w:rsid w:val="FF7AAC2D"/>
    <w:rsid w:val="FF7AF5BC"/>
    <w:rsid w:val="FF7B17AF"/>
    <w:rsid w:val="FF7B7B59"/>
    <w:rsid w:val="FF7B9953"/>
    <w:rsid w:val="FF7BA8D3"/>
    <w:rsid w:val="FF7D0F79"/>
    <w:rsid w:val="FF7F3E65"/>
    <w:rsid w:val="FF7F437D"/>
    <w:rsid w:val="FF7F62A0"/>
    <w:rsid w:val="FF7F741C"/>
    <w:rsid w:val="FF7FBD78"/>
    <w:rsid w:val="FF861402"/>
    <w:rsid w:val="FF951B13"/>
    <w:rsid w:val="FF971695"/>
    <w:rsid w:val="FF97DE54"/>
    <w:rsid w:val="FF9A3E43"/>
    <w:rsid w:val="FF9A8F91"/>
    <w:rsid w:val="FF9B3E16"/>
    <w:rsid w:val="FF9BC0B3"/>
    <w:rsid w:val="FF9CB4BF"/>
    <w:rsid w:val="FF9F15B1"/>
    <w:rsid w:val="FF9F4737"/>
    <w:rsid w:val="FF9F4A0C"/>
    <w:rsid w:val="FF9F7A43"/>
    <w:rsid w:val="FFA3193B"/>
    <w:rsid w:val="FFA77A1D"/>
    <w:rsid w:val="FFA98D05"/>
    <w:rsid w:val="FFAAE548"/>
    <w:rsid w:val="FFAC543C"/>
    <w:rsid w:val="FFAE5447"/>
    <w:rsid w:val="FFAFC0DC"/>
    <w:rsid w:val="FFB22CB8"/>
    <w:rsid w:val="FFB2EBE6"/>
    <w:rsid w:val="FFB30FAD"/>
    <w:rsid w:val="FFB685AB"/>
    <w:rsid w:val="FFB73225"/>
    <w:rsid w:val="FFB76173"/>
    <w:rsid w:val="FFB992AB"/>
    <w:rsid w:val="FFBAED28"/>
    <w:rsid w:val="FFBB1142"/>
    <w:rsid w:val="FFBBBC69"/>
    <w:rsid w:val="FFBD6BA9"/>
    <w:rsid w:val="FFBDA528"/>
    <w:rsid w:val="FFBDDC60"/>
    <w:rsid w:val="FFBE3405"/>
    <w:rsid w:val="FFBE4219"/>
    <w:rsid w:val="FFBE6927"/>
    <w:rsid w:val="FFBE76F5"/>
    <w:rsid w:val="FFBF0EDE"/>
    <w:rsid w:val="FFBF117E"/>
    <w:rsid w:val="FFBF1616"/>
    <w:rsid w:val="FFBF1AB8"/>
    <w:rsid w:val="FFBF1C56"/>
    <w:rsid w:val="FFBF5C6D"/>
    <w:rsid w:val="FFBF8D92"/>
    <w:rsid w:val="FFBF9C93"/>
    <w:rsid w:val="FFBFA47E"/>
    <w:rsid w:val="FFBFC05C"/>
    <w:rsid w:val="FFC22709"/>
    <w:rsid w:val="FFC579E9"/>
    <w:rsid w:val="FFC6A8B0"/>
    <w:rsid w:val="FFC7DBAB"/>
    <w:rsid w:val="FFC7E612"/>
    <w:rsid w:val="FFCC31A8"/>
    <w:rsid w:val="FFCDB709"/>
    <w:rsid w:val="FFCFBDF9"/>
    <w:rsid w:val="FFD3AA1F"/>
    <w:rsid w:val="FFD4EA63"/>
    <w:rsid w:val="FFD5D48C"/>
    <w:rsid w:val="FFD6543E"/>
    <w:rsid w:val="FFD6A3CF"/>
    <w:rsid w:val="FFD6AA6B"/>
    <w:rsid w:val="FFD70191"/>
    <w:rsid w:val="FFD72F55"/>
    <w:rsid w:val="FFD78B42"/>
    <w:rsid w:val="FFDB7CFE"/>
    <w:rsid w:val="FFDD25B7"/>
    <w:rsid w:val="FFDD6DFF"/>
    <w:rsid w:val="FFDD8140"/>
    <w:rsid w:val="FFDDBAE9"/>
    <w:rsid w:val="FFDDDF49"/>
    <w:rsid w:val="FFDDFE19"/>
    <w:rsid w:val="FFDE161B"/>
    <w:rsid w:val="FFDE6EF9"/>
    <w:rsid w:val="FFDEA00B"/>
    <w:rsid w:val="FFDEE016"/>
    <w:rsid w:val="FFDF0D8C"/>
    <w:rsid w:val="FFDF3319"/>
    <w:rsid w:val="FFDF542A"/>
    <w:rsid w:val="FFDF5F1A"/>
    <w:rsid w:val="FFDFE6D9"/>
    <w:rsid w:val="FFE1EEEC"/>
    <w:rsid w:val="FFE252D6"/>
    <w:rsid w:val="FFE3197F"/>
    <w:rsid w:val="FFE3B848"/>
    <w:rsid w:val="FFE4AB47"/>
    <w:rsid w:val="FFE5D177"/>
    <w:rsid w:val="FFE5E787"/>
    <w:rsid w:val="FFE6CB8F"/>
    <w:rsid w:val="FFE7D165"/>
    <w:rsid w:val="FFE80303"/>
    <w:rsid w:val="FFEB3DD4"/>
    <w:rsid w:val="FFEB4EF4"/>
    <w:rsid w:val="FFEB6304"/>
    <w:rsid w:val="FFEB6CBD"/>
    <w:rsid w:val="FFEC0E2E"/>
    <w:rsid w:val="FFEC4C3B"/>
    <w:rsid w:val="FFED199F"/>
    <w:rsid w:val="FFED8596"/>
    <w:rsid w:val="FFEDF9FC"/>
    <w:rsid w:val="FFEE17D1"/>
    <w:rsid w:val="FFEE5099"/>
    <w:rsid w:val="FFEE64EC"/>
    <w:rsid w:val="FFEE6506"/>
    <w:rsid w:val="FFEE765A"/>
    <w:rsid w:val="FFEEE521"/>
    <w:rsid w:val="FFEF214C"/>
    <w:rsid w:val="FFEF2351"/>
    <w:rsid w:val="FFEF92BC"/>
    <w:rsid w:val="FFEF9BA8"/>
    <w:rsid w:val="FFEFC652"/>
    <w:rsid w:val="FFF3105D"/>
    <w:rsid w:val="FFF36A4A"/>
    <w:rsid w:val="FFF38F4F"/>
    <w:rsid w:val="FFF3B067"/>
    <w:rsid w:val="FFF3C894"/>
    <w:rsid w:val="FFF4A2F5"/>
    <w:rsid w:val="FFF55855"/>
    <w:rsid w:val="FFF5BA45"/>
    <w:rsid w:val="FFF62A43"/>
    <w:rsid w:val="FFF66538"/>
    <w:rsid w:val="FFF6B98C"/>
    <w:rsid w:val="FFF74D9A"/>
    <w:rsid w:val="FFF759FB"/>
    <w:rsid w:val="FFF77ABF"/>
    <w:rsid w:val="FFF77C30"/>
    <w:rsid w:val="FFF7986A"/>
    <w:rsid w:val="FFF7AE8B"/>
    <w:rsid w:val="FFF7FD01"/>
    <w:rsid w:val="FFF8B337"/>
    <w:rsid w:val="FFF9229A"/>
    <w:rsid w:val="FFFA3F92"/>
    <w:rsid w:val="FFFB091A"/>
    <w:rsid w:val="FFFB1B7F"/>
    <w:rsid w:val="FFFB1C13"/>
    <w:rsid w:val="FFFB2CC4"/>
    <w:rsid w:val="FFFB40A5"/>
    <w:rsid w:val="FFFB4314"/>
    <w:rsid w:val="FFFB4473"/>
    <w:rsid w:val="FFFB5BFF"/>
    <w:rsid w:val="FFFB763B"/>
    <w:rsid w:val="FFFB77B2"/>
    <w:rsid w:val="FFFBBB0B"/>
    <w:rsid w:val="FFFBD517"/>
    <w:rsid w:val="FFFBD68C"/>
    <w:rsid w:val="FFFBE65B"/>
    <w:rsid w:val="FFFBEDA3"/>
    <w:rsid w:val="FFFC5A67"/>
    <w:rsid w:val="FFFC7B0B"/>
    <w:rsid w:val="FFFCD95A"/>
    <w:rsid w:val="FFFD20FE"/>
    <w:rsid w:val="FFFD2485"/>
    <w:rsid w:val="FFFD5F6D"/>
    <w:rsid w:val="FFFD70B7"/>
    <w:rsid w:val="FFFD7FD8"/>
    <w:rsid w:val="FFFDB4CC"/>
    <w:rsid w:val="FFFDD5DA"/>
    <w:rsid w:val="FFFDF9D4"/>
    <w:rsid w:val="FFFDFC33"/>
    <w:rsid w:val="FFFE3B39"/>
    <w:rsid w:val="FFFE4107"/>
    <w:rsid w:val="FFFE481C"/>
    <w:rsid w:val="FFFE5453"/>
    <w:rsid w:val="FFFE75D7"/>
    <w:rsid w:val="FFFE768D"/>
    <w:rsid w:val="FFFEF2A8"/>
    <w:rsid w:val="FFFF0A64"/>
    <w:rsid w:val="FFFF0BD1"/>
    <w:rsid w:val="FFFF1AA7"/>
    <w:rsid w:val="FFFF3131"/>
    <w:rsid w:val="FFFF4B3E"/>
    <w:rsid w:val="FFFF751F"/>
    <w:rsid w:val="FFFF75AF"/>
    <w:rsid w:val="FFFF9156"/>
    <w:rsid w:val="FFFFA0C4"/>
    <w:rsid w:val="FFFFA9BE"/>
    <w:rsid w:val="FFFFAC3A"/>
    <w:rsid w:val="FFFFB0DB"/>
    <w:rsid w:val="FFFFC262"/>
    <w:rsid w:val="FFFFC3F1"/>
    <w:rsid w:val="FFFFC777"/>
    <w:rsid w:val="FFFFE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6">
    <w:name w:val="heading 7"/>
    <w:basedOn w:val="1"/>
    <w:next w:val="1"/>
    <w:link w:val="37"/>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eastAsia="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paragraph" w:styleId="7">
    <w:name w:val="annotation text"/>
    <w:basedOn w:val="1"/>
    <w:link w:val="34"/>
    <w:unhideWhenUsed/>
    <w:qFormat/>
    <w:uiPriority w:val="99"/>
    <w:pPr>
      <w:jc w:val="left"/>
    </w:pPr>
    <w:rPr>
      <w:szCs w:val="24"/>
    </w:rPr>
  </w:style>
  <w:style w:type="paragraph" w:styleId="8">
    <w:name w:val="Body Text Indent"/>
    <w:basedOn w:val="1"/>
    <w:unhideWhenUsed/>
    <w:qFormat/>
    <w:uiPriority w:val="99"/>
    <w:pPr>
      <w:spacing w:after="120"/>
      <w:ind w:left="420" w:leftChars="200"/>
    </w:pPr>
  </w:style>
  <w:style w:type="paragraph" w:styleId="9">
    <w:name w:val="Balloon Text"/>
    <w:basedOn w:val="1"/>
    <w:link w:val="33"/>
    <w:semiHidden/>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ind w:left="420" w:leftChars="200"/>
    </w:pPr>
  </w:style>
  <w:style w:type="paragraph" w:styleId="13">
    <w:name w:val="Normal (Web)"/>
    <w:basedOn w:val="3"/>
    <w:next w:val="1"/>
    <w:unhideWhenUsed/>
    <w:qFormat/>
    <w:uiPriority w:val="0"/>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eastAsia="zh-CN"/>
    </w:rPr>
  </w:style>
  <w:style w:type="paragraph" w:styleId="14">
    <w:name w:val="annotation subject"/>
    <w:basedOn w:val="7"/>
    <w:next w:val="7"/>
    <w:link w:val="41"/>
    <w:semiHidden/>
    <w:unhideWhenUsed/>
    <w:qFormat/>
    <w:uiPriority w:val="99"/>
    <w:rPr>
      <w:b/>
      <w:bCs/>
      <w:szCs w:val="22"/>
    </w:rPr>
  </w:style>
  <w:style w:type="paragraph" w:styleId="15">
    <w:name w:val="Body Text First Indent 2"/>
    <w:basedOn w:val="8"/>
    <w:next w:val="1"/>
    <w:unhideWhenUsed/>
    <w:qFormat/>
    <w:uiPriority w:val="99"/>
    <w:pPr>
      <w:ind w:firstLine="420"/>
    </w:pPr>
  </w:style>
  <w:style w:type="character" w:styleId="18">
    <w:name w:val="Strong"/>
    <w:basedOn w:val="17"/>
    <w:qFormat/>
    <w:uiPriority w:val="22"/>
    <w:rPr>
      <w:b/>
    </w:rPr>
  </w:style>
  <w:style w:type="character" w:styleId="19">
    <w:name w:val="page number"/>
    <w:basedOn w:val="17"/>
    <w:qFormat/>
    <w:uiPriority w:val="0"/>
  </w:style>
  <w:style w:type="character" w:styleId="20">
    <w:name w:val="FollowedHyperlink"/>
    <w:basedOn w:val="17"/>
    <w:semiHidden/>
    <w:unhideWhenUsed/>
    <w:qFormat/>
    <w:uiPriority w:val="99"/>
    <w:rPr>
      <w:color w:val="000000"/>
      <w:sz w:val="22"/>
      <w:szCs w:val="22"/>
      <w:u w:val="single"/>
    </w:rPr>
  </w:style>
  <w:style w:type="character" w:styleId="21">
    <w:name w:val="HTML Definition"/>
    <w:basedOn w:val="17"/>
    <w:semiHidden/>
    <w:unhideWhenUsed/>
    <w:qFormat/>
    <w:uiPriority w:val="99"/>
    <w:rPr>
      <w:i/>
    </w:rPr>
  </w:style>
  <w:style w:type="character" w:styleId="22">
    <w:name w:val="Hyperlink"/>
    <w:basedOn w:val="17"/>
    <w:semiHidden/>
    <w:unhideWhenUsed/>
    <w:qFormat/>
    <w:uiPriority w:val="99"/>
    <w:rPr>
      <w:color w:val="0000FF"/>
      <w:u w:val="single"/>
    </w:rPr>
  </w:style>
  <w:style w:type="character" w:styleId="23">
    <w:name w:val="HTML Code"/>
    <w:basedOn w:val="17"/>
    <w:semiHidden/>
    <w:unhideWhenUsed/>
    <w:qFormat/>
    <w:uiPriority w:val="99"/>
    <w:rPr>
      <w:rFonts w:ascii="Courier New" w:hAnsi="Courier New" w:eastAsia="Courier New" w:cs="Courier New"/>
      <w:color w:val="C7254E"/>
      <w:sz w:val="21"/>
      <w:szCs w:val="21"/>
      <w:shd w:val="clear" w:fill="F9F2F4"/>
    </w:rPr>
  </w:style>
  <w:style w:type="character" w:styleId="24">
    <w:name w:val="annotation reference"/>
    <w:qFormat/>
    <w:uiPriority w:val="99"/>
    <w:rPr>
      <w:sz w:val="21"/>
      <w:szCs w:val="21"/>
    </w:rPr>
  </w:style>
  <w:style w:type="character" w:styleId="25">
    <w:name w:val="footnote reference"/>
    <w:unhideWhenUsed/>
    <w:qFormat/>
    <w:uiPriority w:val="0"/>
    <w:rPr>
      <w:vertAlign w:val="superscript"/>
    </w:rPr>
  </w:style>
  <w:style w:type="character" w:styleId="26">
    <w:name w:val="HTML Keyboard"/>
    <w:basedOn w:val="17"/>
    <w:semiHidden/>
    <w:unhideWhenUsed/>
    <w:qFormat/>
    <w:uiPriority w:val="99"/>
    <w:rPr>
      <w:rFonts w:hint="default" w:ascii="Courier New" w:hAnsi="Courier New" w:eastAsia="Courier New" w:cs="Courier New"/>
      <w:color w:val="FFFFFF"/>
      <w:sz w:val="21"/>
      <w:szCs w:val="21"/>
      <w:shd w:val="clear" w:fill="333333"/>
    </w:rPr>
  </w:style>
  <w:style w:type="character" w:styleId="27">
    <w:name w:val="HTML Sample"/>
    <w:basedOn w:val="17"/>
    <w:semiHidden/>
    <w:unhideWhenUsed/>
    <w:qFormat/>
    <w:uiPriority w:val="99"/>
    <w:rPr>
      <w:rFonts w:hint="default" w:ascii="Courier New" w:hAnsi="Courier New" w:eastAsia="Courier New" w:cs="Courier New"/>
      <w:sz w:val="21"/>
      <w:szCs w:val="21"/>
    </w:rPr>
  </w:style>
  <w:style w:type="character" w:customStyle="1" w:styleId="28">
    <w:name w:val="页眉 字符"/>
    <w:basedOn w:val="17"/>
    <w:link w:val="11"/>
    <w:qFormat/>
    <w:uiPriority w:val="99"/>
    <w:rPr>
      <w:sz w:val="18"/>
      <w:szCs w:val="18"/>
    </w:rPr>
  </w:style>
  <w:style w:type="character" w:customStyle="1" w:styleId="29">
    <w:name w:val="页脚 字符"/>
    <w:basedOn w:val="17"/>
    <w:link w:val="10"/>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招股书正文 Char"/>
    <w:link w:val="32"/>
    <w:qFormat/>
    <w:locked/>
    <w:uiPriority w:val="0"/>
    <w:rPr>
      <w:sz w:val="24"/>
      <w:szCs w:val="24"/>
    </w:rPr>
  </w:style>
  <w:style w:type="paragraph" w:customStyle="1" w:styleId="32">
    <w:name w:val="招股书正文"/>
    <w:link w:val="31"/>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33">
    <w:name w:val="批注框文本 字符"/>
    <w:basedOn w:val="17"/>
    <w:link w:val="9"/>
    <w:semiHidden/>
    <w:qFormat/>
    <w:uiPriority w:val="99"/>
    <w:rPr>
      <w:sz w:val="18"/>
      <w:szCs w:val="18"/>
    </w:rPr>
  </w:style>
  <w:style w:type="character" w:customStyle="1" w:styleId="34">
    <w:name w:val="批注文字 字符1"/>
    <w:link w:val="7"/>
    <w:qFormat/>
    <w:locked/>
    <w:uiPriority w:val="99"/>
    <w:rPr>
      <w:szCs w:val="24"/>
    </w:rPr>
  </w:style>
  <w:style w:type="character" w:customStyle="1" w:styleId="35">
    <w:name w:val="批注文字 字符"/>
    <w:basedOn w:val="17"/>
    <w:qFormat/>
    <w:uiPriority w:val="99"/>
  </w:style>
  <w:style w:type="character" w:customStyle="1" w:styleId="36">
    <w:name w:val="标题 7 字符"/>
    <w:basedOn w:val="17"/>
    <w:semiHidden/>
    <w:qFormat/>
    <w:uiPriority w:val="9"/>
    <w:rPr>
      <w:b/>
      <w:bCs/>
      <w:sz w:val="24"/>
      <w:szCs w:val="24"/>
    </w:rPr>
  </w:style>
  <w:style w:type="character" w:customStyle="1" w:styleId="37">
    <w:name w:val="标题 7 字符1"/>
    <w:link w:val="6"/>
    <w:qFormat/>
    <w:locked/>
    <w:uiPriority w:val="99"/>
    <w:rPr>
      <w:rFonts w:ascii="Times New Roman" w:hAnsi="Times New Roman" w:eastAsia="宋体" w:cs="Times New Roman"/>
      <w:b/>
      <w:bCs/>
      <w:kern w:val="0"/>
      <w:sz w:val="24"/>
      <w:szCs w:val="24"/>
      <w:lang w:val="zh-CN" w:eastAsia="zh-CN"/>
    </w:rPr>
  </w:style>
  <w:style w:type="character" w:customStyle="1" w:styleId="38">
    <w:name w:val="标题 2 字符"/>
    <w:basedOn w:val="17"/>
    <w:link w:val="4"/>
    <w:semiHidden/>
    <w:qFormat/>
    <w:uiPriority w:val="9"/>
    <w:rPr>
      <w:rFonts w:asciiTheme="majorHAnsi" w:hAnsiTheme="majorHAnsi" w:eastAsiaTheme="majorEastAsia" w:cstheme="majorBidi"/>
      <w:b/>
      <w:bCs/>
      <w:sz w:val="32"/>
      <w:szCs w:val="32"/>
    </w:rPr>
  </w:style>
  <w:style w:type="character" w:customStyle="1" w:styleId="39">
    <w:name w:val="标题 3 字符"/>
    <w:basedOn w:val="17"/>
    <w:link w:val="5"/>
    <w:semiHidden/>
    <w:qFormat/>
    <w:uiPriority w:val="9"/>
    <w:rPr>
      <w:b/>
      <w:bCs/>
      <w:sz w:val="32"/>
      <w:szCs w:val="32"/>
    </w:rPr>
  </w:style>
  <w:style w:type="character" w:customStyle="1" w:styleId="40">
    <w:name w:val="标题 1 字符"/>
    <w:basedOn w:val="17"/>
    <w:link w:val="3"/>
    <w:qFormat/>
    <w:uiPriority w:val="9"/>
    <w:rPr>
      <w:b/>
      <w:bCs/>
      <w:kern w:val="44"/>
      <w:sz w:val="44"/>
      <w:szCs w:val="44"/>
    </w:rPr>
  </w:style>
  <w:style w:type="character" w:customStyle="1" w:styleId="41">
    <w:name w:val="批注主题 字符"/>
    <w:basedOn w:val="34"/>
    <w:link w:val="14"/>
    <w:semiHidden/>
    <w:qFormat/>
    <w:uiPriority w:val="99"/>
    <w:rPr>
      <w:b/>
      <w:bCs/>
      <w:szCs w:val="24"/>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44">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5">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6">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paragraph" w:customStyle="1" w:styleId="47">
    <w:name w:val="2 （二）"/>
    <w:basedOn w:val="5"/>
    <w:qFormat/>
    <w:uiPriority w:val="99"/>
    <w:pPr>
      <w:keepLines w:val="0"/>
      <w:adjustRightInd w:val="0"/>
      <w:snapToGrid w:val="0"/>
      <w:spacing w:before="156" w:beforeLines="50" w:after="0" w:line="360" w:lineRule="auto"/>
    </w:pPr>
    <w:rPr>
      <w:rFonts w:ascii="Times New Roman" w:hAnsi="Times New Roman" w:eastAsia="宋体" w:cs="Arial"/>
      <w:bCs w:val="0"/>
      <w:kern w:val="0"/>
      <w:sz w:val="24"/>
      <w:szCs w:val="24"/>
    </w:rPr>
  </w:style>
  <w:style w:type="character" w:customStyle="1" w:styleId="48">
    <w:name w:val="批注文字 Char3"/>
    <w:qFormat/>
    <w:locked/>
    <w:uiPriority w:val="99"/>
    <w:rPr>
      <w:rFonts w:ascii="等线" w:hAnsi="等线" w:eastAsia="等线" w:cs="Arial"/>
    </w:rPr>
  </w:style>
  <w:style w:type="character" w:customStyle="1" w:styleId="49">
    <w:name w:val="font01"/>
    <w:qFormat/>
    <w:uiPriority w:val="0"/>
    <w:rPr>
      <w:rFonts w:hint="eastAsia" w:ascii="宋体" w:hAnsi="宋体" w:eastAsia="宋体" w:cs="宋体"/>
      <w:color w:val="000000"/>
      <w:sz w:val="21"/>
      <w:szCs w:val="21"/>
      <w:u w:val="none"/>
    </w:rPr>
  </w:style>
  <w:style w:type="character" w:customStyle="1" w:styleId="50">
    <w:name w:val="005正文 Char"/>
    <w:link w:val="51"/>
    <w:qFormat/>
    <w:locked/>
    <w:uiPriority w:val="0"/>
    <w:rPr>
      <w:rFonts w:eastAsia="宋体"/>
      <w:sz w:val="24"/>
      <w:szCs w:val="24"/>
    </w:rPr>
  </w:style>
  <w:style w:type="paragraph" w:customStyle="1" w:styleId="51">
    <w:name w:val="005正文"/>
    <w:basedOn w:val="1"/>
    <w:link w:val="50"/>
    <w:qFormat/>
    <w:uiPriority w:val="0"/>
    <w:pPr>
      <w:spacing w:before="50" w:beforeLines="50" w:line="360" w:lineRule="auto"/>
      <w:ind w:firstLine="200" w:firstLineChars="200"/>
    </w:pPr>
    <w:rPr>
      <w:rFonts w:eastAsia="宋体"/>
      <w:sz w:val="24"/>
      <w:szCs w:val="24"/>
    </w:rPr>
  </w:style>
  <w:style w:type="character" w:customStyle="1" w:styleId="52">
    <w:name w:val="button[class*=&quot;ico_&quot;]"/>
    <w:basedOn w:val="17"/>
    <w:qFormat/>
    <w:uiPriority w:val="0"/>
    <w:rPr>
      <w:vanish/>
    </w:rPr>
  </w:style>
  <w:style w:type="character" w:customStyle="1" w:styleId="53">
    <w:name w:val="button"/>
    <w:basedOn w:val="17"/>
    <w:qFormat/>
    <w:uiPriority w:val="0"/>
  </w:style>
  <w:style w:type="character" w:customStyle="1" w:styleId="54">
    <w:name w:val="tmpztreemove_arrow"/>
    <w:basedOn w:val="17"/>
    <w:qFormat/>
    <w:uiPriority w:val="0"/>
  </w:style>
  <w:style w:type="paragraph" w:customStyle="1" w:styleId="55">
    <w:name w:val="003三级标题"/>
    <w:basedOn w:val="1"/>
    <w:qFormat/>
    <w:uiPriority w:val="0"/>
    <w:pPr>
      <w:keepNext/>
      <w:keepLines/>
      <w:spacing w:beforeLines="50" w:afterLines="50" w:line="360" w:lineRule="auto"/>
      <w:ind w:firstLine="200" w:firstLineChars="200"/>
      <w:outlineLvl w:val="2"/>
    </w:pPr>
    <w:rPr>
      <w:rFonts w:ascii="Times New Roman" w:hAnsi="Times New Roman" w:eastAsia="黑体" w:cs="Times New Roman"/>
      <w:b/>
      <w:bCs/>
      <w:sz w:val="28"/>
      <w:szCs w:val="28"/>
      <w:lang w:val="zh-CN"/>
    </w:rPr>
  </w:style>
  <w:style w:type="paragraph" w:customStyle="1" w:styleId="56">
    <w:name w:val="009单位"/>
    <w:basedOn w:val="51"/>
    <w:qFormat/>
    <w:uiPriority w:val="0"/>
    <w:pPr>
      <w:keepNext/>
      <w:jc w:val="right"/>
    </w:pPr>
    <w:rPr>
      <w:rFonts w:ascii="Times New Roman" w:hAnsi="Times New Roman" w:eastAsia="宋体" w:cs="Times New Roman"/>
    </w:rPr>
  </w:style>
  <w:style w:type="paragraph" w:customStyle="1" w:styleId="57">
    <w:name w:val="f表格1"/>
    <w:basedOn w:val="1"/>
    <w:next w:val="1"/>
    <w:semiHidden/>
    <w:qFormat/>
    <w:uiPriority w:val="99"/>
    <w:pPr>
      <w:spacing w:beforeLines="50" w:line="300" w:lineRule="auto"/>
      <w:ind w:firstLine="480" w:firstLineChars="200"/>
      <w:jc w:val="center"/>
    </w:pPr>
    <w:rPr>
      <w:rFonts w:ascii="宋体" w:hAnsi="宋体" w:eastAsia="宋体" w:cs="Courier New"/>
      <w:color w:val="000000"/>
      <w:kern w:val="0"/>
      <w:sz w:val="18"/>
      <w:szCs w:val="24"/>
    </w:rPr>
  </w:style>
  <w:style w:type="paragraph" w:customStyle="1" w:styleId="58">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2690</Words>
  <Characters>15335</Characters>
  <Lines>127</Lines>
  <Paragraphs>35</Paragraphs>
  <TotalTime>1</TotalTime>
  <ScaleCrop>false</ScaleCrop>
  <LinksUpToDate>false</LinksUpToDate>
  <CharactersWithSpaces>17990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2020-12-25T01:31:00Z</dcterms:created>
  <dc:creator>高伟</dc:creator>
  <cp:lastModifiedBy>张晋</cp:lastModifiedBy>
  <cp:lastPrinted>2022-01-10T17:50:00Z</cp:lastPrinted>
  <dcterms:modified xsi:type="dcterms:W3CDTF">2022-11-11T17:05:27Z</dcterms:modified>
  <dc:title>【非财务信息审核概要】</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