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shd w:val="clear" w:color="auto" w:fill="auto"/>
        <w:kinsoku/>
        <w:wordWrap/>
        <w:overflowPunct/>
        <w:topLinePunct w:val="0"/>
        <w:autoSpaceDE/>
        <w:bidi w:val="0"/>
        <w:snapToGrid/>
        <w:spacing w:before="0" w:beforeLines="0" w:beforeAutospacing="0" w:after="0" w:afterLines="0" w:afterAutospacing="0" w:line="240" w:lineRule="auto"/>
        <w:ind w:rightChars="0"/>
        <w:jc w:val="center"/>
        <w:textAlignment w:val="auto"/>
        <w:rPr>
          <w:rFonts w:hint="eastAsia" w:ascii="宋体" w:hAnsi="宋体" w:eastAsia="宋体" w:cs="宋体"/>
          <w:b/>
          <w:bCs w:val="0"/>
          <w:color w:val="auto"/>
          <w:sz w:val="36"/>
          <w:szCs w:val="36"/>
          <w:highlight w:val="none"/>
        </w:rPr>
      </w:pPr>
    </w:p>
    <w:p>
      <w:pPr>
        <w:keepNext w:val="0"/>
        <w:keepLines w:val="0"/>
        <w:pageBreakBefore w:val="0"/>
        <w:shd w:val="clear" w:color="auto" w:fill="auto"/>
        <w:kinsoku/>
        <w:wordWrap/>
        <w:overflowPunct/>
        <w:topLinePunct w:val="0"/>
        <w:autoSpaceDE/>
        <w:bidi w:val="0"/>
        <w:snapToGrid/>
        <w:spacing w:before="0" w:beforeLines="0" w:beforeAutospacing="0" w:after="0" w:afterLines="0" w:afterAutospacing="0" w:line="240" w:lineRule="auto"/>
        <w:ind w:rightChars="0"/>
        <w:jc w:val="center"/>
        <w:textAlignment w:val="auto"/>
        <w:outlineLvl w:val="0"/>
        <w:rPr>
          <w:rFonts w:hint="eastAsia" w:ascii="宋体" w:hAnsi="宋体" w:eastAsia="宋体" w:cs="宋体"/>
          <w:b/>
          <w:bCs w:val="0"/>
          <w:color w:val="auto"/>
          <w:sz w:val="36"/>
          <w:szCs w:val="36"/>
          <w:highlight w:val="none"/>
          <w:lang w:eastAsia="zh-CN"/>
        </w:rPr>
      </w:pPr>
      <w:r>
        <w:rPr>
          <w:rFonts w:hint="eastAsia" w:ascii="宋体" w:hAnsi="宋体" w:eastAsia="宋体" w:cs="宋体"/>
          <w:b/>
          <w:bCs w:val="0"/>
          <w:color w:val="auto"/>
          <w:sz w:val="36"/>
          <w:szCs w:val="36"/>
          <w:highlight w:val="none"/>
        </w:rPr>
        <w:t>关于</w:t>
      </w:r>
      <w:r>
        <w:rPr>
          <w:rFonts w:hint="default" w:ascii="宋体" w:hAnsi="宋体" w:cs="宋体"/>
          <w:b/>
          <w:bCs w:val="0"/>
          <w:color w:val="auto"/>
          <w:sz w:val="36"/>
          <w:szCs w:val="36"/>
          <w:highlight w:val="none"/>
        </w:rPr>
        <w:t>九江农村商业银行股份有限公司</w:t>
      </w:r>
      <w:r>
        <w:rPr>
          <w:rFonts w:hint="eastAsia" w:ascii="宋体" w:hAnsi="宋体" w:eastAsia="宋体" w:cs="宋体"/>
          <w:b/>
          <w:bCs w:val="0"/>
          <w:color w:val="auto"/>
          <w:sz w:val="36"/>
          <w:szCs w:val="36"/>
          <w:highlight w:val="none"/>
          <w:lang w:eastAsia="zh-CN"/>
        </w:rPr>
        <w:t>申请向特定对象发行股票</w:t>
      </w:r>
      <w:r>
        <w:rPr>
          <w:rFonts w:hint="eastAsia" w:ascii="宋体" w:hAnsi="宋体" w:eastAsia="宋体" w:cs="宋体"/>
          <w:b/>
          <w:bCs w:val="0"/>
          <w:color w:val="auto"/>
          <w:sz w:val="36"/>
          <w:szCs w:val="36"/>
          <w:highlight w:val="none"/>
        </w:rPr>
        <w:t>的</w:t>
      </w:r>
      <w:r>
        <w:rPr>
          <w:rFonts w:hint="eastAsia" w:ascii="宋体" w:hAnsi="宋体" w:eastAsia="宋体" w:cs="宋体"/>
          <w:b/>
          <w:bCs w:val="0"/>
          <w:color w:val="auto"/>
          <w:sz w:val="36"/>
          <w:szCs w:val="36"/>
          <w:highlight w:val="none"/>
          <w:lang w:eastAsia="zh-CN"/>
        </w:rPr>
        <w:t>审核意见</w:t>
      </w:r>
    </w:p>
    <w:p>
      <w:pPr>
        <w:keepNext w:val="0"/>
        <w:keepLines w:val="0"/>
        <w:pageBreakBefore w:val="0"/>
        <w:numPr>
          <w:ilvl w:val="0"/>
          <w:numId w:val="0"/>
        </w:numPr>
        <w:shd w:val="clear" w:color="auto" w:fill="auto"/>
        <w:kinsoku/>
        <w:wordWrap/>
        <w:overflowPunct/>
        <w:topLinePunct w:val="0"/>
        <w:autoSpaceDE/>
        <w:bidi w:val="0"/>
        <w:snapToGrid/>
        <w:spacing w:before="0" w:beforeLines="0" w:beforeAutospacing="0" w:after="0" w:afterLines="0" w:afterAutospacing="0" w:line="240" w:lineRule="auto"/>
        <w:ind w:right="0" w:rightChars="0"/>
        <w:jc w:val="left"/>
        <w:textAlignment w:val="auto"/>
        <w:rPr>
          <w:rFonts w:hint="eastAsia" w:ascii="宋体" w:hAnsi="宋体" w:eastAsia="宋体" w:cs="宋体"/>
          <w:b/>
          <w:bCs w:val="0"/>
          <w:color w:val="auto"/>
          <w:sz w:val="32"/>
          <w:szCs w:val="32"/>
          <w:highlight w:val="none"/>
          <w:lang w:eastAsia="zh-CN"/>
        </w:rPr>
      </w:pPr>
    </w:p>
    <w:p>
      <w:pPr>
        <w:keepNext w:val="0"/>
        <w:keepLines w:val="0"/>
        <w:pageBreakBefore w:val="0"/>
        <w:numPr>
          <w:ilvl w:val="0"/>
          <w:numId w:val="0"/>
        </w:numPr>
        <w:shd w:val="clear" w:color="auto" w:fill="auto"/>
        <w:kinsoku/>
        <w:wordWrap/>
        <w:overflowPunct/>
        <w:topLinePunct w:val="0"/>
        <w:autoSpaceDE/>
        <w:autoSpaceDN/>
        <w:bidi w:val="0"/>
        <w:snapToGrid/>
        <w:spacing w:beforeAutospacing="0" w:after="0" w:afterAutospacing="0" w:line="240" w:lineRule="auto"/>
        <w:ind w:left="0" w:leftChars="0" w:rightChars="0" w:firstLine="600" w:firstLineChars="200"/>
        <w:jc w:val="both"/>
        <w:textAlignment w:val="auto"/>
        <w:outlineLvl w:val="0"/>
        <w:rPr>
          <w:rFonts w:hint="eastAsia" w:ascii="黑体" w:hAnsi="黑体" w:eastAsia="黑体" w:cs="黑体"/>
          <w:b w:val="0"/>
          <w:bCs/>
          <w:color w:val="auto"/>
          <w:sz w:val="30"/>
          <w:szCs w:val="30"/>
          <w:highlight w:val="none"/>
          <w:lang w:eastAsia="zh-CN"/>
        </w:rPr>
      </w:pPr>
      <w:r>
        <w:rPr>
          <w:rFonts w:hint="eastAsia" w:ascii="黑体" w:hAnsi="黑体" w:eastAsia="黑体" w:cs="黑体"/>
          <w:b w:val="0"/>
          <w:bCs/>
          <w:color w:val="auto"/>
          <w:sz w:val="30"/>
          <w:szCs w:val="30"/>
          <w:highlight w:val="none"/>
          <w:lang w:eastAsia="zh-CN"/>
        </w:rPr>
        <w:t>一、审核情况</w:t>
      </w:r>
    </w:p>
    <w:p>
      <w:pPr>
        <w:keepNext w:val="0"/>
        <w:keepLines w:val="0"/>
        <w:pageBreakBefore w:val="0"/>
        <w:numPr>
          <w:ilvl w:val="0"/>
          <w:numId w:val="0"/>
        </w:numPr>
        <w:shd w:val="clear" w:color="auto" w:fill="auto"/>
        <w:kinsoku/>
        <w:wordWrap/>
        <w:overflowPunct/>
        <w:topLinePunct w:val="0"/>
        <w:autoSpaceDE/>
        <w:autoSpaceDN/>
        <w:bidi w:val="0"/>
        <w:snapToGrid/>
        <w:spacing w:beforeAutospacing="0" w:after="0" w:afterAutospacing="0" w:line="240" w:lineRule="auto"/>
        <w:ind w:leftChars="200" w:right="0" w:rightChars="0"/>
        <w:jc w:val="both"/>
        <w:textAlignment w:val="auto"/>
        <w:outlineLvl w:val="1"/>
        <w:rPr>
          <w:rFonts w:hint="eastAsia" w:ascii="楷体_GB2312" w:hAnsi="楷体_GB2312" w:eastAsia="楷体_GB2312" w:cs="楷体_GB2312"/>
          <w:b/>
          <w:bCs w:val="0"/>
          <w:color w:val="auto"/>
          <w:sz w:val="30"/>
          <w:szCs w:val="30"/>
          <w:highlight w:val="none"/>
          <w:lang w:eastAsia="zh-CN"/>
        </w:rPr>
      </w:pPr>
      <w:r>
        <w:rPr>
          <w:rFonts w:hint="default" w:ascii="楷体_GB2312" w:hAnsi="楷体_GB2312" w:eastAsia="楷体_GB2312" w:cs="楷体_GB2312"/>
          <w:b/>
          <w:bCs w:val="0"/>
          <w:color w:val="auto"/>
          <w:sz w:val="30"/>
          <w:szCs w:val="30"/>
          <w:highlight w:val="none"/>
          <w:lang w:eastAsia="zh-CN"/>
        </w:rPr>
        <w:t>（一）</w:t>
      </w:r>
      <w:r>
        <w:rPr>
          <w:rFonts w:hint="eastAsia" w:ascii="楷体_GB2312" w:hAnsi="楷体_GB2312" w:eastAsia="楷体_GB2312" w:cs="楷体_GB2312"/>
          <w:b/>
          <w:bCs w:val="0"/>
          <w:color w:val="auto"/>
          <w:sz w:val="30"/>
          <w:szCs w:val="30"/>
          <w:highlight w:val="none"/>
          <w:lang w:eastAsia="zh-CN"/>
        </w:rPr>
        <w:t>申请人基本情况</w:t>
      </w:r>
    </w:p>
    <w:p>
      <w:pPr>
        <w:keepNext w:val="0"/>
        <w:keepLines w:val="0"/>
        <w:pageBreakBefore w:val="0"/>
        <w:numPr>
          <w:ilvl w:val="0"/>
          <w:numId w:val="0"/>
        </w:numPr>
        <w:kinsoku/>
        <w:wordWrap/>
        <w:overflowPunct/>
        <w:topLinePunct w:val="0"/>
        <w:autoSpaceDE/>
        <w:autoSpaceDN/>
        <w:bidi w:val="0"/>
        <w:adjustRightInd/>
        <w:snapToGrid/>
        <w:spacing w:after="0" w:line="240" w:lineRule="auto"/>
        <w:ind w:left="0" w:leftChars="0" w:right="0" w:rightChars="0" w:firstLine="600" w:firstLineChars="200"/>
        <w:jc w:val="both"/>
        <w:textAlignment w:val="auto"/>
        <w:rPr>
          <w:rFonts w:hint="default" w:ascii="Times New Roman" w:hAnsi="Times New Roman" w:eastAsia="仿宋_GB2312" w:cs="Times New Roman"/>
          <w:color w:val="auto"/>
          <w:sz w:val="30"/>
          <w:highlight w:val="none"/>
          <w:lang w:val="en-US" w:eastAsia="zh-CN"/>
        </w:rPr>
      </w:pPr>
      <w:r>
        <w:rPr>
          <w:rFonts w:hint="default" w:ascii="Times New Roman" w:hAnsi="Times New Roman" w:eastAsia="仿宋_GB2312" w:cs="Times New Roman"/>
          <w:color w:val="auto"/>
          <w:sz w:val="30"/>
          <w:lang w:eastAsia="zh-CN"/>
        </w:rPr>
        <w:t>申请人全称为</w:t>
      </w:r>
      <w:r>
        <w:rPr>
          <w:rFonts w:hint="eastAsia" w:ascii="仿宋_GB2312" w:hAnsi="仿宋_GB2312" w:eastAsia="仿宋_GB2312" w:cs="仿宋_GB2312"/>
          <w:color w:val="auto"/>
          <w:sz w:val="30"/>
          <w:lang w:eastAsia="zh-CN"/>
        </w:rPr>
        <w:t>“</w:t>
      </w:r>
      <w:r>
        <w:rPr>
          <w:rFonts w:hint="default" w:ascii="仿宋_GB2312" w:hAnsi="仿宋_GB2312" w:eastAsia="仿宋_GB2312" w:cs="仿宋_GB2312"/>
          <w:color w:val="auto"/>
          <w:sz w:val="30"/>
          <w:lang w:eastAsia="zh-CN"/>
        </w:rPr>
        <w:t>九江农村商业银行股份有限公司</w:t>
      </w:r>
      <w:r>
        <w:rPr>
          <w:rFonts w:hint="eastAsia" w:ascii="仿宋_GB2312" w:hAnsi="仿宋_GB2312" w:eastAsia="仿宋_GB2312" w:cs="仿宋_GB2312"/>
          <w:color w:val="auto"/>
          <w:sz w:val="30"/>
          <w:lang w:eastAsia="zh-CN"/>
        </w:rPr>
        <w:t>”</w:t>
      </w:r>
      <w:r>
        <w:rPr>
          <w:rFonts w:hint="default" w:ascii="Times New Roman" w:hAnsi="Times New Roman" w:eastAsia="仿宋_GB2312" w:cs="Times New Roman"/>
          <w:color w:val="auto"/>
          <w:sz w:val="30"/>
          <w:lang w:eastAsia="zh-CN"/>
        </w:rPr>
        <w:t>，住所地</w:t>
      </w:r>
      <w:r>
        <w:rPr>
          <w:rFonts w:hint="default" w:eastAsia="仿宋_GB2312" w:cs="Times New Roman"/>
          <w:color w:val="auto"/>
          <w:sz w:val="30"/>
          <w:lang w:eastAsia="zh-CN"/>
        </w:rPr>
        <w:t>为江西省九江</w:t>
      </w:r>
      <w:r>
        <w:rPr>
          <w:rFonts w:hint="default" w:ascii="Times New Roman" w:hAnsi="Times New Roman" w:eastAsia="仿宋_GB2312" w:cs="Times New Roman"/>
          <w:color w:val="auto"/>
          <w:sz w:val="30"/>
          <w:lang w:eastAsia="zh-CN"/>
        </w:rPr>
        <w:t>市</w:t>
      </w:r>
      <w:r>
        <w:rPr>
          <w:rFonts w:hint="default" w:ascii="Times New Roman" w:hAnsi="Times New Roman"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于</w:t>
      </w:r>
      <w:r>
        <w:rPr>
          <w:rFonts w:hint="default" w:eastAsia="仿宋_GB2312" w:cs="Times New Roman"/>
          <w:sz w:val="30"/>
          <w:szCs w:val="30"/>
          <w:lang w:eastAsia="zh-CN"/>
        </w:rPr>
        <w:t>1992</w:t>
      </w:r>
      <w:r>
        <w:rPr>
          <w:rFonts w:hint="default" w:ascii="Times New Roman" w:hAnsi="Times New Roman" w:eastAsia="仿宋_GB2312" w:cs="Times New Roman"/>
          <w:color w:val="auto"/>
          <w:sz w:val="30"/>
          <w:lang w:eastAsia="zh-CN"/>
        </w:rPr>
        <w:t>年</w:t>
      </w:r>
      <w:r>
        <w:rPr>
          <w:rFonts w:hint="default" w:eastAsia="仿宋_GB2312" w:cs="Times New Roman"/>
          <w:color w:val="auto"/>
          <w:sz w:val="30"/>
          <w:lang w:eastAsia="zh-CN"/>
        </w:rPr>
        <w:t>8</w:t>
      </w:r>
      <w:r>
        <w:rPr>
          <w:rFonts w:hint="default" w:ascii="Times New Roman" w:hAnsi="Times New Roman" w:eastAsia="仿宋_GB2312" w:cs="Times New Roman"/>
          <w:color w:val="auto"/>
          <w:sz w:val="30"/>
          <w:lang w:eastAsia="zh-CN"/>
        </w:rPr>
        <w:t>月成立。申请人法定代表人</w:t>
      </w:r>
      <w:r>
        <w:rPr>
          <w:rFonts w:hint="default" w:eastAsia="仿宋_GB2312" w:cs="Times New Roman"/>
          <w:color w:val="auto"/>
          <w:sz w:val="30"/>
          <w:lang w:eastAsia="zh-CN"/>
        </w:rPr>
        <w:t>为谢琨，</w:t>
      </w:r>
      <w:r>
        <w:rPr>
          <w:rFonts w:hint="default" w:ascii="Times New Roman" w:hAnsi="Times New Roman" w:eastAsia="仿宋_GB2312" w:cs="Times New Roman"/>
          <w:color w:val="auto"/>
          <w:sz w:val="30"/>
          <w:highlight w:val="none"/>
          <w:lang w:eastAsia="zh-CN"/>
        </w:rPr>
        <w:t>公司</w:t>
      </w:r>
      <w:r>
        <w:rPr>
          <w:rFonts w:hint="default" w:ascii="Times New Roman" w:hAnsi="Times New Roman" w:eastAsia="仿宋_GB2312" w:cs="Times New Roman"/>
          <w:color w:val="auto"/>
          <w:sz w:val="30"/>
          <w:lang w:eastAsia="zh-CN"/>
        </w:rPr>
        <w:t>无控股股东和实际控制人，注册资</w:t>
      </w:r>
      <w:r>
        <w:rPr>
          <w:rFonts w:hint="default" w:ascii="Times New Roman" w:hAnsi="Times New Roman" w:eastAsia="仿宋_GB2312" w:cs="Times New Roman"/>
          <w:color w:val="auto"/>
          <w:sz w:val="30"/>
          <w:szCs w:val="22"/>
          <w:lang w:eastAsia="zh-CN"/>
        </w:rPr>
        <w:t>本为</w:t>
      </w:r>
      <w:r>
        <w:rPr>
          <w:rFonts w:hint="default" w:ascii="Times New Roman" w:hAnsi="Times New Roman" w:eastAsia="仿宋_GB2312" w:cs="Times New Roman"/>
          <w:snapToGrid/>
          <w:sz w:val="30"/>
          <w:highlight w:val="none"/>
          <w:shd w:val="clear" w:color="auto" w:fill="auto"/>
          <w:lang w:eastAsia="zh-CN"/>
        </w:rPr>
        <w:t>663</w:t>
      </w:r>
      <w:r>
        <w:rPr>
          <w:rFonts w:hint="default" w:eastAsia="仿宋_GB2312" w:cs="Times New Roman"/>
          <w:snapToGrid/>
          <w:sz w:val="30"/>
          <w:highlight w:val="none"/>
          <w:shd w:val="clear" w:color="auto" w:fill="auto"/>
          <w:lang w:eastAsia="zh-CN"/>
        </w:rPr>
        <w:t>,</w:t>
      </w:r>
      <w:r>
        <w:rPr>
          <w:rFonts w:hint="default" w:ascii="Times New Roman" w:hAnsi="Times New Roman" w:eastAsia="仿宋_GB2312" w:cs="Times New Roman"/>
          <w:snapToGrid/>
          <w:sz w:val="30"/>
          <w:highlight w:val="none"/>
          <w:shd w:val="clear" w:color="auto" w:fill="auto"/>
          <w:lang w:eastAsia="zh-CN"/>
        </w:rPr>
        <w:t>729</w:t>
      </w:r>
      <w:r>
        <w:rPr>
          <w:rFonts w:hint="default" w:eastAsia="仿宋_GB2312" w:cs="Times New Roman"/>
          <w:snapToGrid/>
          <w:sz w:val="30"/>
          <w:highlight w:val="none"/>
          <w:shd w:val="clear" w:color="auto" w:fill="auto"/>
          <w:lang w:eastAsia="zh-CN"/>
        </w:rPr>
        <w:t>,</w:t>
      </w:r>
      <w:r>
        <w:rPr>
          <w:rFonts w:hint="default" w:ascii="Times New Roman" w:hAnsi="Times New Roman" w:eastAsia="仿宋_GB2312" w:cs="Times New Roman"/>
          <w:snapToGrid/>
          <w:sz w:val="30"/>
          <w:highlight w:val="none"/>
          <w:shd w:val="clear" w:color="auto" w:fill="auto"/>
          <w:lang w:eastAsia="zh-CN"/>
        </w:rPr>
        <w:t>015</w:t>
      </w:r>
      <w:r>
        <w:rPr>
          <w:rFonts w:hint="default" w:ascii="Times New Roman" w:hAnsi="Times New Roman" w:eastAsia="仿宋_GB2312" w:cs="Times New Roman"/>
          <w:color w:val="auto"/>
          <w:sz w:val="30"/>
          <w:szCs w:val="22"/>
          <w:lang w:eastAsia="zh-CN"/>
        </w:rPr>
        <w:t>元</w:t>
      </w:r>
      <w:r>
        <w:rPr>
          <w:rFonts w:hint="default" w:ascii="Times New Roman" w:hAnsi="Times New Roman" w:eastAsia="仿宋_GB2312" w:cs="Times New Roman"/>
          <w:color w:val="auto"/>
          <w:sz w:val="30"/>
          <w:lang w:eastAsia="zh-CN"/>
        </w:rPr>
        <w:t>，总股本为</w:t>
      </w:r>
      <w:r>
        <w:rPr>
          <w:rFonts w:hint="default" w:ascii="Times New Roman" w:hAnsi="Times New Roman" w:eastAsia="仿宋_GB2312" w:cs="Times New Roman"/>
          <w:snapToGrid/>
          <w:sz w:val="30"/>
          <w:highlight w:val="none"/>
          <w:shd w:val="clear" w:color="auto" w:fill="auto"/>
          <w:lang w:eastAsia="zh-CN"/>
        </w:rPr>
        <w:t>663</w:t>
      </w:r>
      <w:r>
        <w:rPr>
          <w:rFonts w:hint="default" w:eastAsia="仿宋_GB2312" w:cs="Times New Roman"/>
          <w:snapToGrid/>
          <w:sz w:val="30"/>
          <w:highlight w:val="none"/>
          <w:shd w:val="clear" w:color="auto" w:fill="auto"/>
          <w:lang w:eastAsia="zh-CN"/>
        </w:rPr>
        <w:t>,</w:t>
      </w:r>
      <w:r>
        <w:rPr>
          <w:rFonts w:hint="default" w:ascii="Times New Roman" w:hAnsi="Times New Roman" w:eastAsia="仿宋_GB2312" w:cs="Times New Roman"/>
          <w:snapToGrid/>
          <w:sz w:val="30"/>
          <w:highlight w:val="none"/>
          <w:shd w:val="clear" w:color="auto" w:fill="auto"/>
          <w:lang w:eastAsia="zh-CN"/>
        </w:rPr>
        <w:t>729</w:t>
      </w:r>
      <w:r>
        <w:rPr>
          <w:rFonts w:hint="default" w:eastAsia="仿宋_GB2312" w:cs="Times New Roman"/>
          <w:snapToGrid/>
          <w:sz w:val="30"/>
          <w:highlight w:val="none"/>
          <w:shd w:val="clear" w:color="auto" w:fill="auto"/>
          <w:lang w:eastAsia="zh-CN"/>
        </w:rPr>
        <w:t>,</w:t>
      </w:r>
      <w:r>
        <w:rPr>
          <w:rFonts w:hint="default" w:ascii="Times New Roman" w:hAnsi="Times New Roman" w:eastAsia="仿宋_GB2312" w:cs="Times New Roman"/>
          <w:snapToGrid/>
          <w:sz w:val="30"/>
          <w:highlight w:val="none"/>
          <w:shd w:val="clear" w:color="auto" w:fill="auto"/>
          <w:lang w:eastAsia="zh-CN"/>
        </w:rPr>
        <w:t>015</w:t>
      </w:r>
      <w:r>
        <w:rPr>
          <w:rFonts w:hint="default" w:ascii="Times New Roman" w:hAnsi="Times New Roman" w:eastAsia="仿宋_GB2312" w:cs="Times New Roman"/>
          <w:color w:val="auto"/>
          <w:sz w:val="30"/>
          <w:lang w:eastAsia="zh-CN"/>
        </w:rPr>
        <w:t>股。</w:t>
      </w:r>
      <w:r>
        <w:rPr>
          <w:rFonts w:hint="default" w:ascii="Times New Roman" w:hAnsi="Times New Roman" w:eastAsia="仿宋_GB2312" w:cs="Times New Roman"/>
          <w:color w:val="auto"/>
          <w:sz w:val="30"/>
          <w:highlight w:val="none"/>
          <w:lang w:eastAsia="zh-CN"/>
        </w:rPr>
        <w:t>截至202</w:t>
      </w:r>
      <w:r>
        <w:rPr>
          <w:rFonts w:hint="default" w:eastAsia="仿宋_GB2312" w:cs="Times New Roman"/>
          <w:color w:val="auto"/>
          <w:sz w:val="30"/>
          <w:highlight w:val="none"/>
          <w:lang w:eastAsia="zh-CN"/>
        </w:rPr>
        <w:t>2</w:t>
      </w:r>
      <w:r>
        <w:rPr>
          <w:rFonts w:hint="default" w:ascii="Times New Roman" w:hAnsi="Times New Roman" w:eastAsia="仿宋_GB2312" w:cs="Times New Roman"/>
          <w:color w:val="auto"/>
          <w:sz w:val="30"/>
          <w:highlight w:val="none"/>
          <w:lang w:eastAsia="zh-CN"/>
        </w:rPr>
        <w:t>年</w:t>
      </w:r>
      <w:r>
        <w:rPr>
          <w:rFonts w:hint="default" w:eastAsia="仿宋_GB2312" w:cs="Times New Roman"/>
          <w:color w:val="auto"/>
          <w:sz w:val="30"/>
          <w:highlight w:val="none"/>
          <w:lang w:eastAsia="zh-CN"/>
        </w:rPr>
        <w:t>7</w:t>
      </w:r>
      <w:r>
        <w:rPr>
          <w:rFonts w:hint="default" w:ascii="Times New Roman" w:hAnsi="Times New Roman" w:eastAsia="仿宋_GB2312" w:cs="Times New Roman"/>
          <w:color w:val="auto"/>
          <w:sz w:val="30"/>
          <w:highlight w:val="none"/>
          <w:lang w:eastAsia="zh-CN"/>
        </w:rPr>
        <w:t>月</w:t>
      </w:r>
      <w:r>
        <w:rPr>
          <w:rFonts w:hint="default" w:eastAsia="仿宋_GB2312" w:cs="Times New Roman"/>
          <w:color w:val="auto"/>
          <w:sz w:val="30"/>
          <w:highlight w:val="none"/>
          <w:lang w:eastAsia="zh-CN"/>
        </w:rPr>
        <w:t>31</w:t>
      </w:r>
      <w:r>
        <w:rPr>
          <w:rFonts w:hint="default" w:ascii="Times New Roman" w:hAnsi="Times New Roman" w:eastAsia="仿宋_GB2312" w:cs="Times New Roman"/>
          <w:color w:val="auto"/>
          <w:sz w:val="30"/>
          <w:highlight w:val="none"/>
          <w:lang w:eastAsia="zh-CN"/>
        </w:rPr>
        <w:t>日，公司在册股东</w:t>
      </w:r>
      <w:r>
        <w:rPr>
          <w:rFonts w:hint="default" w:eastAsia="仿宋_GB2312" w:cs="Times New Roman"/>
          <w:color w:val="auto"/>
          <w:sz w:val="30"/>
          <w:highlight w:val="none"/>
          <w:lang w:eastAsia="zh-CN"/>
        </w:rPr>
        <w:t>993</w:t>
      </w:r>
      <w:r>
        <w:rPr>
          <w:rFonts w:hint="eastAsia" w:ascii="Times New Roman" w:hAnsi="Times New Roman" w:eastAsia="仿宋_GB2312" w:cs="Times New Roman"/>
          <w:color w:val="auto"/>
          <w:sz w:val="30"/>
          <w:highlight w:val="none"/>
          <w:lang w:eastAsia="zh-CN"/>
        </w:rPr>
        <w:t>户</w:t>
      </w:r>
      <w:r>
        <w:rPr>
          <w:rFonts w:hint="default" w:ascii="Times New Roman" w:hAnsi="Times New Roman" w:eastAsia="仿宋_GB2312" w:cs="Times New Roman"/>
          <w:color w:val="auto"/>
          <w:sz w:val="30"/>
          <w:highlight w:val="none"/>
          <w:lang w:eastAsia="zh-CN"/>
        </w:rPr>
        <w:t>。</w:t>
      </w:r>
    </w:p>
    <w:p>
      <w:pPr>
        <w:keepNext w:val="0"/>
        <w:keepLines w:val="0"/>
        <w:pageBreakBefore w:val="0"/>
        <w:numPr>
          <w:ilvl w:val="0"/>
          <w:numId w:val="0"/>
        </w:numPr>
        <w:shd w:val="clear" w:color="auto" w:fill="auto"/>
        <w:kinsoku/>
        <w:wordWrap/>
        <w:overflowPunct/>
        <w:topLinePunct w:val="0"/>
        <w:autoSpaceDE/>
        <w:autoSpaceDN/>
        <w:bidi w:val="0"/>
        <w:snapToGrid/>
        <w:spacing w:beforeAutospacing="0" w:after="0" w:afterAutospacing="0" w:line="240" w:lineRule="auto"/>
        <w:ind w:leftChars="200" w:right="0" w:rightChars="0"/>
        <w:jc w:val="both"/>
        <w:textAlignment w:val="auto"/>
        <w:outlineLvl w:val="1"/>
        <w:rPr>
          <w:rFonts w:hint="eastAsia" w:ascii="楷体_GB2312" w:hAnsi="楷体_GB2312" w:eastAsia="楷体_GB2312" w:cs="楷体_GB2312"/>
          <w:b/>
          <w:bCs w:val="0"/>
          <w:color w:val="auto"/>
          <w:sz w:val="30"/>
          <w:szCs w:val="30"/>
          <w:highlight w:val="none"/>
          <w:lang w:val="en-US" w:eastAsia="zh-CN"/>
        </w:rPr>
      </w:pPr>
      <w:r>
        <w:rPr>
          <w:rFonts w:hint="default" w:ascii="楷体_GB2312" w:hAnsi="楷体_GB2312" w:eastAsia="楷体_GB2312" w:cs="楷体_GB2312"/>
          <w:b/>
          <w:bCs w:val="0"/>
          <w:color w:val="auto"/>
          <w:sz w:val="30"/>
          <w:szCs w:val="30"/>
          <w:highlight w:val="none"/>
          <w:lang w:eastAsia="zh-CN"/>
        </w:rPr>
        <w:t>（二）</w:t>
      </w:r>
      <w:r>
        <w:rPr>
          <w:rFonts w:hint="eastAsia" w:ascii="楷体_GB2312" w:hAnsi="楷体_GB2312" w:eastAsia="楷体_GB2312" w:cs="楷体_GB2312"/>
          <w:b/>
          <w:bCs w:val="0"/>
          <w:color w:val="auto"/>
          <w:sz w:val="30"/>
          <w:szCs w:val="30"/>
          <w:highlight w:val="none"/>
          <w:lang w:val="en-US" w:eastAsia="zh-CN"/>
        </w:rPr>
        <w:t>审核过程</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600" w:firstLineChars="200"/>
        <w:jc w:val="both"/>
        <w:textAlignment w:val="auto"/>
        <w:rPr>
          <w:rFonts w:hint="default" w:ascii="Times New Roman" w:hAnsi="Times New Roman" w:eastAsia="仿宋_GB2312" w:cs="Times New Roman"/>
          <w:color w:val="auto"/>
          <w:sz w:val="30"/>
          <w:lang w:val="en-US" w:eastAsia="zh-CN"/>
        </w:rPr>
      </w:pPr>
      <w:r>
        <w:rPr>
          <w:rFonts w:hint="default" w:ascii="Times New Roman" w:hAnsi="Times New Roman" w:eastAsia="仿宋_GB2312" w:cs="Times New Roman"/>
          <w:color w:val="auto"/>
          <w:sz w:val="30"/>
          <w:lang w:val="en-US" w:eastAsia="zh-CN"/>
        </w:rPr>
        <w:t>申请人向特定对象发行股票的行政许可申请于202</w:t>
      </w:r>
      <w:r>
        <w:rPr>
          <w:rFonts w:hint="default" w:eastAsia="仿宋_GB2312" w:cs="Times New Roman"/>
          <w:color w:val="auto"/>
          <w:sz w:val="30"/>
          <w:lang w:eastAsia="zh-CN"/>
        </w:rPr>
        <w:t>2</w:t>
      </w:r>
      <w:r>
        <w:rPr>
          <w:rFonts w:hint="default" w:ascii="Times New Roman" w:hAnsi="Times New Roman" w:eastAsia="仿宋_GB2312" w:cs="Times New Roman"/>
          <w:color w:val="auto"/>
          <w:sz w:val="30"/>
          <w:lang w:val="en-US" w:eastAsia="zh-CN"/>
        </w:rPr>
        <w:t>年</w:t>
      </w:r>
      <w:r>
        <w:rPr>
          <w:rFonts w:hint="default" w:eastAsia="仿宋_GB2312" w:cs="Times New Roman"/>
          <w:color w:val="auto"/>
          <w:sz w:val="30"/>
          <w:lang w:eastAsia="zh-CN"/>
        </w:rPr>
        <w:t>9</w:t>
      </w:r>
      <w:r>
        <w:rPr>
          <w:rFonts w:hint="default" w:ascii="Times New Roman" w:hAnsi="Times New Roman" w:eastAsia="仿宋_GB2312" w:cs="Times New Roman"/>
          <w:color w:val="auto"/>
          <w:sz w:val="30"/>
          <w:lang w:val="en-US" w:eastAsia="zh-CN"/>
        </w:rPr>
        <w:t>月</w:t>
      </w:r>
      <w:r>
        <w:rPr>
          <w:rFonts w:hint="default" w:eastAsia="仿宋_GB2312" w:cs="Times New Roman"/>
          <w:color w:val="auto"/>
          <w:sz w:val="30"/>
          <w:lang w:eastAsia="zh-CN"/>
        </w:rPr>
        <w:t>2</w:t>
      </w:r>
      <w:r>
        <w:rPr>
          <w:rFonts w:hint="default" w:ascii="Times New Roman" w:hAnsi="Times New Roman" w:eastAsia="仿宋_GB2312" w:cs="Times New Roman"/>
          <w:color w:val="auto"/>
          <w:sz w:val="30"/>
          <w:lang w:val="en-US" w:eastAsia="zh-CN"/>
        </w:rPr>
        <w:t>日正式受理。依据《公司法》《证券法》《非上市公众公司监督管理办法》（以下简称《公众公司办法》）《非上市公众公司信息披露内容与格式准则第3号——定向发行说明书和发行情况报告书》《非上市公众公司信息披露内容与格式准则第4号——定向发行申请文件》和《关于股东人数超过200人的未上市商业银行增发股份有关问题的通知》（证监发</w:t>
      </w:r>
      <w:r>
        <w:rPr>
          <w:rFonts w:hint="default" w:eastAsia="仿宋_GB2312" w:cs="Times New Roman"/>
          <w:color w:val="auto"/>
          <w:sz w:val="30"/>
          <w:lang w:eastAsia="zh-CN"/>
        </w:rPr>
        <w:t>〔2018〕</w:t>
      </w:r>
      <w:r>
        <w:rPr>
          <w:rFonts w:hint="default" w:ascii="Times New Roman" w:hAnsi="Times New Roman" w:eastAsia="仿宋_GB2312" w:cs="Times New Roman"/>
          <w:color w:val="auto"/>
          <w:sz w:val="30"/>
          <w:lang w:val="en-US" w:eastAsia="zh-CN"/>
        </w:rPr>
        <w:t>24号）等相关规定，我们对申请人提交的申请文件进行了合规性审核。</w:t>
      </w:r>
    </w:p>
    <w:p>
      <w:pPr>
        <w:keepNext w:val="0"/>
        <w:keepLines w:val="0"/>
        <w:pageBreakBefore w:val="0"/>
        <w:numPr>
          <w:ilvl w:val="0"/>
          <w:numId w:val="0"/>
        </w:numPr>
        <w:shd w:val="clear" w:color="auto" w:fill="auto"/>
        <w:kinsoku/>
        <w:wordWrap/>
        <w:overflowPunct/>
        <w:topLinePunct w:val="0"/>
        <w:autoSpaceDE/>
        <w:autoSpaceDN/>
        <w:bidi w:val="0"/>
        <w:snapToGrid/>
        <w:spacing w:beforeAutospacing="0" w:after="0" w:afterAutospacing="0" w:line="240" w:lineRule="auto"/>
        <w:ind w:left="0" w:leftChars="0" w:rightChars="0" w:firstLine="600" w:firstLineChars="200"/>
        <w:jc w:val="both"/>
        <w:textAlignment w:val="auto"/>
        <w:outlineLvl w:val="0"/>
        <w:rPr>
          <w:rFonts w:hint="default" w:ascii="黑体" w:hAnsi="黑体" w:eastAsia="黑体" w:cs="黑体"/>
          <w:b w:val="0"/>
          <w:bCs/>
          <w:color w:val="auto"/>
          <w:sz w:val="30"/>
          <w:szCs w:val="30"/>
          <w:highlight w:val="none"/>
          <w:lang w:eastAsia="zh-CN"/>
        </w:rPr>
      </w:pPr>
      <w:r>
        <w:rPr>
          <w:rFonts w:hint="default" w:ascii="黑体" w:hAnsi="黑体" w:eastAsia="黑体" w:cs="黑体"/>
          <w:b w:val="0"/>
          <w:bCs/>
          <w:color w:val="auto"/>
          <w:sz w:val="30"/>
          <w:szCs w:val="30"/>
          <w:highlight w:val="none"/>
          <w:lang w:eastAsia="zh-CN"/>
        </w:rPr>
        <w:t>二、审核中关注的问题</w:t>
      </w:r>
    </w:p>
    <w:p>
      <w:pPr>
        <w:keepNext w:val="0"/>
        <w:keepLines w:val="0"/>
        <w:pageBreakBefore w:val="0"/>
        <w:numPr>
          <w:ilvl w:val="0"/>
          <w:numId w:val="0"/>
        </w:numPr>
        <w:shd w:val="clear" w:color="auto" w:fill="auto"/>
        <w:kinsoku/>
        <w:wordWrap/>
        <w:overflowPunct/>
        <w:topLinePunct w:val="0"/>
        <w:autoSpaceDE/>
        <w:autoSpaceDN/>
        <w:bidi w:val="0"/>
        <w:snapToGrid/>
        <w:spacing w:beforeAutospacing="0" w:after="0" w:afterAutospacing="0" w:line="240" w:lineRule="auto"/>
        <w:ind w:leftChars="200" w:right="0" w:rightChars="0"/>
        <w:jc w:val="both"/>
        <w:textAlignment w:val="auto"/>
        <w:outlineLvl w:val="1"/>
        <w:rPr>
          <w:rFonts w:hint="default" w:ascii="楷体_GB2312" w:hAnsi="楷体_GB2312" w:eastAsia="楷体_GB2312" w:cs="楷体_GB2312"/>
          <w:b/>
          <w:bCs w:val="0"/>
          <w:color w:val="auto"/>
          <w:sz w:val="30"/>
          <w:szCs w:val="30"/>
          <w:highlight w:val="none"/>
          <w:lang w:eastAsia="zh-CN"/>
        </w:rPr>
      </w:pPr>
      <w:r>
        <w:rPr>
          <w:rFonts w:hint="default" w:ascii="楷体_GB2312" w:hAnsi="楷体_GB2312" w:eastAsia="楷体_GB2312" w:cs="楷体_GB2312"/>
          <w:b/>
          <w:bCs w:val="0"/>
          <w:color w:val="auto"/>
          <w:sz w:val="30"/>
          <w:szCs w:val="30"/>
          <w:highlight w:val="none"/>
          <w:lang w:val="en-US" w:eastAsia="zh-CN"/>
        </w:rPr>
        <w:t>（一）关于</w:t>
      </w:r>
      <w:r>
        <w:rPr>
          <w:rFonts w:hint="default" w:ascii="楷体_GB2312" w:hAnsi="楷体_GB2312" w:eastAsia="楷体_GB2312" w:cs="楷体_GB2312"/>
          <w:b/>
          <w:bCs w:val="0"/>
          <w:color w:val="auto"/>
          <w:sz w:val="30"/>
          <w:szCs w:val="30"/>
          <w:highlight w:val="none"/>
          <w:lang w:eastAsia="zh-CN"/>
        </w:rPr>
        <w:t>贷款集中度及内控</w:t>
      </w:r>
    </w:p>
    <w:p>
      <w:pPr>
        <w:pageBreakBefore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rPr>
          <w:rFonts w:hint="default" w:ascii="Times New Roman" w:hAnsi="Times New Roman" w:eastAsia="仿宋_GB2312" w:cs="Times New Roman"/>
          <w:kern w:val="0"/>
          <w:sz w:val="30"/>
          <w:szCs w:val="20"/>
          <w:lang w:val="en-US" w:eastAsia="zh-CN"/>
        </w:rPr>
      </w:pPr>
      <w:r>
        <w:rPr>
          <w:rFonts w:hint="default" w:ascii="Times New Roman" w:hAnsi="Times New Roman" w:eastAsia="仿宋_GB2312" w:cs="Times New Roman"/>
          <w:kern w:val="0"/>
          <w:sz w:val="30"/>
          <w:szCs w:val="20"/>
          <w:lang w:val="en-US" w:eastAsia="zh-CN"/>
        </w:rPr>
        <w:t>根据</w:t>
      </w:r>
      <w:r>
        <w:rPr>
          <w:rFonts w:hint="default" w:ascii="Times New Roman" w:hAnsi="Times New Roman" w:eastAsia="仿宋_GB2312" w:cs="Times New Roman"/>
          <w:kern w:val="0"/>
          <w:sz w:val="30"/>
          <w:szCs w:val="20"/>
          <w:lang w:eastAsia="zh-CN"/>
        </w:rPr>
        <w:t>申报材料</w:t>
      </w:r>
      <w:r>
        <w:rPr>
          <w:rFonts w:hint="default" w:ascii="Times New Roman" w:hAnsi="Times New Roman" w:eastAsia="仿宋_GB2312" w:cs="Times New Roman"/>
          <w:kern w:val="0"/>
          <w:sz w:val="30"/>
          <w:szCs w:val="20"/>
          <w:lang w:val="en-US" w:eastAsia="zh-CN"/>
        </w:rPr>
        <w:t>，</w:t>
      </w:r>
      <w:r>
        <w:rPr>
          <w:rFonts w:hint="default" w:ascii="Times New Roman" w:hAnsi="Times New Roman" w:eastAsia="仿宋_GB2312" w:cs="Times New Roman"/>
          <w:kern w:val="0"/>
          <w:sz w:val="30"/>
          <w:szCs w:val="20"/>
          <w:lang w:eastAsia="zh-CN"/>
        </w:rPr>
        <w:t>申请人第一大股东为九江市置地投资有限公司，本次发行未确定发行对象，不涉及现有股东优先认购安排</w:t>
      </w:r>
      <w:r>
        <w:rPr>
          <w:rFonts w:hint="default" w:ascii="Times New Roman" w:hAnsi="Times New Roman" w:eastAsia="仿宋_GB2312" w:cs="Times New Roman"/>
          <w:kern w:val="0"/>
          <w:sz w:val="30"/>
          <w:szCs w:val="20"/>
          <w:lang w:val="en-US" w:eastAsia="zh-CN"/>
        </w:rPr>
        <w:t>。请申请人：（</w:t>
      </w:r>
      <w:r>
        <w:rPr>
          <w:rFonts w:hint="default" w:ascii="Times New Roman" w:hAnsi="Times New Roman" w:eastAsia="仿宋_GB2312" w:cs="Times New Roman"/>
          <w:kern w:val="0"/>
          <w:sz w:val="30"/>
          <w:szCs w:val="20"/>
          <w:lang w:eastAsia="zh-CN"/>
        </w:rPr>
        <w:t>1</w:t>
      </w:r>
      <w:r>
        <w:rPr>
          <w:rFonts w:hint="default" w:ascii="Times New Roman" w:hAnsi="Times New Roman" w:eastAsia="仿宋_GB2312" w:cs="Times New Roman"/>
          <w:kern w:val="0"/>
          <w:sz w:val="30"/>
          <w:szCs w:val="20"/>
          <w:lang w:val="en-US" w:eastAsia="zh-CN"/>
        </w:rPr>
        <w:t>）补充说明日常经营过程中，如何有效防范大股东干预银行正常经营、不正当进行关联交易、资金担保及资金占用等行为；</w:t>
      </w:r>
      <w:r>
        <w:rPr>
          <w:rFonts w:hint="default" w:ascii="Times New Roman" w:hAnsi="Times New Roman" w:eastAsia="仿宋_GB2312" w:cs="Times New Roman"/>
          <w:kern w:val="0"/>
          <w:sz w:val="30"/>
          <w:szCs w:val="20"/>
          <w:lang w:eastAsia="zh-CN"/>
        </w:rPr>
        <w:t>（2）补充披露贷款集中度相关指标，说明是否符合监管指标要求；（3）补充披露报告期各期前十大客户的基本情况，包括但不限于注册资本、注册地、主要业务、所处行业、合作历史、与申请人是否存在股权关系或关联关系等；（4）补充披露报告期内关联方授信及贷款情况，包括但不限于关联客户名称、各期授信额度、贷款情况、是否存在逾期、审批程序是否合规，说明关联方授信监管指标是否达标，是否存在行政处罚风险；</w:t>
      </w:r>
      <w:r>
        <w:rPr>
          <w:rFonts w:hint="default" w:ascii="Times New Roman" w:hAnsi="Times New Roman" w:eastAsia="仿宋_GB2312" w:cs="Times New Roman"/>
          <w:kern w:val="0"/>
          <w:sz w:val="30"/>
          <w:szCs w:val="20"/>
          <w:lang w:val="en-US" w:eastAsia="zh-CN"/>
        </w:rPr>
        <w:t>（</w:t>
      </w:r>
      <w:r>
        <w:rPr>
          <w:rFonts w:hint="default" w:ascii="Times New Roman" w:hAnsi="Times New Roman" w:eastAsia="仿宋_GB2312" w:cs="Times New Roman"/>
          <w:kern w:val="0"/>
          <w:sz w:val="30"/>
          <w:szCs w:val="20"/>
          <w:lang w:eastAsia="zh-CN"/>
        </w:rPr>
        <w:t>5</w:t>
      </w:r>
      <w:r>
        <w:rPr>
          <w:rFonts w:hint="default" w:ascii="Times New Roman" w:hAnsi="Times New Roman" w:eastAsia="仿宋_GB2312" w:cs="Times New Roman"/>
          <w:kern w:val="0"/>
          <w:sz w:val="30"/>
          <w:szCs w:val="20"/>
          <w:lang w:val="en-US" w:eastAsia="zh-CN"/>
        </w:rPr>
        <w:t>）补充说明本次发行是否将新增大股东</w:t>
      </w:r>
      <w:r>
        <w:rPr>
          <w:rFonts w:hint="default" w:ascii="Times New Roman" w:hAnsi="Times New Roman" w:eastAsia="仿宋_GB2312" w:cs="Times New Roman"/>
          <w:kern w:val="0"/>
          <w:sz w:val="30"/>
          <w:szCs w:val="20"/>
          <w:lang w:eastAsia="zh-CN"/>
        </w:rPr>
        <w:t>、实控人</w:t>
      </w:r>
      <w:r>
        <w:rPr>
          <w:rFonts w:hint="default" w:ascii="Times New Roman" w:hAnsi="Times New Roman" w:eastAsia="仿宋_GB2312" w:cs="Times New Roman"/>
          <w:kern w:val="0"/>
          <w:sz w:val="30"/>
          <w:szCs w:val="20"/>
          <w:lang w:val="en-US" w:eastAsia="zh-CN"/>
        </w:rPr>
        <w:t>，如是，进一步说明保持银行经营独立性的内控措施及执行情况，并就可能存在的风险进行充分揭示。请</w:t>
      </w:r>
      <w:r>
        <w:rPr>
          <w:rFonts w:hint="default" w:ascii="Times New Roman" w:hAnsi="Times New Roman" w:eastAsia="仿宋_GB2312" w:cs="Times New Roman"/>
          <w:kern w:val="0"/>
          <w:sz w:val="30"/>
          <w:szCs w:val="20"/>
          <w:lang w:eastAsia="zh-CN"/>
        </w:rPr>
        <w:t>律师、</w:t>
      </w:r>
      <w:r>
        <w:rPr>
          <w:rFonts w:hint="default" w:ascii="Times New Roman" w:hAnsi="Times New Roman" w:eastAsia="仿宋_GB2312" w:cs="Times New Roman"/>
          <w:kern w:val="0"/>
          <w:sz w:val="30"/>
          <w:szCs w:val="20"/>
          <w:lang w:val="en-US" w:eastAsia="zh-CN"/>
        </w:rPr>
        <w:t>会计师核查并发表明确意见。</w:t>
      </w:r>
    </w:p>
    <w:p>
      <w:pPr>
        <w:pageBreakBefore w:val="0"/>
        <w:kinsoku/>
        <w:wordWrap/>
        <w:overflowPunct/>
        <w:topLinePunct w:val="0"/>
        <w:autoSpaceDE/>
        <w:autoSpaceDN/>
        <w:bidi w:val="0"/>
        <w:adjustRightInd w:val="0"/>
        <w:spacing w:line="240" w:lineRule="auto"/>
        <w:ind w:left="0" w:leftChars="0" w:firstLine="600" w:firstLineChars="200"/>
        <w:textAlignment w:val="center"/>
        <w:rPr>
          <w:rFonts w:hint="default" w:ascii="Times New Roman" w:hAnsi="Times New Roman" w:eastAsia="仿宋_GB2312" w:cs="Times New Roman"/>
          <w:color w:val="auto"/>
          <w:sz w:val="30"/>
          <w:szCs w:val="30"/>
          <w:lang w:eastAsia="zh-CN"/>
        </w:rPr>
      </w:pPr>
      <w:r>
        <w:rPr>
          <w:rFonts w:hint="default" w:ascii="Times New Roman" w:hAnsi="Times New Roman" w:eastAsia="仿宋_GB2312" w:cs="Times New Roman"/>
          <w:color w:val="auto"/>
          <w:sz w:val="30"/>
          <w:szCs w:val="30"/>
          <w:lang w:eastAsia="zh-CN"/>
        </w:rPr>
        <w:t>申请人回复</w:t>
      </w:r>
      <w:r>
        <w:rPr>
          <w:rFonts w:hint="default" w:eastAsia="仿宋_GB2312" w:cs="Times New Roman"/>
          <w:color w:val="auto"/>
          <w:sz w:val="30"/>
          <w:szCs w:val="30"/>
          <w:lang w:eastAsia="zh-CN"/>
        </w:rPr>
        <w:t>称</w:t>
      </w:r>
      <w:r>
        <w:rPr>
          <w:rFonts w:hint="default" w:ascii="Times New Roman" w:hAnsi="Times New Roman" w:eastAsia="仿宋_GB2312" w:cs="Times New Roman"/>
          <w:color w:val="auto"/>
          <w:sz w:val="30"/>
          <w:szCs w:val="30"/>
          <w:lang w:eastAsia="zh-CN"/>
        </w:rPr>
        <w:t>：</w:t>
      </w:r>
    </w:p>
    <w:p>
      <w:pPr>
        <w:pageBreakBefore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rPr>
          <w:rFonts w:hint="eastAsia" w:ascii="Times New Roman" w:hAnsi="Times New Roman" w:eastAsia="仿宋_GB2312" w:cs="Times New Roman"/>
          <w:b w:val="0"/>
          <w:bCs w:val="0"/>
          <w:kern w:val="0"/>
          <w:sz w:val="30"/>
          <w:szCs w:val="20"/>
          <w:lang w:val="en-US" w:eastAsia="zh-CN"/>
        </w:rPr>
      </w:pPr>
      <w:r>
        <w:rPr>
          <w:rFonts w:hint="eastAsia" w:ascii="Times New Roman" w:hAnsi="Times New Roman" w:eastAsia="仿宋_GB2312" w:cs="Times New Roman"/>
          <w:b w:val="0"/>
          <w:bCs w:val="0"/>
          <w:kern w:val="0"/>
          <w:sz w:val="30"/>
          <w:szCs w:val="20"/>
          <w:lang w:eastAsia="zh-CN"/>
        </w:rPr>
        <w:t>1</w:t>
      </w:r>
      <w:r>
        <w:rPr>
          <w:rFonts w:hint="default" w:ascii="Times New Roman" w:hAnsi="Times New Roman" w:eastAsia="仿宋_GB2312" w:cs="Times New Roman"/>
          <w:b w:val="0"/>
          <w:bCs w:val="0"/>
          <w:kern w:val="0"/>
          <w:sz w:val="30"/>
          <w:szCs w:val="20"/>
          <w:lang w:eastAsia="zh-CN"/>
        </w:rPr>
        <w:t>.</w:t>
      </w:r>
      <w:r>
        <w:rPr>
          <w:rFonts w:hint="eastAsia" w:ascii="Times New Roman" w:hAnsi="Times New Roman" w:eastAsia="仿宋_GB2312" w:cs="Times New Roman"/>
          <w:b w:val="0"/>
          <w:bCs w:val="0"/>
          <w:kern w:val="0"/>
          <w:sz w:val="30"/>
          <w:szCs w:val="20"/>
          <w:lang w:eastAsia="zh-CN"/>
        </w:rPr>
        <w:t>补充说明日常经营过程中，如何有效防范大股东干预银行正常经营、不正当进行关联交易、资金担保及资金占用等行为</w:t>
      </w:r>
    </w:p>
    <w:p>
      <w:pPr>
        <w:pageBreakBefore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rPr>
          <w:rFonts w:hint="default" w:ascii="Times New Roman" w:hAnsi="Times New Roman" w:eastAsia="仿宋_GB2312" w:cs="Times New Roman"/>
          <w:kern w:val="0"/>
          <w:sz w:val="30"/>
          <w:szCs w:val="20"/>
          <w:lang w:val="en-US" w:eastAsia="zh-CN"/>
        </w:rPr>
      </w:pPr>
      <w:r>
        <w:rPr>
          <w:rFonts w:hint="eastAsia" w:ascii="Times New Roman" w:hAnsi="Times New Roman" w:eastAsia="仿宋_GB2312" w:cs="Times New Roman"/>
          <w:kern w:val="0"/>
          <w:sz w:val="30"/>
          <w:szCs w:val="20"/>
          <w:lang w:val="en-US" w:eastAsia="zh-CN"/>
        </w:rPr>
        <w:t>目前，</w:t>
      </w:r>
      <w:r>
        <w:rPr>
          <w:rFonts w:hint="default" w:ascii="Times New Roman" w:hAnsi="Times New Roman" w:eastAsia="仿宋_GB2312" w:cs="Times New Roman"/>
          <w:kern w:val="0"/>
          <w:sz w:val="30"/>
          <w:szCs w:val="20"/>
          <w:lang w:val="en-US" w:eastAsia="zh-CN"/>
        </w:rPr>
        <w:t>公司</w:t>
      </w:r>
      <w:r>
        <w:rPr>
          <w:rFonts w:hint="eastAsia" w:ascii="Times New Roman" w:hAnsi="Times New Roman" w:eastAsia="仿宋_GB2312" w:cs="Times New Roman"/>
          <w:kern w:val="0"/>
          <w:sz w:val="30"/>
          <w:szCs w:val="20"/>
          <w:lang w:val="en-US" w:eastAsia="zh-CN"/>
        </w:rPr>
        <w:t>股权结构较为分散，虽然不存在持股比例超5%的主要股东及控股股东，但为了有效防范大股东干预、不正当进行关联交易、资金担保及资金占用等行为，</w:t>
      </w:r>
      <w:r>
        <w:rPr>
          <w:rFonts w:hint="default" w:ascii="Times New Roman" w:hAnsi="Times New Roman" w:eastAsia="仿宋_GB2312" w:cs="Times New Roman"/>
          <w:kern w:val="0"/>
          <w:sz w:val="30"/>
          <w:szCs w:val="20"/>
          <w:lang w:val="en-US" w:eastAsia="zh-CN"/>
        </w:rPr>
        <w:t>公司</w:t>
      </w:r>
      <w:r>
        <w:rPr>
          <w:rFonts w:hint="eastAsia" w:ascii="Times New Roman" w:hAnsi="Times New Roman" w:eastAsia="仿宋_GB2312" w:cs="Times New Roman"/>
          <w:kern w:val="0"/>
          <w:sz w:val="30"/>
          <w:szCs w:val="20"/>
          <w:lang w:val="en-US" w:eastAsia="zh-CN"/>
        </w:rPr>
        <w:t>具体有效措施如下：</w:t>
      </w:r>
    </w:p>
    <w:p>
      <w:pPr>
        <w:pageBreakBefore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rPr>
          <w:rFonts w:hint="eastAsia" w:ascii="Times New Roman" w:hAnsi="Times New Roman" w:eastAsia="仿宋_GB2312" w:cs="Times New Roman"/>
          <w:kern w:val="0"/>
          <w:sz w:val="30"/>
          <w:szCs w:val="20"/>
          <w:lang w:val="en-US" w:eastAsia="zh-CN"/>
        </w:rPr>
      </w:pPr>
      <w:r>
        <w:rPr>
          <w:rFonts w:hint="eastAsia" w:ascii="Times New Roman" w:hAnsi="Times New Roman" w:eastAsia="仿宋_GB2312" w:cs="Times New Roman"/>
          <w:kern w:val="0"/>
          <w:sz w:val="30"/>
          <w:szCs w:val="20"/>
          <w:lang w:val="en-US" w:eastAsia="zh-CN"/>
        </w:rPr>
        <w:t>（1）健全三会一层公司治理体系。报告期内，公司严格遵守《公司法》、《商业银行法》等相关法律，结合公司实际，建立了股东大会、董事会、监事会和高级管理层“三会一层”的法人治理架构，形成“股东大会授权、董事会决策、监事会监督、高管层经营”的各司其职、各负其责、相互支持、相互制衡的运行机制。公司建立了合规、内部审计等内部控制体系，确保公司独立自主经营、科学决策，不受大股东不当干预。</w:t>
      </w:r>
    </w:p>
    <w:p>
      <w:pPr>
        <w:pageBreakBefore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rPr>
          <w:rFonts w:hint="eastAsia" w:ascii="Times New Roman" w:hAnsi="Times New Roman" w:eastAsia="仿宋_GB2312" w:cs="Times New Roman"/>
          <w:kern w:val="0"/>
          <w:sz w:val="30"/>
          <w:szCs w:val="20"/>
          <w:lang w:val="en-US" w:eastAsia="zh-CN"/>
        </w:rPr>
      </w:pPr>
      <w:r>
        <w:rPr>
          <w:rFonts w:hint="eastAsia" w:ascii="Times New Roman" w:hAnsi="Times New Roman" w:eastAsia="仿宋_GB2312" w:cs="Times New Roman"/>
          <w:kern w:val="0"/>
          <w:sz w:val="30"/>
          <w:szCs w:val="20"/>
          <w:lang w:val="en-US" w:eastAsia="zh-CN"/>
        </w:rPr>
        <w:t>（2）公司不存在控股股东和实际控制人，不存在能够对公司产生支配性影响和干预的大股东。截至本补充法律意见书出具之日，公司不存在单一股东持有、同一控制关系下的关联股东合计持有、股东通过签署一致行动协议联合持有公司股份超过公司总股本30%的情况，各主要股东所持股份表决权均不足以单方面审议或否定股东大会决议；不存在能够决定公司董事会半数以上成员选任的股东。分散的股权结构也为公司防范大股东干预正常经营、不正当关联交易、资金占用及资金担保行为提供了约束条件。</w:t>
      </w:r>
    </w:p>
    <w:p>
      <w:pPr>
        <w:pageBreakBefore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rPr>
          <w:rFonts w:hint="eastAsia" w:ascii="Times New Roman" w:hAnsi="Times New Roman" w:eastAsia="仿宋_GB2312" w:cs="Times New Roman"/>
          <w:kern w:val="0"/>
          <w:sz w:val="30"/>
          <w:szCs w:val="20"/>
          <w:lang w:val="en-US" w:eastAsia="zh-CN"/>
        </w:rPr>
      </w:pPr>
      <w:r>
        <w:rPr>
          <w:rFonts w:hint="eastAsia" w:ascii="Times New Roman" w:hAnsi="Times New Roman" w:eastAsia="仿宋_GB2312" w:cs="Times New Roman"/>
          <w:kern w:val="0"/>
          <w:sz w:val="30"/>
          <w:szCs w:val="20"/>
          <w:lang w:val="en-US" w:eastAsia="zh-CN"/>
        </w:rPr>
        <w:t>（3）督促大股东依规履行权利义务。一是健全《公司章程》的约束。为防范大股东干预银行正常经营，《公司章程》已规定“同一股东及其关联人不得向股东大会同时提名董事和监事；同一股东及其关联人提名的董事（监事）人选已担任董事（监事）职务，在其任职期届满或更换前，该股东不得再提名监事（董事）候选人；同一股东及其关联人提名的董事原则上不得超过董事会成员总数的三分之一。”“董事个人或者其所任职的其他企业直接或者间接与本行已有的或者计划中的合同、交易、安排有关联关系时（聘任合同除外），不论有关事项在一般情况下是否需要董事会批准同意，均应当尽快向董事会披露其关联关系的性质和程度。”“同一股东及其关联人不得向股东大会同时提名董事和监事的人选；同一股东及其关联人提名的监（董）事人选已担任监（董）事职务，在其任职期届满前，该股东不得再提名董（监）事候选人。”“本行的主要股东或其控股股东、实际控制人、关联方、一致行动人、最终受益人等为金融机构的，本行与其开展同业业务时，应当遵守法律法规和相关监管部门关于同业业务的相关规定”。二是实施主要股东承诺制度。根据相关监管要求，主要股东每年经其董事会或股东大会审议后提供书面承诺书，承诺其不谋求优于其他股东的关联交易、不干预发行人的日常经营事务、不向发行人施加不当的指标压力，若违反相关规定给发行人造成损失的均承担赔偿责任，进一步强化大股东的合规意识。三是加强股东股权质押管理。《公司章程》明确规定“本行不接受以本行的股权设定的权利质押；本行股东在本行以外以其持有的本行股权出质为自己或他人担保的，应当严格遵守法律法规和监管部门的要求，事前告知并征得本行董事会（或被授权的董事长）同意。本行股东在本行有未清偿逾期贷款的，在该笔贷款未清偿之前，该股东持有的本行股份不得质押；本行股东在本行的借款余额超过其持有的经审计的上一年度的股权净值，不得将本行股权进行质押。拥有本行董、监事席位的股东，或直接、间接、共同持有或控制本行2％以上股份或表决权的股东出质本行股份，事前须向本行董事会申请备案，说明出质的原因、股权数额、质押期限、质押权人等基本情况。凡董事会认定对本行股权稳定、公司治理、风险与关联交易控制等存在重大不利影响的，应不予备案。在本行董事会审议股权质押相关事项时，由拟出质股东委派的董事应当回避。股东完成股权质押登记后，应配合本行风险管理和信息披露需要，及时向本行提供涉及质押股权的相关信息。股东质押本行股权数量达到或超过其持有本行股权的50%时，股东大会上按未质押的股权计算表决权，其派出的董事不得在董事会上行使表决权”。</w:t>
      </w:r>
    </w:p>
    <w:p>
      <w:pPr>
        <w:pageBreakBefore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rPr>
          <w:rFonts w:hint="eastAsia" w:ascii="Times New Roman" w:hAnsi="Times New Roman" w:eastAsia="仿宋_GB2312" w:cs="Times New Roman"/>
          <w:kern w:val="0"/>
          <w:sz w:val="30"/>
          <w:szCs w:val="20"/>
          <w:lang w:val="en-US" w:eastAsia="zh-CN"/>
        </w:rPr>
      </w:pPr>
      <w:r>
        <w:rPr>
          <w:rFonts w:hint="eastAsia" w:ascii="Times New Roman" w:hAnsi="Times New Roman" w:eastAsia="仿宋_GB2312" w:cs="Times New Roman"/>
          <w:kern w:val="0"/>
          <w:sz w:val="30"/>
          <w:szCs w:val="20"/>
          <w:lang w:val="en-US" w:eastAsia="zh-CN"/>
        </w:rPr>
        <w:t>（4）有效运行关联交易管理机制。报告期内，公司制定了较为完善的内部控制制度对关联交易、资金担保及资金占用等行为进行了严格约束和规范。根据《关联交易管理办法》，公司明确了关联交易的报告及审批流程，防范不当关联交易。根据《关联交易管理办法》规定，一般关联交易由条线管理部门（信贷管理部、零售银行部、计划财务部、金融市场部、风险合规部）按照程序审批，定期报风险管理与关联交易控制委员会备案。重大关联交易应当由条线部门提交风险管理与关联交易控制委员会进行公允性、合理性审核后提交董事会审议。董事会会议所作决议须经非关联董事2/3以上通过。出席董事会会议的非关联董事人数不足三人的，应当提交股东大会审议。公司依法披露关联交易信息，在年报中披露当年关联交易的总体情况。公司审计部门应当每年至少对公司的关联交易进行一次专项审计，并将审计结果报告董事会和监事会，严防违规关联交易及资金占用行为，对存在隐匿关联交易、输送不正当利益等行为的，将严厉追究相关人员责任。</w:t>
      </w:r>
    </w:p>
    <w:p>
      <w:pPr>
        <w:pageBreakBefore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rPr>
          <w:rFonts w:hint="eastAsia" w:ascii="Times New Roman" w:hAnsi="Times New Roman" w:eastAsia="仿宋_GB2312" w:cs="Times New Roman"/>
          <w:b w:val="0"/>
          <w:bCs w:val="0"/>
          <w:kern w:val="0"/>
          <w:sz w:val="30"/>
          <w:szCs w:val="20"/>
          <w:lang w:val="en-US" w:eastAsia="zh-CN"/>
        </w:rPr>
      </w:pPr>
      <w:r>
        <w:rPr>
          <w:rFonts w:hint="eastAsia" w:ascii="Times New Roman" w:hAnsi="Times New Roman" w:eastAsia="仿宋_GB2312" w:cs="Times New Roman"/>
          <w:b w:val="0"/>
          <w:bCs w:val="0"/>
          <w:kern w:val="0"/>
          <w:sz w:val="30"/>
          <w:szCs w:val="20"/>
          <w:lang w:val="en-US" w:eastAsia="zh-CN"/>
        </w:rPr>
        <w:t>2</w:t>
      </w:r>
      <w:r>
        <w:rPr>
          <w:rFonts w:hint="default" w:ascii="Times New Roman" w:hAnsi="Times New Roman" w:eastAsia="仿宋_GB2312" w:cs="Times New Roman"/>
          <w:b w:val="0"/>
          <w:bCs w:val="0"/>
          <w:kern w:val="0"/>
          <w:sz w:val="30"/>
          <w:szCs w:val="20"/>
          <w:lang w:eastAsia="zh-CN"/>
        </w:rPr>
        <w:t>.</w:t>
      </w:r>
      <w:r>
        <w:rPr>
          <w:rFonts w:hint="eastAsia" w:ascii="Times New Roman" w:hAnsi="Times New Roman" w:eastAsia="仿宋_GB2312" w:cs="Times New Roman"/>
          <w:b w:val="0"/>
          <w:bCs w:val="0"/>
          <w:kern w:val="0"/>
          <w:sz w:val="30"/>
          <w:szCs w:val="20"/>
          <w:lang w:val="en-US" w:eastAsia="zh-CN"/>
        </w:rPr>
        <w:t>补充披露贷款集中度相关指标，说明是否符合监管指标要求</w:t>
      </w:r>
    </w:p>
    <w:p>
      <w:pPr>
        <w:pageBreakBefore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rPr>
          <w:rFonts w:hint="eastAsia" w:ascii="Times New Roman" w:hAnsi="Times New Roman" w:eastAsia="仿宋_GB2312" w:cs="Times New Roman"/>
          <w:kern w:val="0"/>
          <w:sz w:val="30"/>
          <w:szCs w:val="20"/>
          <w:lang w:val="en-US" w:eastAsia="zh-CN"/>
        </w:rPr>
      </w:pPr>
      <w:r>
        <w:rPr>
          <w:rFonts w:hint="eastAsia" w:ascii="Times New Roman" w:hAnsi="Times New Roman" w:eastAsia="仿宋_GB2312" w:cs="Times New Roman"/>
          <w:kern w:val="0"/>
          <w:sz w:val="30"/>
          <w:szCs w:val="20"/>
          <w:lang w:val="en-US" w:eastAsia="zh-CN"/>
        </w:rPr>
        <w:t>自2019年起银保监调整监测指标，取消“单一集团客户授信集中度、单一客户贷款集中度指标，启用“非同业单一客户贷款集中度、非同业集团及经济依存客户风险暴露集中度”指标。报告期内，公司的两个相关指标情况如下：2020年12月31日、2021年12月31日和2022年3月31日，公司非同业单一客户贷款集中度分别为9.18%、7.77%和8.54%，整体符合监管指标。2020年12月31日、2021年12月31日和2022年3月31日，公司非同业集团及经济依存客户风险暴露集中度分别为13.68%、14.99%和17.57%，整体符合监管指标。</w:t>
      </w:r>
    </w:p>
    <w:p>
      <w:pPr>
        <w:pageBreakBefore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rPr>
          <w:rFonts w:hint="eastAsia" w:ascii="Times New Roman" w:hAnsi="Times New Roman" w:eastAsia="仿宋_GB2312" w:cs="Times New Roman"/>
          <w:kern w:val="0"/>
          <w:sz w:val="30"/>
          <w:szCs w:val="20"/>
          <w:lang w:val="en-US" w:eastAsia="zh-CN"/>
        </w:rPr>
      </w:pPr>
      <w:r>
        <w:rPr>
          <w:rFonts w:hint="eastAsia" w:ascii="Times New Roman" w:hAnsi="Times New Roman" w:eastAsia="仿宋_GB2312" w:cs="Times New Roman"/>
          <w:kern w:val="0"/>
          <w:sz w:val="30"/>
          <w:szCs w:val="20"/>
          <w:lang w:val="en-US" w:eastAsia="zh-CN"/>
        </w:rPr>
        <w:t>报告期内公司贷款单一客户，包括但不限于与公司的关联关系、贷款发放额度、坏账计提的情况如下:</w:t>
      </w:r>
    </w:p>
    <w:p>
      <w:pPr>
        <w:pageBreakBefore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rPr>
          <w:rFonts w:hint="eastAsia" w:ascii="Times New Roman" w:hAnsi="Times New Roman" w:eastAsia="仿宋_GB2312" w:cs="Times New Roman"/>
          <w:kern w:val="0"/>
          <w:sz w:val="30"/>
          <w:szCs w:val="20"/>
          <w:lang w:val="en-US" w:eastAsia="zh-CN"/>
        </w:rPr>
      </w:pPr>
      <w:r>
        <w:rPr>
          <w:rFonts w:hint="eastAsia" w:ascii="Times New Roman" w:hAnsi="Times New Roman" w:eastAsia="仿宋_GB2312" w:cs="Times New Roman"/>
          <w:kern w:val="0"/>
          <w:sz w:val="30"/>
          <w:szCs w:val="20"/>
          <w:lang w:val="en-US" w:eastAsia="zh-CN"/>
        </w:rPr>
        <w:t>为加强贷款集中度风险管理，公司将进一步采取以下措施来防控风险：一是强化客户统一授信管理，加强授信业务风险限额管控，适度控制单一客户授信总额。二是按计划实施内源性和外源性相结合的资本补充方案，通过盈利积累和增资扩股等方式进一步提高资本净额。三是响应监管政策，加大支农支小信贷投放。</w:t>
      </w:r>
    </w:p>
    <w:p>
      <w:pPr>
        <w:pageBreakBefore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rPr>
          <w:rFonts w:hint="default" w:ascii="Times New Roman" w:hAnsi="Times New Roman" w:eastAsia="仿宋_GB2312" w:cs="Times New Roman"/>
          <w:kern w:val="0"/>
          <w:sz w:val="30"/>
          <w:szCs w:val="20"/>
          <w:lang w:eastAsia="zh-CN"/>
        </w:rPr>
      </w:pPr>
      <w:r>
        <w:rPr>
          <w:rFonts w:hint="default" w:ascii="Times New Roman" w:hAnsi="Times New Roman" w:eastAsia="仿宋_GB2312" w:cs="Times New Roman"/>
          <w:kern w:val="0"/>
          <w:sz w:val="30"/>
          <w:szCs w:val="20"/>
          <w:lang w:eastAsia="zh-CN"/>
        </w:rPr>
        <w:t>公司已在定向发行说明书中补充披露上述情况。</w:t>
      </w:r>
    </w:p>
    <w:p>
      <w:pPr>
        <w:pageBreakBefore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rPr>
          <w:rFonts w:hint="eastAsia" w:ascii="Times New Roman" w:hAnsi="Times New Roman" w:eastAsia="仿宋_GB2312" w:cs="Times New Roman"/>
          <w:b w:val="0"/>
          <w:bCs w:val="0"/>
          <w:kern w:val="0"/>
          <w:sz w:val="30"/>
          <w:szCs w:val="20"/>
          <w:lang w:val="en-US" w:eastAsia="zh-CN"/>
        </w:rPr>
      </w:pPr>
      <w:r>
        <w:rPr>
          <w:rFonts w:hint="eastAsia" w:ascii="Times New Roman" w:hAnsi="Times New Roman" w:eastAsia="仿宋_GB2312" w:cs="Times New Roman"/>
          <w:b w:val="0"/>
          <w:bCs w:val="0"/>
          <w:kern w:val="0"/>
          <w:sz w:val="30"/>
          <w:szCs w:val="20"/>
          <w:lang w:val="en-US" w:eastAsia="zh-CN"/>
        </w:rPr>
        <w:t>3</w:t>
      </w:r>
      <w:r>
        <w:rPr>
          <w:rFonts w:hint="default" w:ascii="Times New Roman" w:hAnsi="Times New Roman" w:eastAsia="仿宋_GB2312" w:cs="Times New Roman"/>
          <w:b w:val="0"/>
          <w:bCs w:val="0"/>
          <w:kern w:val="0"/>
          <w:sz w:val="30"/>
          <w:szCs w:val="20"/>
          <w:lang w:eastAsia="zh-CN"/>
        </w:rPr>
        <w:t>.</w:t>
      </w:r>
      <w:r>
        <w:rPr>
          <w:rFonts w:hint="eastAsia" w:ascii="Times New Roman" w:hAnsi="Times New Roman" w:eastAsia="仿宋_GB2312" w:cs="Times New Roman"/>
          <w:b w:val="0"/>
          <w:bCs w:val="0"/>
          <w:kern w:val="0"/>
          <w:sz w:val="30"/>
          <w:szCs w:val="20"/>
          <w:lang w:val="en-US" w:eastAsia="zh-CN"/>
        </w:rPr>
        <w:t>补充披露报告期各期前十大客户的基本情况，包括但不限于注册资本、注册地、主要业务、所处行业、合作历史、与申请人是否存在股权关系或关联关系等</w:t>
      </w:r>
    </w:p>
    <w:p>
      <w:pPr>
        <w:pageBreakBefore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rPr>
          <w:rFonts w:hint="default" w:ascii="Times New Roman" w:hAnsi="Times New Roman" w:eastAsia="仿宋_GB2312" w:cs="Times New Roman"/>
          <w:kern w:val="0"/>
          <w:sz w:val="30"/>
          <w:szCs w:val="20"/>
          <w:lang w:eastAsia="zh-CN"/>
        </w:rPr>
      </w:pPr>
      <w:r>
        <w:rPr>
          <w:rFonts w:hint="eastAsia" w:ascii="Times New Roman" w:hAnsi="Times New Roman" w:eastAsia="仿宋_GB2312" w:cs="Times New Roman"/>
          <w:kern w:val="0"/>
          <w:sz w:val="30"/>
          <w:szCs w:val="20"/>
          <w:lang w:val="en-US" w:eastAsia="zh-CN"/>
        </w:rPr>
        <w:t>公司已经在《定向发行说明书》之“一、本公司基本信息/（五）公司最近两年及一期主要财务数据、监管指标及变动分析/1、收入及利润分析/2）前十大客户情况”补充披露</w:t>
      </w:r>
      <w:r>
        <w:rPr>
          <w:rFonts w:hint="default" w:eastAsia="仿宋_GB2312" w:cs="Times New Roman"/>
          <w:kern w:val="0"/>
          <w:sz w:val="30"/>
          <w:szCs w:val="20"/>
          <w:lang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eastAsia" w:ascii="Times New Roman" w:hAnsi="Times New Roman" w:eastAsia="仿宋_GB2312" w:cs="Times New Roman"/>
          <w:b w:val="0"/>
          <w:bCs w:val="0"/>
          <w:color w:val="auto"/>
          <w:sz w:val="30"/>
          <w:szCs w:val="30"/>
          <w:lang w:val="en-US" w:eastAsia="zh-CN"/>
        </w:rPr>
      </w:pPr>
      <w:r>
        <w:rPr>
          <w:rFonts w:hint="eastAsia" w:ascii="Times New Roman" w:hAnsi="Times New Roman" w:eastAsia="仿宋_GB2312" w:cs="Times New Roman"/>
          <w:b w:val="0"/>
          <w:bCs w:val="0"/>
          <w:color w:val="auto"/>
          <w:sz w:val="30"/>
          <w:szCs w:val="30"/>
          <w:lang w:val="en-US" w:eastAsia="zh-CN"/>
        </w:rPr>
        <w:t>4</w:t>
      </w:r>
      <w:r>
        <w:rPr>
          <w:rFonts w:hint="default" w:ascii="Times New Roman" w:hAnsi="Times New Roman" w:eastAsia="仿宋_GB2312" w:cs="Times New Roman"/>
          <w:b w:val="0"/>
          <w:bCs w:val="0"/>
          <w:color w:val="auto"/>
          <w:sz w:val="30"/>
          <w:szCs w:val="30"/>
          <w:lang w:eastAsia="zh-CN"/>
        </w:rPr>
        <w:t>.</w:t>
      </w:r>
      <w:r>
        <w:rPr>
          <w:rFonts w:hint="eastAsia" w:ascii="Times New Roman" w:hAnsi="Times New Roman" w:eastAsia="仿宋_GB2312" w:cs="Times New Roman"/>
          <w:b w:val="0"/>
          <w:bCs w:val="0"/>
          <w:color w:val="auto"/>
          <w:sz w:val="30"/>
          <w:szCs w:val="30"/>
          <w:lang w:val="en-US" w:eastAsia="zh-CN"/>
        </w:rPr>
        <w:t>补充披露报告期内关联方授信及贷款情况，包括但不限于关联客户名称、各期授信额度、贷款情况、是否存在逾期、审批程序是否合规，说明关联方授信监管指标是否达标，是否存在行政处罚风险</w:t>
      </w:r>
    </w:p>
    <w:p>
      <w:pPr>
        <w:spacing w:line="360" w:lineRule="auto"/>
        <w:ind w:firstLine="600" w:firstLineChars="200"/>
        <w:rPr>
          <w:rFonts w:hint="default" w:ascii="Arial" w:hAnsi="Arial" w:cs="Arial"/>
          <w:bCs/>
          <w:sz w:val="24"/>
          <w:szCs w:val="24"/>
        </w:rPr>
      </w:pPr>
      <w:r>
        <w:rPr>
          <w:rFonts w:hint="eastAsia" w:ascii="Times New Roman" w:hAnsi="Times New Roman" w:eastAsia="仿宋_GB2312" w:cs="Times New Roman"/>
          <w:color w:val="auto"/>
          <w:sz w:val="30"/>
          <w:szCs w:val="30"/>
          <w:lang w:val="en-US" w:eastAsia="zh-CN"/>
        </w:rPr>
        <w:t>公司已经在《定向发行说明书》之“一、本公司基本信息/（五）公司最近两年及一期主要财务数据、监管指标及变动分析/2、主要监管指标及分析/（2）不良贷款率/ 5) 关联方授信及贷款情况”中补充披露</w:t>
      </w:r>
      <w:r>
        <w:rPr>
          <w:rFonts w:hint="default" w:eastAsia="仿宋_GB2312" w:cs="Times New Roman"/>
          <w:color w:val="auto"/>
          <w:sz w:val="30"/>
          <w:szCs w:val="30"/>
          <w:lang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eastAsia" w:ascii="Times New Roman" w:hAnsi="Times New Roman" w:eastAsia="仿宋_GB2312" w:cs="Times New Roman"/>
          <w:color w:val="auto"/>
          <w:sz w:val="30"/>
          <w:szCs w:val="30"/>
          <w:lang w:val="en-US" w:eastAsia="zh-CN"/>
        </w:rPr>
      </w:pPr>
      <w:r>
        <w:rPr>
          <w:rFonts w:hint="default" w:eastAsia="仿宋_GB2312" w:cs="Times New Roman"/>
          <w:color w:val="auto"/>
          <w:sz w:val="30"/>
          <w:szCs w:val="30"/>
          <w:lang w:eastAsia="zh-CN"/>
        </w:rPr>
        <w:t>公司</w:t>
      </w:r>
      <w:r>
        <w:rPr>
          <w:rFonts w:hint="eastAsia" w:ascii="Times New Roman" w:hAnsi="Times New Roman" w:eastAsia="仿宋_GB2312" w:cs="Times New Roman"/>
          <w:color w:val="auto"/>
          <w:sz w:val="30"/>
          <w:szCs w:val="30"/>
          <w:lang w:val="en-US" w:eastAsia="zh-CN"/>
        </w:rPr>
        <w:t>关联方客户贷款和授信的审批程序合规，关联方授信监管指标达标，不存在行政处罚风险；</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eastAsia" w:ascii="Times New Roman" w:hAnsi="Times New Roman" w:eastAsia="仿宋_GB2312" w:cs="Times New Roman"/>
          <w:b w:val="0"/>
          <w:bCs w:val="0"/>
          <w:color w:val="auto"/>
          <w:sz w:val="30"/>
          <w:szCs w:val="30"/>
          <w:lang w:val="en-US" w:eastAsia="zh-CN"/>
        </w:rPr>
      </w:pPr>
      <w:r>
        <w:rPr>
          <w:rFonts w:hint="eastAsia" w:ascii="Times New Roman" w:hAnsi="Times New Roman" w:eastAsia="仿宋_GB2312" w:cs="Times New Roman"/>
          <w:b w:val="0"/>
          <w:bCs w:val="0"/>
          <w:color w:val="auto"/>
          <w:sz w:val="30"/>
          <w:szCs w:val="30"/>
          <w:lang w:val="en-US" w:eastAsia="zh-CN"/>
        </w:rPr>
        <w:t>5</w:t>
      </w:r>
      <w:r>
        <w:rPr>
          <w:rFonts w:hint="default" w:ascii="Times New Roman" w:hAnsi="Times New Roman" w:eastAsia="仿宋_GB2312" w:cs="Times New Roman"/>
          <w:b w:val="0"/>
          <w:bCs w:val="0"/>
          <w:color w:val="auto"/>
          <w:sz w:val="30"/>
          <w:szCs w:val="30"/>
          <w:lang w:eastAsia="zh-CN"/>
        </w:rPr>
        <w:t>.</w:t>
      </w:r>
      <w:r>
        <w:rPr>
          <w:rFonts w:hint="eastAsia" w:ascii="Times New Roman" w:hAnsi="Times New Roman" w:eastAsia="仿宋_GB2312" w:cs="Times New Roman"/>
          <w:b w:val="0"/>
          <w:bCs w:val="0"/>
          <w:color w:val="auto"/>
          <w:sz w:val="30"/>
          <w:szCs w:val="30"/>
          <w:lang w:val="en-US" w:eastAsia="zh-CN"/>
        </w:rPr>
        <w:t>补充说明本次发行是否将新增大股东、实控人，如是，进一步说明保持银行经营独立性的内控措施及执行情况，并就可能存在的风险进行充分揭示</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截至《定向发行说明书》出具之日，公司尚未确定发行对象，因此目前尚无法确定是否会新增大股东。如认购对象最终确定后存在新增大股东，公司的以下一系列举措能够确保新增大股东后公司经营的独立性：</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第一，对公司大股东行为规范开展自查。自2021年09月30日银保监会首次发布《中国银保监会关于印发银行保险机构大股东行为监管办法（试行）的通知》（银保监发〔2021〕43号），公司已按照该监管办法的精神和要求持续开展对公司大股东行为规范的自查，具体包括大股东行为监管的制度体系构建与完善、相关制度有效性落实情况的定期自查及跟踪计划。</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第二，完善大股东行为规范制度体系。为进一步保持公司经营独立性，公司将在已构建的股权管理制度体系基础上，按照《银行保险机构大股东行为监管办法(试行)》的规定修订公司章程，明确规定</w:t>
      </w:r>
      <w:r>
        <w:rPr>
          <w:rFonts w:hint="default" w:ascii="Times New Roman" w:hAnsi="Times New Roman" w:eastAsia="仿宋_GB2312" w:cs="Times New Roman"/>
          <w:color w:val="auto"/>
          <w:sz w:val="30"/>
          <w:szCs w:val="30"/>
          <w:lang w:eastAsia="zh-CN"/>
        </w:rPr>
        <w:t>公司</w:t>
      </w:r>
      <w:r>
        <w:rPr>
          <w:rFonts w:hint="eastAsia" w:ascii="Times New Roman" w:hAnsi="Times New Roman" w:eastAsia="仿宋_GB2312" w:cs="Times New Roman"/>
          <w:color w:val="auto"/>
          <w:sz w:val="30"/>
          <w:szCs w:val="30"/>
          <w:lang w:val="en-US" w:eastAsia="zh-CN"/>
        </w:rPr>
        <w:t>大股东持股、治理、交易等行为应符合银行保险业监督管理机构大股东行为监管有关规定；</w:t>
      </w:r>
      <w:r>
        <w:rPr>
          <w:rFonts w:hint="default" w:ascii="Times New Roman" w:hAnsi="Times New Roman" w:eastAsia="仿宋_GB2312" w:cs="Times New Roman"/>
          <w:color w:val="auto"/>
          <w:sz w:val="30"/>
          <w:szCs w:val="30"/>
          <w:lang w:eastAsia="zh-CN"/>
        </w:rPr>
        <w:t>公司</w:t>
      </w:r>
      <w:r>
        <w:rPr>
          <w:rFonts w:hint="eastAsia" w:ascii="Times New Roman" w:hAnsi="Times New Roman" w:eastAsia="仿宋_GB2312" w:cs="Times New Roman"/>
          <w:color w:val="auto"/>
          <w:sz w:val="30"/>
          <w:szCs w:val="30"/>
          <w:lang w:val="en-US" w:eastAsia="zh-CN"/>
        </w:rPr>
        <w:t>主要股东应按银行保险业监督管理机构要求，书面作出并履行声明类、合规类、尽责类等股东承诺。公司及时更新完善相关制度，确保大股东行为规范具有合规性依据。</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第三，多项措施配合落实大股东行为规范。公司在不断完善规章制度的基础上，从大股东持股行为、参与公司治理行为、交易行为及责任义务等方面着手规范大股东行为，保证公司经营独立性。</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default"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如本次发行将新增大股东，可能存在的风险及应对措施如下：</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default"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第一，公司治理风险及应对措施</w:t>
      </w:r>
      <w:r>
        <w:rPr>
          <w:rFonts w:hint="default" w:eastAsia="仿宋_GB2312" w:cs="Times New Roman"/>
          <w:color w:val="auto"/>
          <w:sz w:val="30"/>
          <w:szCs w:val="30"/>
          <w:lang w:eastAsia="zh-CN"/>
        </w:rPr>
        <w:t>。</w:t>
      </w:r>
      <w:r>
        <w:rPr>
          <w:rFonts w:hint="eastAsia" w:ascii="Times New Roman" w:hAnsi="Times New Roman" w:eastAsia="仿宋_GB2312" w:cs="Times New Roman"/>
          <w:color w:val="auto"/>
          <w:sz w:val="30"/>
          <w:szCs w:val="30"/>
          <w:lang w:val="en-US" w:eastAsia="zh-CN"/>
        </w:rPr>
        <w:t>如新增大股东，在公司治理方面，可能存在大股东滥用股东权利、干预公司决策、不当参与公司治理的风险。针对该风险，</w:t>
      </w:r>
      <w:r>
        <w:rPr>
          <w:rFonts w:hint="default" w:ascii="Times New Roman" w:hAnsi="Times New Roman" w:eastAsia="仿宋_GB2312" w:cs="Times New Roman"/>
          <w:color w:val="auto"/>
          <w:sz w:val="30"/>
          <w:szCs w:val="30"/>
          <w:lang w:val="en-US" w:eastAsia="zh-CN"/>
        </w:rPr>
        <w:t>公司</w:t>
      </w:r>
      <w:r>
        <w:rPr>
          <w:rFonts w:hint="eastAsia" w:ascii="Times New Roman" w:hAnsi="Times New Roman" w:eastAsia="仿宋_GB2312" w:cs="Times New Roman"/>
          <w:color w:val="auto"/>
          <w:sz w:val="30"/>
          <w:szCs w:val="30"/>
          <w:lang w:val="en-US" w:eastAsia="zh-CN"/>
        </w:rPr>
        <w:t>董事会及高级管理层将加强对内部审计结果的反馈及应用；监事会将进一步增强对经营决策、风险管理和内部控制等方面的监督作用。同时，把党的领导作为公司治理的根本遵循，并将党建工作内容写入章程，确立重大事项在党委会前置审议的基础上，进一步全面增强党委的领导核心作用，把加强党的领导和完善公司治理统一起来。</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default"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第二，不当关联交易风险及应对措施</w:t>
      </w:r>
      <w:r>
        <w:rPr>
          <w:rFonts w:hint="default" w:eastAsia="仿宋_GB2312" w:cs="Times New Roman"/>
          <w:color w:val="auto"/>
          <w:sz w:val="30"/>
          <w:szCs w:val="30"/>
          <w:lang w:eastAsia="zh-CN"/>
        </w:rPr>
        <w:t>。</w:t>
      </w:r>
      <w:r>
        <w:rPr>
          <w:rFonts w:hint="eastAsia" w:ascii="Times New Roman" w:hAnsi="Times New Roman" w:eastAsia="仿宋_GB2312" w:cs="Times New Roman"/>
          <w:color w:val="auto"/>
          <w:sz w:val="30"/>
          <w:szCs w:val="30"/>
          <w:lang w:val="en-US" w:eastAsia="zh-CN"/>
        </w:rPr>
        <w:t>如</w:t>
      </w:r>
      <w:r>
        <w:rPr>
          <w:rFonts w:hint="default" w:ascii="Times New Roman" w:hAnsi="Times New Roman" w:eastAsia="仿宋_GB2312" w:cs="Times New Roman"/>
          <w:color w:val="auto"/>
          <w:sz w:val="30"/>
          <w:szCs w:val="30"/>
          <w:lang w:val="en-US" w:eastAsia="zh-CN"/>
        </w:rPr>
        <w:t>公司</w:t>
      </w:r>
      <w:r>
        <w:rPr>
          <w:rFonts w:hint="eastAsia" w:ascii="Times New Roman" w:hAnsi="Times New Roman" w:eastAsia="仿宋_GB2312" w:cs="Times New Roman"/>
          <w:color w:val="auto"/>
          <w:sz w:val="30"/>
          <w:szCs w:val="30"/>
          <w:lang w:val="en-US" w:eastAsia="zh-CN"/>
        </w:rPr>
        <w:t>引入新增大股东，可能发生不当关联交易，不当关联交易因违背市场公平交易可能进一步衍生并传递其他风险。针对该风险，</w:t>
      </w:r>
      <w:r>
        <w:rPr>
          <w:rFonts w:hint="default" w:ascii="Times New Roman" w:hAnsi="Times New Roman" w:eastAsia="仿宋_GB2312" w:cs="Times New Roman"/>
          <w:color w:val="auto"/>
          <w:sz w:val="30"/>
          <w:szCs w:val="30"/>
          <w:lang w:val="en-US" w:eastAsia="zh-CN"/>
        </w:rPr>
        <w:t>公司</w:t>
      </w:r>
      <w:r>
        <w:rPr>
          <w:rFonts w:hint="eastAsia" w:ascii="Times New Roman" w:hAnsi="Times New Roman" w:eastAsia="仿宋_GB2312" w:cs="Times New Roman"/>
          <w:color w:val="auto"/>
          <w:sz w:val="30"/>
          <w:szCs w:val="30"/>
          <w:lang w:val="en-US" w:eastAsia="zh-CN"/>
        </w:rPr>
        <w:t>董事会关联交易控制委员会将根据</w:t>
      </w:r>
      <w:r>
        <w:rPr>
          <w:rFonts w:hint="default" w:ascii="Times New Roman" w:hAnsi="Times New Roman" w:eastAsia="仿宋_GB2312" w:cs="Times New Roman"/>
          <w:color w:val="auto"/>
          <w:sz w:val="30"/>
          <w:szCs w:val="30"/>
          <w:lang w:val="en-US" w:eastAsia="zh-CN"/>
        </w:rPr>
        <w:t>公司</w:t>
      </w:r>
      <w:r>
        <w:rPr>
          <w:rFonts w:hint="eastAsia" w:ascii="Times New Roman" w:hAnsi="Times New Roman" w:eastAsia="仿宋_GB2312" w:cs="Times New Roman"/>
          <w:color w:val="auto"/>
          <w:sz w:val="30"/>
          <w:szCs w:val="30"/>
          <w:lang w:val="en-US" w:eastAsia="zh-CN"/>
        </w:rPr>
        <w:t>关联交易管理办法的要求，按照商业原则，以不优于对非关联方同类交易的条件严格审批关联交易，坚决遵守法律、行政法规、国家统一的会计制度和金融监管规定，尽可能避免大股东不当关联交易风险。</w:t>
      </w:r>
    </w:p>
    <w:p>
      <w:pPr>
        <w:pageBreakBefore w:val="0"/>
        <w:kinsoku/>
        <w:wordWrap/>
        <w:overflowPunct/>
        <w:topLinePunct w:val="0"/>
        <w:autoSpaceDE/>
        <w:autoSpaceDN/>
        <w:bidi w:val="0"/>
        <w:adjustRightInd w:val="0"/>
        <w:spacing w:line="240" w:lineRule="auto"/>
        <w:ind w:left="0" w:leftChars="0" w:firstLine="600" w:firstLineChars="200"/>
        <w:textAlignment w:val="center"/>
        <w:rPr>
          <w:rFonts w:hint="eastAsia" w:ascii="Times New Roman" w:hAnsi="Times New Roman" w:eastAsia="仿宋_GB2312" w:cs="Times New Roman"/>
          <w:kern w:val="0"/>
          <w:sz w:val="30"/>
          <w:szCs w:val="20"/>
          <w:lang w:val="en-US" w:eastAsia="zh-CN"/>
        </w:rPr>
      </w:pPr>
      <w:r>
        <w:rPr>
          <w:rFonts w:hint="eastAsia" w:ascii="Times New Roman" w:hAnsi="Times New Roman" w:eastAsia="仿宋_GB2312" w:cs="Times New Roman"/>
          <w:kern w:val="0"/>
          <w:sz w:val="30"/>
          <w:szCs w:val="20"/>
          <w:lang w:val="en-US" w:eastAsia="zh-CN"/>
        </w:rPr>
        <w:t>第三，声誉风险及应对措施</w:t>
      </w:r>
      <w:r>
        <w:rPr>
          <w:rFonts w:hint="default" w:eastAsia="仿宋_GB2312" w:cs="Times New Roman"/>
          <w:kern w:val="0"/>
          <w:sz w:val="30"/>
          <w:szCs w:val="20"/>
          <w:lang w:eastAsia="zh-CN"/>
        </w:rPr>
        <w:t>。</w:t>
      </w:r>
      <w:r>
        <w:rPr>
          <w:rFonts w:hint="eastAsia" w:ascii="Times New Roman" w:hAnsi="Times New Roman" w:eastAsia="仿宋_GB2312" w:cs="Times New Roman"/>
          <w:kern w:val="0"/>
          <w:sz w:val="30"/>
          <w:szCs w:val="20"/>
          <w:lang w:val="en-US" w:eastAsia="zh-CN"/>
        </w:rPr>
        <w:t>如</w:t>
      </w:r>
      <w:r>
        <w:rPr>
          <w:rFonts w:hint="default" w:ascii="Times New Roman" w:hAnsi="Times New Roman" w:eastAsia="仿宋_GB2312" w:cs="Times New Roman"/>
          <w:kern w:val="0"/>
          <w:sz w:val="30"/>
          <w:szCs w:val="20"/>
          <w:lang w:val="en-US" w:eastAsia="zh-CN"/>
        </w:rPr>
        <w:t>公司</w:t>
      </w:r>
      <w:r>
        <w:rPr>
          <w:rFonts w:hint="eastAsia" w:ascii="Times New Roman" w:hAnsi="Times New Roman" w:eastAsia="仿宋_GB2312" w:cs="Times New Roman"/>
          <w:kern w:val="0"/>
          <w:sz w:val="30"/>
          <w:szCs w:val="20"/>
          <w:lang w:val="en-US" w:eastAsia="zh-CN"/>
        </w:rPr>
        <w:t>引入新增大股东，可能出现因大股东重大涉诉案件、负面舆情等事件引发</w:t>
      </w:r>
      <w:r>
        <w:rPr>
          <w:rFonts w:hint="default" w:ascii="Times New Roman" w:hAnsi="Times New Roman" w:eastAsia="仿宋_GB2312" w:cs="Times New Roman"/>
          <w:kern w:val="0"/>
          <w:sz w:val="30"/>
          <w:szCs w:val="20"/>
          <w:lang w:val="en-US" w:eastAsia="zh-CN"/>
        </w:rPr>
        <w:t>公司</w:t>
      </w:r>
      <w:r>
        <w:rPr>
          <w:rFonts w:hint="eastAsia" w:ascii="Times New Roman" w:hAnsi="Times New Roman" w:eastAsia="仿宋_GB2312" w:cs="Times New Roman"/>
          <w:kern w:val="0"/>
          <w:sz w:val="30"/>
          <w:szCs w:val="20"/>
          <w:lang w:val="en-US" w:eastAsia="zh-CN"/>
        </w:rPr>
        <w:t>的声誉风险。针对该风险，</w:t>
      </w:r>
      <w:r>
        <w:rPr>
          <w:rFonts w:hint="default" w:ascii="Times New Roman" w:hAnsi="Times New Roman" w:eastAsia="仿宋_GB2312" w:cs="Times New Roman"/>
          <w:kern w:val="0"/>
          <w:sz w:val="30"/>
          <w:szCs w:val="20"/>
          <w:lang w:val="en-US" w:eastAsia="zh-CN"/>
        </w:rPr>
        <w:t>公司</w:t>
      </w:r>
      <w:r>
        <w:rPr>
          <w:rFonts w:hint="eastAsia" w:ascii="Times New Roman" w:hAnsi="Times New Roman" w:eastAsia="仿宋_GB2312" w:cs="Times New Roman"/>
          <w:kern w:val="0"/>
          <w:sz w:val="30"/>
          <w:szCs w:val="20"/>
          <w:lang w:val="en-US" w:eastAsia="zh-CN"/>
        </w:rPr>
        <w:t>将要求并督促大股东积极配合</w:t>
      </w:r>
      <w:r>
        <w:rPr>
          <w:rFonts w:hint="default" w:ascii="Times New Roman" w:hAnsi="Times New Roman" w:eastAsia="仿宋_GB2312" w:cs="Times New Roman"/>
          <w:kern w:val="0"/>
          <w:sz w:val="30"/>
          <w:szCs w:val="20"/>
          <w:lang w:val="en-US" w:eastAsia="zh-CN"/>
        </w:rPr>
        <w:t>公司</w:t>
      </w:r>
      <w:r>
        <w:rPr>
          <w:rFonts w:hint="eastAsia" w:ascii="Times New Roman" w:hAnsi="Times New Roman" w:eastAsia="仿宋_GB2312" w:cs="Times New Roman"/>
          <w:kern w:val="0"/>
          <w:sz w:val="30"/>
          <w:szCs w:val="20"/>
          <w:lang w:val="en-US" w:eastAsia="zh-CN"/>
        </w:rPr>
        <w:t>做好声誉风险管理，引导社会正向舆论，维护</w:t>
      </w:r>
      <w:r>
        <w:rPr>
          <w:rFonts w:hint="default" w:ascii="Times New Roman" w:hAnsi="Times New Roman" w:eastAsia="仿宋_GB2312" w:cs="Times New Roman"/>
          <w:kern w:val="0"/>
          <w:sz w:val="30"/>
          <w:szCs w:val="20"/>
          <w:lang w:val="en-US" w:eastAsia="zh-CN"/>
        </w:rPr>
        <w:t>公司</w:t>
      </w:r>
      <w:r>
        <w:rPr>
          <w:rFonts w:hint="eastAsia" w:ascii="Times New Roman" w:hAnsi="Times New Roman" w:eastAsia="仿宋_GB2312" w:cs="Times New Roman"/>
          <w:kern w:val="0"/>
          <w:sz w:val="30"/>
          <w:szCs w:val="20"/>
          <w:lang w:val="en-US" w:eastAsia="zh-CN"/>
        </w:rPr>
        <w:t>品牌形象。如大股东监测到与其有关的、对</w:t>
      </w:r>
      <w:r>
        <w:rPr>
          <w:rFonts w:hint="default" w:ascii="Times New Roman" w:hAnsi="Times New Roman" w:eastAsia="仿宋_GB2312" w:cs="Times New Roman"/>
          <w:kern w:val="0"/>
          <w:sz w:val="30"/>
          <w:szCs w:val="20"/>
          <w:lang w:val="en-US" w:eastAsia="zh-CN"/>
        </w:rPr>
        <w:t>公司</w:t>
      </w:r>
      <w:r>
        <w:rPr>
          <w:rFonts w:hint="eastAsia" w:ascii="Times New Roman" w:hAnsi="Times New Roman" w:eastAsia="仿宋_GB2312" w:cs="Times New Roman"/>
          <w:kern w:val="0"/>
          <w:sz w:val="30"/>
          <w:szCs w:val="20"/>
          <w:lang w:val="en-US" w:eastAsia="zh-CN"/>
        </w:rPr>
        <w:t>可能产生重大影响的报道或者传闻时，应当及时向</w:t>
      </w:r>
      <w:r>
        <w:rPr>
          <w:rFonts w:hint="default" w:ascii="Times New Roman" w:hAnsi="Times New Roman" w:eastAsia="仿宋_GB2312" w:cs="Times New Roman"/>
          <w:kern w:val="0"/>
          <w:sz w:val="30"/>
          <w:szCs w:val="20"/>
          <w:lang w:val="en-US" w:eastAsia="zh-CN"/>
        </w:rPr>
        <w:t>公司</w:t>
      </w:r>
      <w:r>
        <w:rPr>
          <w:rFonts w:hint="eastAsia" w:ascii="Times New Roman" w:hAnsi="Times New Roman" w:eastAsia="仿宋_GB2312" w:cs="Times New Roman"/>
          <w:kern w:val="0"/>
          <w:sz w:val="30"/>
          <w:szCs w:val="20"/>
          <w:lang w:val="en-US" w:eastAsia="zh-CN"/>
        </w:rPr>
        <w:t>通报相关事项，并及时消除不利影响，配合</w:t>
      </w:r>
      <w:r>
        <w:rPr>
          <w:rFonts w:hint="default" w:ascii="Times New Roman" w:hAnsi="Times New Roman" w:eastAsia="仿宋_GB2312" w:cs="Times New Roman"/>
          <w:kern w:val="0"/>
          <w:sz w:val="30"/>
          <w:szCs w:val="20"/>
          <w:lang w:val="en-US" w:eastAsia="zh-CN"/>
        </w:rPr>
        <w:t>公司</w:t>
      </w:r>
      <w:r>
        <w:rPr>
          <w:rFonts w:hint="eastAsia" w:ascii="Times New Roman" w:hAnsi="Times New Roman" w:eastAsia="仿宋_GB2312" w:cs="Times New Roman"/>
          <w:kern w:val="0"/>
          <w:sz w:val="30"/>
          <w:szCs w:val="20"/>
          <w:lang w:val="en-US" w:eastAsia="zh-CN"/>
        </w:rPr>
        <w:t>做好声誉风险应急预案。</w:t>
      </w:r>
    </w:p>
    <w:p>
      <w:pPr>
        <w:pageBreakBefore w:val="0"/>
        <w:kinsoku/>
        <w:wordWrap/>
        <w:overflowPunct/>
        <w:topLinePunct w:val="0"/>
        <w:autoSpaceDE/>
        <w:autoSpaceDN/>
        <w:bidi w:val="0"/>
        <w:adjustRightInd w:val="0"/>
        <w:spacing w:line="240" w:lineRule="auto"/>
        <w:ind w:left="0" w:leftChars="0" w:firstLine="600" w:firstLineChars="200"/>
        <w:textAlignment w:val="center"/>
        <w:rPr>
          <w:rFonts w:hint="default" w:ascii="Times New Roman" w:hAnsi="Times New Roman" w:eastAsia="仿宋_GB2312" w:cs="Times New Roman"/>
          <w:kern w:val="0"/>
          <w:sz w:val="30"/>
          <w:szCs w:val="20"/>
          <w:lang w:eastAsia="zh-CN"/>
        </w:rPr>
      </w:pPr>
      <w:r>
        <w:rPr>
          <w:rFonts w:hint="eastAsia" w:ascii="Times New Roman" w:hAnsi="Times New Roman" w:eastAsia="仿宋_GB2312" w:cs="Times New Roman"/>
          <w:kern w:val="0"/>
          <w:sz w:val="30"/>
          <w:szCs w:val="20"/>
          <w:lang w:val="en-US" w:eastAsia="zh-CN"/>
        </w:rPr>
        <w:t>公司已在修订后的《定向发行说明书》之“重大事项提示”中向潜在投资者充分揭示相关风险</w:t>
      </w:r>
      <w:r>
        <w:rPr>
          <w:rFonts w:hint="default" w:eastAsia="仿宋_GB2312" w:cs="Times New Roman"/>
          <w:kern w:val="0"/>
          <w:sz w:val="30"/>
          <w:szCs w:val="20"/>
          <w:lang w:eastAsia="zh-CN"/>
        </w:rPr>
        <w:t>。</w:t>
      </w:r>
    </w:p>
    <w:p>
      <w:pPr>
        <w:pageBreakBefore w:val="0"/>
        <w:kinsoku/>
        <w:wordWrap/>
        <w:overflowPunct/>
        <w:topLinePunct w:val="0"/>
        <w:autoSpaceDE/>
        <w:autoSpaceDN/>
        <w:bidi w:val="0"/>
        <w:adjustRightInd w:val="0"/>
        <w:spacing w:line="240" w:lineRule="auto"/>
        <w:ind w:left="0" w:leftChars="0" w:firstLine="600" w:firstLineChars="200"/>
        <w:textAlignment w:val="center"/>
        <w:rPr>
          <w:rFonts w:hint="default" w:ascii="Times New Roman" w:hAnsi="Times New Roman" w:eastAsia="仿宋_GB2312" w:cs="Times New Roman"/>
          <w:kern w:val="0"/>
          <w:sz w:val="30"/>
          <w:szCs w:val="20"/>
          <w:lang w:eastAsia="zh-CN"/>
        </w:rPr>
      </w:pPr>
      <w:r>
        <w:rPr>
          <w:rFonts w:hint="default" w:ascii="Times New Roman" w:hAnsi="Times New Roman" w:eastAsia="仿宋_GB2312" w:cs="Times New Roman"/>
          <w:kern w:val="0"/>
          <w:sz w:val="30"/>
          <w:szCs w:val="20"/>
          <w:lang w:val="en-US" w:eastAsia="zh-CN"/>
        </w:rPr>
        <w:t>律师</w:t>
      </w:r>
      <w:r>
        <w:rPr>
          <w:rFonts w:hint="default" w:ascii="Times New Roman" w:hAnsi="Times New Roman" w:eastAsia="仿宋_GB2312" w:cs="Times New Roman"/>
          <w:kern w:val="0"/>
          <w:sz w:val="30"/>
          <w:szCs w:val="20"/>
          <w:lang w:eastAsia="zh-CN"/>
        </w:rPr>
        <w:t>、会计师已</w:t>
      </w:r>
      <w:r>
        <w:rPr>
          <w:rFonts w:hint="default" w:eastAsia="仿宋_GB2312" w:cs="Times New Roman"/>
          <w:kern w:val="0"/>
          <w:sz w:val="30"/>
          <w:szCs w:val="20"/>
          <w:lang w:eastAsia="zh-CN"/>
        </w:rPr>
        <w:t>针对上述事项</w:t>
      </w:r>
      <w:r>
        <w:rPr>
          <w:rFonts w:hint="default" w:ascii="Times New Roman" w:hAnsi="Times New Roman" w:eastAsia="仿宋_GB2312" w:cs="Times New Roman"/>
          <w:kern w:val="0"/>
          <w:sz w:val="30"/>
          <w:szCs w:val="20"/>
          <w:lang w:eastAsia="zh-CN"/>
        </w:rPr>
        <w:t>核查并发表明确意见。</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602" w:firstLineChars="200"/>
        <w:jc w:val="both"/>
        <w:textAlignment w:val="auto"/>
        <w:outlineLvl w:val="1"/>
        <w:rPr>
          <w:rFonts w:hint="default" w:ascii="楷体_GB2312" w:hAnsi="楷体_GB2312" w:eastAsia="楷体_GB2312" w:cs="楷体_GB2312"/>
          <w:b/>
          <w:bCs/>
          <w:color w:val="auto"/>
          <w:sz w:val="30"/>
          <w:lang w:eastAsia="zh-CN"/>
        </w:rPr>
      </w:pPr>
      <w:r>
        <w:rPr>
          <w:rFonts w:hint="eastAsia" w:ascii="楷体_GB2312" w:hAnsi="楷体_GB2312" w:eastAsia="楷体_GB2312" w:cs="楷体_GB2312"/>
          <w:b/>
          <w:bCs/>
          <w:color w:val="auto"/>
          <w:sz w:val="30"/>
          <w:lang w:eastAsia="zh-CN"/>
        </w:rPr>
        <w:t>（二）关于</w:t>
      </w:r>
      <w:r>
        <w:rPr>
          <w:rFonts w:hint="default" w:ascii="楷体_GB2312" w:hAnsi="楷体_GB2312" w:eastAsia="楷体_GB2312" w:cs="楷体_GB2312"/>
          <w:b/>
          <w:bCs/>
          <w:color w:val="auto"/>
          <w:sz w:val="30"/>
          <w:lang w:eastAsia="zh-CN"/>
        </w:rPr>
        <w:t>国资批复</w:t>
      </w:r>
    </w:p>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spacing w:line="240" w:lineRule="auto"/>
        <w:ind w:left="0" w:leftChars="0" w:firstLine="600" w:firstLineChars="200"/>
        <w:outlineLvl w:val="9"/>
        <w:rPr>
          <w:rFonts w:hint="default" w:ascii="Times New Roman" w:hAnsi="Times New Roman" w:eastAsia="仿宋_GB2312" w:cs="Times New Roman"/>
          <w:color w:val="auto"/>
          <w:sz w:val="30"/>
          <w:szCs w:val="30"/>
          <w:highlight w:val="none"/>
          <w:lang w:val="en-US" w:eastAsia="zh-CN"/>
        </w:rPr>
      </w:pPr>
      <w:r>
        <w:rPr>
          <w:rFonts w:hint="default" w:ascii="Times New Roman" w:hAnsi="Times New Roman" w:eastAsia="仿宋_GB2312" w:cs="Times New Roman"/>
          <w:color w:val="auto"/>
          <w:sz w:val="30"/>
          <w:szCs w:val="30"/>
          <w:highlight w:val="none"/>
          <w:lang w:val="en-US" w:eastAsia="zh-CN"/>
        </w:rPr>
        <w:t>根据申报材料，申请人第一、第四大股东性质为国有法人，持股比例均超4%，但申请人未提交国资审批文件。请申请人补充披露本次定向发行是否须要国有产权相关主管部门审批。若需要，按照《非上市公众公司信息披露内容与格式准则第3号——定向发行说明书和发行情况报告书》的要求披露国有产权相关主管部门的审批情况；若不需要，说明原因及法律依据。请律师核查并发表明确意见。</w:t>
      </w:r>
    </w:p>
    <w:p>
      <w:pPr>
        <w:pageBreakBefore w:val="0"/>
        <w:kinsoku/>
        <w:wordWrap/>
        <w:overflowPunct/>
        <w:topLinePunct w:val="0"/>
        <w:autoSpaceDE/>
        <w:autoSpaceDN/>
        <w:bidi w:val="0"/>
        <w:adjustRightInd w:val="0"/>
        <w:spacing w:line="240" w:lineRule="auto"/>
        <w:ind w:left="0" w:leftChars="0" w:firstLine="600" w:firstLineChars="200"/>
        <w:textAlignment w:val="center"/>
        <w:rPr>
          <w:rFonts w:hint="default" w:ascii="Times New Roman" w:hAnsi="Times New Roman" w:eastAsia="仿宋_GB2312" w:cs="Times New Roman"/>
          <w:kern w:val="0"/>
          <w:sz w:val="30"/>
          <w:szCs w:val="20"/>
          <w:lang w:val="en-US" w:eastAsia="zh-CN"/>
        </w:rPr>
      </w:pPr>
      <w:r>
        <w:rPr>
          <w:rFonts w:hint="default" w:ascii="Times New Roman" w:hAnsi="Times New Roman" w:eastAsia="仿宋_GB2312" w:cs="Times New Roman"/>
          <w:kern w:val="0"/>
          <w:sz w:val="30"/>
          <w:szCs w:val="20"/>
          <w:lang w:val="en-US" w:eastAsia="zh-CN"/>
        </w:rPr>
        <w:t>申请人回复</w:t>
      </w:r>
      <w:r>
        <w:rPr>
          <w:rFonts w:hint="default" w:eastAsia="仿宋_GB2312" w:cs="Times New Roman"/>
          <w:kern w:val="0"/>
          <w:sz w:val="30"/>
          <w:szCs w:val="20"/>
          <w:lang w:eastAsia="zh-CN"/>
        </w:rPr>
        <w:t>称</w:t>
      </w:r>
      <w:r>
        <w:rPr>
          <w:rFonts w:hint="default" w:ascii="Times New Roman" w:hAnsi="Times New Roman" w:eastAsia="仿宋_GB2312" w:cs="Times New Roman"/>
          <w:kern w:val="0"/>
          <w:sz w:val="30"/>
          <w:szCs w:val="20"/>
          <w:lang w:val="en-US" w:eastAsia="zh-CN"/>
        </w:rPr>
        <w:t>：</w:t>
      </w:r>
    </w:p>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spacing w:line="240" w:lineRule="auto"/>
        <w:ind w:left="0" w:leftChars="0" w:firstLine="600" w:firstLineChars="200"/>
        <w:outlineLvl w:val="9"/>
        <w:rPr>
          <w:rFonts w:hint="eastAsia" w:ascii="Times New Roman" w:hAnsi="Times New Roman" w:eastAsia="仿宋_GB2312" w:cs="Times New Roman"/>
          <w:color w:val="auto"/>
          <w:sz w:val="30"/>
          <w:szCs w:val="30"/>
          <w:highlight w:val="none"/>
          <w:lang w:val="en-US" w:eastAsia="zh-CN"/>
        </w:rPr>
      </w:pPr>
      <w:r>
        <w:rPr>
          <w:rFonts w:hint="default" w:ascii="Times New Roman" w:hAnsi="Times New Roman" w:eastAsia="仿宋_GB2312" w:cs="Times New Roman"/>
          <w:color w:val="auto"/>
          <w:sz w:val="30"/>
          <w:szCs w:val="30"/>
          <w:highlight w:val="none"/>
          <w:lang w:val="en-US" w:eastAsia="zh-CN"/>
        </w:rPr>
        <w:t>公司本次定向发行经过了中国银保监会</w:t>
      </w:r>
      <w:r>
        <w:rPr>
          <w:rFonts w:hint="eastAsia" w:ascii="Times New Roman" w:hAnsi="Times New Roman" w:eastAsia="仿宋_GB2312" w:cs="Times New Roman"/>
          <w:color w:val="auto"/>
          <w:sz w:val="30"/>
          <w:szCs w:val="30"/>
          <w:highlight w:val="none"/>
          <w:lang w:val="en-US" w:eastAsia="zh-CN"/>
        </w:rPr>
        <w:t>九江</w:t>
      </w:r>
      <w:r>
        <w:rPr>
          <w:rFonts w:hint="default" w:ascii="Times New Roman" w:hAnsi="Times New Roman" w:eastAsia="仿宋_GB2312" w:cs="Times New Roman"/>
          <w:color w:val="auto"/>
          <w:sz w:val="30"/>
          <w:szCs w:val="30"/>
          <w:highlight w:val="none"/>
          <w:lang w:val="en-US" w:eastAsia="zh-CN"/>
        </w:rPr>
        <w:t>监管分局批准（</w:t>
      </w:r>
      <w:r>
        <w:rPr>
          <w:rFonts w:hint="eastAsia" w:ascii="Times New Roman" w:hAnsi="Times New Roman" w:eastAsia="仿宋_GB2312" w:cs="Times New Roman"/>
          <w:color w:val="auto"/>
          <w:sz w:val="30"/>
          <w:szCs w:val="30"/>
          <w:highlight w:val="none"/>
          <w:lang w:val="en-US" w:eastAsia="zh-CN"/>
        </w:rPr>
        <w:t>浔</w:t>
      </w:r>
      <w:r>
        <w:rPr>
          <w:rFonts w:hint="default" w:ascii="Times New Roman" w:hAnsi="Times New Roman" w:eastAsia="仿宋_GB2312" w:cs="Times New Roman"/>
          <w:color w:val="auto"/>
          <w:sz w:val="30"/>
          <w:szCs w:val="30"/>
          <w:highlight w:val="none"/>
          <w:lang w:val="en-US" w:eastAsia="zh-CN"/>
        </w:rPr>
        <w:t>银保监复〔202</w:t>
      </w:r>
      <w:r>
        <w:rPr>
          <w:rFonts w:hint="eastAsia" w:ascii="Times New Roman" w:hAnsi="Times New Roman" w:eastAsia="仿宋_GB2312" w:cs="Times New Roman"/>
          <w:color w:val="auto"/>
          <w:sz w:val="30"/>
          <w:szCs w:val="30"/>
          <w:highlight w:val="none"/>
          <w:lang w:val="en-US" w:eastAsia="zh-CN"/>
        </w:rPr>
        <w:t>2</w:t>
      </w:r>
      <w:r>
        <w:rPr>
          <w:rFonts w:hint="default" w:ascii="Times New Roman" w:hAnsi="Times New Roman" w:eastAsia="仿宋_GB2312" w:cs="Times New Roman"/>
          <w:color w:val="auto"/>
          <w:sz w:val="30"/>
          <w:szCs w:val="30"/>
          <w:highlight w:val="none"/>
          <w:lang w:val="en-US" w:eastAsia="zh-CN"/>
        </w:rPr>
        <w:t>〕</w:t>
      </w:r>
      <w:r>
        <w:rPr>
          <w:rFonts w:hint="eastAsia" w:ascii="Times New Roman" w:hAnsi="Times New Roman" w:eastAsia="仿宋_GB2312" w:cs="Times New Roman"/>
          <w:color w:val="auto"/>
          <w:sz w:val="30"/>
          <w:szCs w:val="30"/>
          <w:highlight w:val="none"/>
          <w:lang w:val="en-US" w:eastAsia="zh-CN"/>
        </w:rPr>
        <w:t>113</w:t>
      </w:r>
      <w:r>
        <w:rPr>
          <w:rFonts w:hint="default" w:ascii="Times New Roman" w:hAnsi="Times New Roman" w:eastAsia="仿宋_GB2312" w:cs="Times New Roman"/>
          <w:color w:val="auto"/>
          <w:sz w:val="30"/>
          <w:szCs w:val="30"/>
          <w:highlight w:val="none"/>
          <w:lang w:val="en-US" w:eastAsia="zh-CN"/>
        </w:rPr>
        <w:t>号）</w:t>
      </w:r>
      <w:r>
        <w:rPr>
          <w:rFonts w:hint="eastAsia" w:ascii="Times New Roman" w:hAnsi="Times New Roman" w:eastAsia="仿宋_GB2312" w:cs="Times New Roman"/>
          <w:color w:val="auto"/>
          <w:sz w:val="30"/>
          <w:szCs w:val="30"/>
          <w:highlight w:val="none"/>
          <w:lang w:val="en-US" w:eastAsia="zh-CN"/>
        </w:rPr>
        <w:t>。公司本次定向发行无需经过国有产权管理部门的审批，主要事实和法律依据如下：</w:t>
      </w:r>
    </w:p>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spacing w:line="240" w:lineRule="auto"/>
        <w:ind w:left="0" w:leftChars="0" w:firstLine="600" w:firstLineChars="200"/>
        <w:outlineLvl w:val="9"/>
        <w:rPr>
          <w:rFonts w:hint="eastAsia" w:ascii="Times New Roman" w:hAnsi="Times New Roman" w:eastAsia="仿宋_GB2312" w:cs="Times New Roman"/>
          <w:color w:val="auto"/>
          <w:sz w:val="30"/>
          <w:szCs w:val="30"/>
          <w:highlight w:val="none"/>
          <w:lang w:val="en-US" w:eastAsia="zh-CN"/>
        </w:rPr>
      </w:pPr>
      <w:r>
        <w:rPr>
          <w:rFonts w:hint="eastAsia" w:ascii="Times New Roman" w:hAnsi="Times New Roman" w:eastAsia="仿宋_GB2312" w:cs="Times New Roman"/>
          <w:color w:val="auto"/>
          <w:sz w:val="30"/>
          <w:szCs w:val="30"/>
          <w:highlight w:val="none"/>
          <w:lang w:val="en-US" w:eastAsia="zh-CN"/>
        </w:rPr>
        <w:t>（1）公司现有国资股东：</w:t>
      </w:r>
    </w:p>
    <w:tbl>
      <w:tblPr>
        <w:tblStyle w:val="1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3213"/>
        <w:gridCol w:w="1612"/>
        <w:gridCol w:w="1844"/>
        <w:gridCol w:w="1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07" w:type="pct"/>
            <w:tcBorders>
              <w:tl2br w:val="nil"/>
              <w:tr2bl w:val="nil"/>
            </w:tcBorders>
            <w:noWrap w:val="0"/>
            <w:vAlign w:val="center"/>
          </w:tcPr>
          <w:p>
            <w:pPr>
              <w:widowControl/>
              <w:jc w:val="center"/>
              <w:rPr>
                <w:rFonts w:hint="default" w:ascii="Times New Roman" w:hAnsi="Times New Roman" w:eastAsia="宋体" w:cs="Times New Roman"/>
                <w:b/>
                <w:bCs/>
                <w:color w:val="000000"/>
                <w:kern w:val="0"/>
                <w:szCs w:val="21"/>
                <w:lang w:val="en-US" w:eastAsia="zh-CN"/>
              </w:rPr>
            </w:pPr>
            <w:r>
              <w:rPr>
                <w:rFonts w:hint="default" w:ascii="Times New Roman" w:hAnsi="Times New Roman" w:eastAsia="宋体" w:cs="Times New Roman"/>
                <w:b/>
                <w:bCs/>
                <w:color w:val="000000"/>
                <w:kern w:val="0"/>
                <w:szCs w:val="21"/>
                <w:lang w:val="en-US" w:eastAsia="zh-CN"/>
              </w:rPr>
              <w:t>序号</w:t>
            </w:r>
          </w:p>
        </w:tc>
        <w:tc>
          <w:tcPr>
            <w:tcW w:w="1885" w:type="pct"/>
            <w:tcBorders>
              <w:tl2br w:val="nil"/>
              <w:tr2bl w:val="nil"/>
            </w:tcBorders>
            <w:noWrap w:val="0"/>
            <w:vAlign w:val="center"/>
          </w:tcPr>
          <w:p>
            <w:pPr>
              <w:widowControl/>
              <w:jc w:val="center"/>
              <w:rPr>
                <w:rFonts w:hint="default" w:ascii="Times New Roman" w:hAnsi="Times New Roman" w:eastAsia="宋体" w:cs="Times New Roman"/>
                <w:b/>
                <w:bCs/>
                <w:color w:val="000000"/>
                <w:kern w:val="0"/>
                <w:szCs w:val="21"/>
                <w:lang w:val="en-US" w:eastAsia="zh-CN"/>
              </w:rPr>
            </w:pPr>
            <w:r>
              <w:rPr>
                <w:rFonts w:hint="default" w:ascii="Times New Roman" w:hAnsi="Times New Roman" w:eastAsia="宋体" w:cs="Times New Roman"/>
                <w:b/>
                <w:bCs/>
                <w:color w:val="000000"/>
                <w:kern w:val="0"/>
                <w:szCs w:val="21"/>
                <w:lang w:val="en-US" w:eastAsia="zh-CN"/>
              </w:rPr>
              <w:t>客户名称</w:t>
            </w:r>
          </w:p>
        </w:tc>
        <w:tc>
          <w:tcPr>
            <w:tcW w:w="944" w:type="pct"/>
            <w:tcBorders>
              <w:tl2br w:val="nil"/>
              <w:tr2bl w:val="nil"/>
            </w:tcBorders>
            <w:noWrap w:val="0"/>
            <w:vAlign w:val="center"/>
          </w:tcPr>
          <w:p>
            <w:pPr>
              <w:widowControl/>
              <w:jc w:val="center"/>
              <w:rPr>
                <w:rFonts w:hint="default" w:ascii="Times New Roman" w:hAnsi="Times New Roman" w:eastAsia="宋体" w:cs="Times New Roman"/>
                <w:b/>
                <w:bCs/>
                <w:color w:val="000000"/>
                <w:kern w:val="0"/>
                <w:szCs w:val="21"/>
                <w:lang w:val="en-US" w:eastAsia="zh-CN"/>
              </w:rPr>
            </w:pPr>
            <w:r>
              <w:rPr>
                <w:rFonts w:hint="default" w:ascii="Times New Roman" w:hAnsi="Times New Roman" w:eastAsia="宋体" w:cs="Times New Roman"/>
                <w:b/>
                <w:bCs/>
                <w:color w:val="000000"/>
                <w:kern w:val="0"/>
                <w:szCs w:val="21"/>
                <w:lang w:val="en-US" w:eastAsia="zh-CN"/>
              </w:rPr>
              <w:t>类别</w:t>
            </w:r>
          </w:p>
        </w:tc>
        <w:tc>
          <w:tcPr>
            <w:tcW w:w="1082" w:type="pct"/>
            <w:tcBorders>
              <w:tl2br w:val="nil"/>
              <w:tr2bl w:val="nil"/>
            </w:tcBorders>
            <w:noWrap w:val="0"/>
            <w:vAlign w:val="center"/>
          </w:tcPr>
          <w:p>
            <w:pPr>
              <w:widowControl/>
              <w:jc w:val="center"/>
              <w:rPr>
                <w:rFonts w:hint="default" w:ascii="Times New Roman" w:hAnsi="Times New Roman" w:eastAsia="宋体" w:cs="Times New Roman"/>
                <w:b/>
                <w:bCs/>
                <w:color w:val="000000"/>
                <w:kern w:val="0"/>
                <w:szCs w:val="21"/>
                <w:lang w:val="en-US" w:eastAsia="zh-CN"/>
              </w:rPr>
            </w:pPr>
            <w:r>
              <w:rPr>
                <w:rFonts w:hint="default" w:ascii="Times New Roman" w:hAnsi="Times New Roman" w:eastAsia="宋体" w:cs="Times New Roman"/>
                <w:b/>
                <w:bCs/>
                <w:color w:val="000000"/>
                <w:kern w:val="0"/>
                <w:szCs w:val="21"/>
                <w:lang w:val="en-US" w:eastAsia="zh-CN"/>
              </w:rPr>
              <w:t>持股数额（股）</w:t>
            </w:r>
          </w:p>
        </w:tc>
        <w:tc>
          <w:tcPr>
            <w:tcW w:w="678" w:type="pct"/>
            <w:tcBorders>
              <w:tl2br w:val="nil"/>
              <w:tr2bl w:val="nil"/>
            </w:tcBorders>
            <w:noWrap w:val="0"/>
            <w:vAlign w:val="center"/>
          </w:tcPr>
          <w:p>
            <w:pPr>
              <w:widowControl/>
              <w:jc w:val="center"/>
              <w:rPr>
                <w:rFonts w:hint="default" w:ascii="Times New Roman" w:hAnsi="Times New Roman" w:eastAsia="宋体" w:cs="Times New Roman"/>
                <w:b/>
                <w:bCs/>
                <w:color w:val="000000"/>
                <w:kern w:val="0"/>
                <w:szCs w:val="21"/>
                <w:lang w:val="en-US" w:eastAsia="zh-CN"/>
              </w:rPr>
            </w:pPr>
            <w:r>
              <w:rPr>
                <w:rFonts w:hint="default" w:ascii="Times New Roman" w:hAnsi="Times New Roman" w:eastAsia="宋体" w:cs="Times New Roman"/>
                <w:b/>
                <w:bCs/>
                <w:color w:val="000000"/>
                <w:kern w:val="0"/>
                <w:szCs w:val="21"/>
                <w:lang w:val="en-US" w:eastAsia="zh-CN"/>
              </w:rPr>
              <w:t>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07" w:type="pct"/>
            <w:tcBorders>
              <w:tl2br w:val="nil"/>
              <w:tr2bl w:val="nil"/>
            </w:tcBorders>
            <w:noWrap w:val="0"/>
            <w:vAlign w:val="center"/>
          </w:tcPr>
          <w:p>
            <w:pPr>
              <w:widowControl/>
              <w:jc w:val="center"/>
              <w:rPr>
                <w:rFonts w:hint="default" w:ascii="Times New Roman" w:hAnsi="Times New Roman" w:eastAsia="宋体" w:cs="Times New Roman"/>
                <w:color w:val="000000"/>
                <w:kern w:val="0"/>
                <w:szCs w:val="21"/>
                <w:lang w:val="en-US" w:eastAsia="zh-CN"/>
              </w:rPr>
            </w:pPr>
            <w:r>
              <w:rPr>
                <w:rFonts w:hint="default" w:ascii="Times New Roman" w:hAnsi="Times New Roman" w:eastAsia="宋体" w:cs="Times New Roman"/>
                <w:color w:val="000000"/>
                <w:kern w:val="0"/>
                <w:szCs w:val="21"/>
                <w:lang w:val="en-US" w:eastAsia="zh-CN"/>
              </w:rPr>
              <w:t>1</w:t>
            </w:r>
          </w:p>
        </w:tc>
        <w:tc>
          <w:tcPr>
            <w:tcW w:w="1885" w:type="pct"/>
            <w:tcBorders>
              <w:tl2br w:val="nil"/>
              <w:tr2bl w:val="nil"/>
            </w:tcBorders>
            <w:noWrap w:val="0"/>
            <w:vAlign w:val="center"/>
          </w:tcPr>
          <w:p>
            <w:pPr>
              <w:widowControl/>
              <w:jc w:val="center"/>
              <w:rPr>
                <w:rFonts w:hint="default" w:ascii="Times New Roman" w:hAnsi="Times New Roman" w:eastAsia="宋体" w:cs="Times New Roman"/>
                <w:color w:val="000000"/>
                <w:kern w:val="0"/>
                <w:szCs w:val="21"/>
                <w:lang w:val="en-US" w:eastAsia="zh-CN"/>
              </w:rPr>
            </w:pPr>
            <w:r>
              <w:rPr>
                <w:rFonts w:hint="default" w:ascii="Times New Roman" w:hAnsi="Times New Roman" w:eastAsia="宋体" w:cs="Times New Roman"/>
                <w:color w:val="000000"/>
                <w:kern w:val="0"/>
                <w:szCs w:val="21"/>
                <w:lang w:val="en-US" w:eastAsia="zh-CN"/>
              </w:rPr>
              <w:t>九江市置地投资有限公司</w:t>
            </w:r>
          </w:p>
        </w:tc>
        <w:tc>
          <w:tcPr>
            <w:tcW w:w="944" w:type="pct"/>
            <w:tcBorders>
              <w:tl2br w:val="nil"/>
              <w:tr2bl w:val="nil"/>
            </w:tcBorders>
            <w:noWrap w:val="0"/>
            <w:vAlign w:val="center"/>
          </w:tcPr>
          <w:p>
            <w:pPr>
              <w:widowControl/>
              <w:jc w:val="center"/>
              <w:rPr>
                <w:rFonts w:hint="default" w:ascii="Times New Roman" w:hAnsi="Times New Roman" w:eastAsia="宋体" w:cs="Times New Roman"/>
                <w:color w:val="000000"/>
                <w:kern w:val="0"/>
                <w:szCs w:val="21"/>
                <w:lang w:val="en-US" w:eastAsia="zh-CN"/>
              </w:rPr>
            </w:pPr>
            <w:r>
              <w:rPr>
                <w:rFonts w:hint="default" w:ascii="Times New Roman" w:hAnsi="Times New Roman" w:eastAsia="宋体" w:cs="Times New Roman"/>
                <w:color w:val="000000"/>
                <w:kern w:val="0"/>
                <w:szCs w:val="21"/>
                <w:lang w:val="en-US" w:eastAsia="zh-CN"/>
              </w:rPr>
              <w:t>国有企业持股</w:t>
            </w:r>
          </w:p>
        </w:tc>
        <w:tc>
          <w:tcPr>
            <w:tcW w:w="1082" w:type="pct"/>
            <w:tcBorders>
              <w:tl2br w:val="nil"/>
              <w:tr2bl w:val="nil"/>
            </w:tcBorders>
            <w:noWrap w:val="0"/>
            <w:vAlign w:val="center"/>
          </w:tcPr>
          <w:p>
            <w:pPr>
              <w:widowControl/>
              <w:jc w:val="center"/>
              <w:rPr>
                <w:rFonts w:hint="default" w:ascii="Times New Roman" w:hAnsi="Times New Roman" w:eastAsia="宋体" w:cs="Times New Roman"/>
                <w:color w:val="000000"/>
                <w:kern w:val="0"/>
                <w:szCs w:val="21"/>
                <w:lang w:val="en-US" w:eastAsia="zh-CN"/>
              </w:rPr>
            </w:pPr>
            <w:r>
              <w:rPr>
                <w:rFonts w:hint="default" w:ascii="Times New Roman" w:hAnsi="Times New Roman" w:eastAsia="宋体" w:cs="Times New Roman"/>
                <w:color w:val="000000"/>
                <w:kern w:val="0"/>
                <w:szCs w:val="21"/>
                <w:lang w:val="en-US" w:eastAsia="zh-CN"/>
              </w:rPr>
              <w:t>31,387,468</w:t>
            </w:r>
          </w:p>
        </w:tc>
        <w:tc>
          <w:tcPr>
            <w:tcW w:w="678" w:type="pct"/>
            <w:tcBorders>
              <w:tl2br w:val="nil"/>
              <w:tr2bl w:val="nil"/>
            </w:tcBorders>
            <w:noWrap w:val="0"/>
            <w:vAlign w:val="center"/>
          </w:tcPr>
          <w:p>
            <w:pPr>
              <w:widowControl/>
              <w:jc w:val="center"/>
              <w:rPr>
                <w:rFonts w:hint="default" w:ascii="Times New Roman" w:hAnsi="Times New Roman" w:eastAsia="宋体" w:cs="Times New Roman"/>
                <w:color w:val="000000"/>
                <w:kern w:val="0"/>
                <w:szCs w:val="21"/>
                <w:lang w:val="en-US" w:eastAsia="zh-CN"/>
              </w:rPr>
            </w:pPr>
            <w:r>
              <w:rPr>
                <w:rFonts w:hint="default" w:ascii="Times New Roman" w:hAnsi="Times New Roman" w:eastAsia="宋体" w:cs="Times New Roman"/>
                <w:color w:val="000000"/>
                <w:kern w:val="0"/>
                <w:szCs w:val="21"/>
                <w:lang w:val="en-US" w:eastAsia="zh-CN"/>
              </w:rPr>
              <w:t>4.73%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07" w:type="pct"/>
            <w:tcBorders>
              <w:tl2br w:val="nil"/>
              <w:tr2bl w:val="nil"/>
            </w:tcBorders>
            <w:noWrap w:val="0"/>
            <w:vAlign w:val="center"/>
          </w:tcPr>
          <w:p>
            <w:pPr>
              <w:widowControl/>
              <w:jc w:val="center"/>
              <w:rPr>
                <w:rFonts w:hint="default" w:ascii="Times New Roman" w:hAnsi="Times New Roman" w:eastAsia="宋体" w:cs="Times New Roman"/>
                <w:color w:val="000000"/>
                <w:kern w:val="0"/>
                <w:szCs w:val="21"/>
                <w:lang w:val="en-US" w:eastAsia="zh-CN"/>
              </w:rPr>
            </w:pPr>
            <w:r>
              <w:rPr>
                <w:rFonts w:hint="default" w:ascii="Times New Roman" w:hAnsi="Times New Roman" w:eastAsia="宋体" w:cs="Times New Roman"/>
                <w:color w:val="000000"/>
                <w:kern w:val="0"/>
                <w:szCs w:val="21"/>
                <w:lang w:val="en-US" w:eastAsia="zh-CN"/>
              </w:rPr>
              <w:t>2</w:t>
            </w:r>
          </w:p>
        </w:tc>
        <w:tc>
          <w:tcPr>
            <w:tcW w:w="1885" w:type="pct"/>
            <w:tcBorders>
              <w:tl2br w:val="nil"/>
              <w:tr2bl w:val="nil"/>
            </w:tcBorders>
            <w:noWrap w:val="0"/>
            <w:vAlign w:val="center"/>
          </w:tcPr>
          <w:p>
            <w:pPr>
              <w:widowControl/>
              <w:jc w:val="center"/>
              <w:rPr>
                <w:rFonts w:hint="default" w:ascii="Times New Roman" w:hAnsi="Times New Roman" w:eastAsia="宋体" w:cs="Times New Roman"/>
                <w:color w:val="000000"/>
                <w:kern w:val="0"/>
                <w:szCs w:val="21"/>
                <w:lang w:val="en-US" w:eastAsia="zh-CN"/>
              </w:rPr>
            </w:pPr>
            <w:r>
              <w:rPr>
                <w:rFonts w:hint="default" w:ascii="Times New Roman" w:hAnsi="Times New Roman" w:eastAsia="宋体" w:cs="Times New Roman"/>
                <w:color w:val="000000"/>
                <w:kern w:val="0"/>
                <w:szCs w:val="21"/>
                <w:lang w:val="en-US" w:eastAsia="zh-CN"/>
              </w:rPr>
              <w:t>九江市城市建设投资有限公司</w:t>
            </w:r>
          </w:p>
        </w:tc>
        <w:tc>
          <w:tcPr>
            <w:tcW w:w="944" w:type="pct"/>
            <w:tcBorders>
              <w:tl2br w:val="nil"/>
              <w:tr2bl w:val="nil"/>
            </w:tcBorders>
            <w:noWrap w:val="0"/>
            <w:vAlign w:val="center"/>
          </w:tcPr>
          <w:p>
            <w:pPr>
              <w:widowControl/>
              <w:jc w:val="center"/>
              <w:rPr>
                <w:rFonts w:hint="default" w:ascii="Times New Roman" w:hAnsi="Times New Roman" w:eastAsia="宋体" w:cs="Times New Roman"/>
                <w:color w:val="000000"/>
                <w:kern w:val="0"/>
                <w:szCs w:val="21"/>
                <w:lang w:val="en-US" w:eastAsia="zh-CN"/>
              </w:rPr>
            </w:pPr>
            <w:r>
              <w:rPr>
                <w:rFonts w:hint="default" w:ascii="Times New Roman" w:hAnsi="Times New Roman" w:eastAsia="宋体" w:cs="Times New Roman"/>
                <w:color w:val="000000"/>
                <w:kern w:val="0"/>
                <w:szCs w:val="21"/>
                <w:lang w:val="en-US" w:eastAsia="zh-CN"/>
              </w:rPr>
              <w:t>国有企业持股</w:t>
            </w:r>
          </w:p>
        </w:tc>
        <w:tc>
          <w:tcPr>
            <w:tcW w:w="1082" w:type="pct"/>
            <w:tcBorders>
              <w:tl2br w:val="nil"/>
              <w:tr2bl w:val="nil"/>
            </w:tcBorders>
            <w:noWrap w:val="0"/>
            <w:vAlign w:val="center"/>
          </w:tcPr>
          <w:p>
            <w:pPr>
              <w:widowControl/>
              <w:jc w:val="center"/>
              <w:rPr>
                <w:rFonts w:hint="default" w:ascii="Times New Roman" w:hAnsi="Times New Roman" w:eastAsia="宋体" w:cs="Times New Roman"/>
                <w:color w:val="000000"/>
                <w:kern w:val="0"/>
                <w:szCs w:val="21"/>
                <w:lang w:val="en-US" w:eastAsia="zh-CN"/>
              </w:rPr>
            </w:pPr>
            <w:r>
              <w:rPr>
                <w:rFonts w:hint="default" w:ascii="Times New Roman" w:hAnsi="Times New Roman" w:eastAsia="宋体" w:cs="Times New Roman"/>
                <w:color w:val="000000"/>
                <w:kern w:val="0"/>
                <w:szCs w:val="21"/>
                <w:lang w:val="en-US" w:eastAsia="zh-CN"/>
              </w:rPr>
              <w:t>26,805,006</w:t>
            </w:r>
          </w:p>
        </w:tc>
        <w:tc>
          <w:tcPr>
            <w:tcW w:w="678" w:type="pct"/>
            <w:tcBorders>
              <w:tl2br w:val="nil"/>
              <w:tr2bl w:val="nil"/>
            </w:tcBorders>
            <w:noWrap w:val="0"/>
            <w:vAlign w:val="center"/>
          </w:tcPr>
          <w:p>
            <w:pPr>
              <w:widowControl/>
              <w:jc w:val="center"/>
              <w:rPr>
                <w:rFonts w:hint="default" w:ascii="Times New Roman" w:hAnsi="Times New Roman" w:eastAsia="宋体" w:cs="Times New Roman"/>
                <w:color w:val="000000"/>
                <w:kern w:val="0"/>
                <w:szCs w:val="21"/>
                <w:lang w:val="en-US" w:eastAsia="zh-CN"/>
              </w:rPr>
            </w:pPr>
            <w:r>
              <w:rPr>
                <w:rFonts w:hint="default" w:ascii="Times New Roman" w:hAnsi="Times New Roman" w:eastAsia="宋体" w:cs="Times New Roman"/>
                <w:color w:val="000000"/>
                <w:kern w:val="0"/>
                <w:szCs w:val="21"/>
                <w:lang w:val="en-US" w:eastAsia="zh-CN"/>
              </w:rPr>
              <w:t>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238" w:type="pct"/>
            <w:gridSpan w:val="3"/>
            <w:tcBorders>
              <w:tl2br w:val="nil"/>
              <w:tr2bl w:val="nil"/>
            </w:tcBorders>
            <w:noWrap w:val="0"/>
            <w:vAlign w:val="center"/>
          </w:tcPr>
          <w:p>
            <w:pPr>
              <w:widowControl/>
              <w:jc w:val="center"/>
              <w:rPr>
                <w:rFonts w:hint="default" w:ascii="Times New Roman" w:hAnsi="Times New Roman" w:eastAsia="宋体" w:cs="Times New Roman"/>
                <w:color w:val="000000"/>
                <w:kern w:val="0"/>
                <w:szCs w:val="21"/>
                <w:lang w:val="en-US" w:eastAsia="zh-CN"/>
              </w:rPr>
            </w:pPr>
            <w:r>
              <w:rPr>
                <w:rFonts w:hint="default" w:ascii="Times New Roman" w:hAnsi="Times New Roman" w:eastAsia="宋体" w:cs="Times New Roman"/>
                <w:color w:val="000000"/>
                <w:kern w:val="0"/>
                <w:szCs w:val="21"/>
                <w:lang w:val="en-US" w:eastAsia="zh-CN"/>
              </w:rPr>
              <w:t>合计</w:t>
            </w:r>
          </w:p>
        </w:tc>
        <w:tc>
          <w:tcPr>
            <w:tcW w:w="1082" w:type="pct"/>
            <w:tcBorders>
              <w:tl2br w:val="nil"/>
              <w:tr2bl w:val="nil"/>
            </w:tcBorders>
            <w:noWrap w:val="0"/>
            <w:vAlign w:val="center"/>
          </w:tcPr>
          <w:p>
            <w:pPr>
              <w:widowControl/>
              <w:jc w:val="center"/>
              <w:rPr>
                <w:rFonts w:hint="default" w:ascii="Times New Roman" w:hAnsi="Times New Roman" w:eastAsia="宋体" w:cs="Times New Roman"/>
                <w:color w:val="000000"/>
                <w:kern w:val="0"/>
                <w:szCs w:val="21"/>
                <w:lang w:val="en-US" w:eastAsia="zh-CN"/>
              </w:rPr>
            </w:pPr>
            <w:r>
              <w:rPr>
                <w:rFonts w:hint="default" w:ascii="Times New Roman" w:hAnsi="Times New Roman" w:eastAsia="宋体" w:cs="Times New Roman"/>
                <w:color w:val="000000"/>
                <w:kern w:val="0"/>
                <w:szCs w:val="21"/>
                <w:lang w:val="en-US" w:eastAsia="zh-CN"/>
              </w:rPr>
              <w:t>58,192,474</w:t>
            </w:r>
          </w:p>
        </w:tc>
        <w:tc>
          <w:tcPr>
            <w:tcW w:w="678" w:type="pct"/>
            <w:tcBorders>
              <w:tl2br w:val="nil"/>
              <w:tr2bl w:val="nil"/>
            </w:tcBorders>
            <w:noWrap w:val="0"/>
            <w:vAlign w:val="center"/>
          </w:tcPr>
          <w:p>
            <w:pPr>
              <w:widowControl/>
              <w:jc w:val="center"/>
              <w:rPr>
                <w:rFonts w:hint="default" w:ascii="Times New Roman" w:hAnsi="Times New Roman" w:eastAsia="宋体" w:cs="Times New Roman"/>
                <w:color w:val="000000"/>
                <w:kern w:val="0"/>
                <w:szCs w:val="21"/>
                <w:lang w:val="en-US" w:eastAsia="zh-CN"/>
              </w:rPr>
            </w:pPr>
            <w:r>
              <w:rPr>
                <w:rFonts w:hint="default" w:ascii="Times New Roman" w:hAnsi="Times New Roman" w:eastAsia="宋体" w:cs="Times New Roman"/>
                <w:color w:val="000000"/>
                <w:kern w:val="0"/>
                <w:szCs w:val="21"/>
                <w:lang w:val="en-US" w:eastAsia="zh-CN"/>
              </w:rPr>
              <w:t>8.77%</w:t>
            </w:r>
          </w:p>
        </w:tc>
      </w:tr>
    </w:tbl>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spacing w:line="240" w:lineRule="auto"/>
        <w:ind w:left="0" w:leftChars="0" w:firstLine="600" w:firstLineChars="200"/>
        <w:outlineLvl w:val="9"/>
        <w:rPr>
          <w:rFonts w:hint="default" w:ascii="Times New Roman" w:hAnsi="Times New Roman" w:eastAsia="仿宋_GB2312" w:cs="Times New Roman"/>
          <w:color w:val="auto"/>
          <w:sz w:val="30"/>
          <w:szCs w:val="30"/>
          <w:highlight w:val="none"/>
          <w:lang w:val="en-US" w:eastAsia="zh-CN"/>
        </w:rPr>
      </w:pPr>
      <w:r>
        <w:rPr>
          <w:rFonts w:hint="eastAsia" w:ascii="Times New Roman" w:hAnsi="Times New Roman" w:eastAsia="仿宋_GB2312" w:cs="Times New Roman"/>
          <w:color w:val="auto"/>
          <w:sz w:val="30"/>
          <w:szCs w:val="30"/>
          <w:highlight w:val="none"/>
          <w:lang w:val="en-US" w:eastAsia="zh-CN"/>
        </w:rPr>
        <w:t>公司第一大股东九江市置地投资有限公司持有公司31,387,468股，持股比例4.73%。公司不存在股东持股比例超过10.00%的情形，公司股东之间也不存在通过签署一致行动协议、股权代持等其他安排持有或者控制持股比例超过10%的情况。公司董事会由6名董事构成，其中独立董事1名，非职工代表董事由股东大会选举产生，董事会成员间无关联关系，亦不存在一致行动关系。</w:t>
      </w:r>
    </w:p>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spacing w:line="240" w:lineRule="auto"/>
        <w:ind w:left="0" w:leftChars="0" w:firstLine="600" w:firstLineChars="200"/>
        <w:outlineLvl w:val="9"/>
        <w:rPr>
          <w:rFonts w:hint="eastAsia" w:ascii="Times New Roman" w:hAnsi="Times New Roman" w:eastAsia="仿宋_GB2312" w:cs="Times New Roman"/>
          <w:color w:val="auto"/>
          <w:sz w:val="30"/>
          <w:szCs w:val="30"/>
          <w:highlight w:val="none"/>
          <w:lang w:val="en-US" w:eastAsia="zh-CN"/>
        </w:rPr>
      </w:pPr>
      <w:r>
        <w:rPr>
          <w:rFonts w:hint="eastAsia" w:ascii="Times New Roman" w:hAnsi="Times New Roman" w:eastAsia="仿宋_GB2312" w:cs="Times New Roman"/>
          <w:color w:val="auto"/>
          <w:sz w:val="30"/>
          <w:szCs w:val="30"/>
          <w:highlight w:val="none"/>
          <w:lang w:val="en-US" w:eastAsia="zh-CN"/>
        </w:rPr>
        <w:t>《中国银监会农村中小金融机构行政许可事项实施办法》（中国银监会令2015年第3号）第12条规定，单个境内非金融机构及其关联方合计投资入股比例不得超过农村商业银行股本总额的10％。公司目前股权结构符合中国银监会令2015年第3号文件的规定。因此，公司目前无控股股东，亦无实际控制人。</w:t>
      </w:r>
    </w:p>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spacing w:line="240" w:lineRule="auto"/>
        <w:ind w:left="0" w:leftChars="0" w:firstLine="600" w:firstLineChars="200"/>
        <w:outlineLvl w:val="9"/>
        <w:rPr>
          <w:rFonts w:hint="eastAsia" w:ascii="Times New Roman" w:hAnsi="Times New Roman" w:eastAsia="仿宋_GB2312" w:cs="Times New Roman"/>
          <w:color w:val="auto"/>
          <w:sz w:val="30"/>
          <w:szCs w:val="30"/>
          <w:highlight w:val="none"/>
          <w:lang w:val="en-US" w:eastAsia="zh-CN"/>
        </w:rPr>
      </w:pPr>
      <w:r>
        <w:rPr>
          <w:rFonts w:hint="default" w:ascii="Times New Roman" w:hAnsi="Times New Roman" w:eastAsia="仿宋_GB2312" w:cs="Times New Roman"/>
          <w:color w:val="auto"/>
          <w:sz w:val="30"/>
          <w:szCs w:val="30"/>
          <w:highlight w:val="none"/>
          <w:lang w:val="en-US" w:eastAsia="zh-CN"/>
        </w:rPr>
        <w:t>（2）</w:t>
      </w:r>
      <w:r>
        <w:rPr>
          <w:rFonts w:hint="eastAsia" w:ascii="Times New Roman" w:hAnsi="Times New Roman" w:eastAsia="仿宋_GB2312" w:cs="Times New Roman"/>
          <w:color w:val="auto"/>
          <w:sz w:val="30"/>
          <w:szCs w:val="30"/>
          <w:highlight w:val="none"/>
          <w:lang w:val="en-US" w:eastAsia="zh-CN"/>
        </w:rPr>
        <w:t>相关法律法规依据</w:t>
      </w:r>
    </w:p>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spacing w:line="240" w:lineRule="auto"/>
        <w:ind w:left="0" w:leftChars="0" w:firstLine="600" w:firstLineChars="200"/>
        <w:outlineLvl w:val="9"/>
        <w:rPr>
          <w:rFonts w:hint="default" w:ascii="Times New Roman" w:hAnsi="Times New Roman" w:eastAsia="仿宋_GB2312" w:cs="Times New Roman"/>
          <w:color w:val="auto"/>
          <w:sz w:val="30"/>
          <w:szCs w:val="30"/>
          <w:highlight w:val="none"/>
          <w:lang w:val="en-US" w:eastAsia="zh-CN"/>
        </w:rPr>
      </w:pPr>
      <w:r>
        <w:rPr>
          <w:rFonts w:hint="eastAsia" w:ascii="Times New Roman" w:hAnsi="Times New Roman" w:eastAsia="仿宋_GB2312" w:cs="Times New Roman"/>
          <w:color w:val="auto"/>
          <w:sz w:val="30"/>
          <w:szCs w:val="30"/>
          <w:highlight w:val="none"/>
          <w:lang w:val="en-US" w:eastAsia="zh-CN"/>
        </w:rPr>
        <w:t>①《企业国有资产交易监督管理办法》（财政部令第32号）第4条规定：本办法所称国有及国有控股企业、国有实际控制企业包括:（一）政府部门、机构、事业单位出资设立的国有独资企业(公司)，以及上述单位、企业直接或间接合计持股为100%的国有全资企业；（二）本条第（一）款所列单位、企业单独或共同出资，合计拥有产（股）权比例超过50%，且其中之一为最大股东的企业；（三）本条第（一）、（二）款所列企业对外出资，拥有股权比例超过50%的各级子企业；（四）政府部门、机构、事业单位、单一国有及国有控股企业直接或间接持股比例未超过50%，但为第一大股东，并且通过股东协议、公司章程、董事会决议或者其他协议安排能够对其实际支配的企业。</w:t>
      </w:r>
    </w:p>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spacing w:line="240" w:lineRule="auto"/>
        <w:ind w:left="0" w:leftChars="0" w:firstLine="600" w:firstLineChars="200"/>
        <w:outlineLvl w:val="9"/>
        <w:rPr>
          <w:rFonts w:hint="eastAsia" w:ascii="Times New Roman" w:hAnsi="Times New Roman" w:eastAsia="仿宋_GB2312" w:cs="Times New Roman"/>
          <w:color w:val="auto"/>
          <w:sz w:val="30"/>
          <w:szCs w:val="30"/>
          <w:highlight w:val="none"/>
          <w:lang w:val="en-US" w:eastAsia="zh-CN"/>
        </w:rPr>
      </w:pPr>
      <w:r>
        <w:rPr>
          <w:rFonts w:hint="eastAsia" w:ascii="Times New Roman" w:hAnsi="Times New Roman" w:eastAsia="仿宋_GB2312" w:cs="Times New Roman"/>
          <w:color w:val="auto"/>
          <w:sz w:val="30"/>
          <w:szCs w:val="30"/>
          <w:highlight w:val="none"/>
          <w:lang w:val="en-US" w:eastAsia="zh-CN"/>
        </w:rPr>
        <w:t>目前公司股权结构较为分散，无控股股东亦无实际控制人，公司国有股东不能通过股东协议、公司章程、董事会决议或者其他协议安排能够对其实际支配公司。因此，公司不属于《企业国有资产交易监督管理办法》所规范的国有企业。因此，公司本次定向募股无需经过国资管理部门的审批。</w:t>
      </w:r>
    </w:p>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spacing w:line="240" w:lineRule="auto"/>
        <w:ind w:left="0" w:leftChars="0" w:firstLine="600" w:firstLineChars="200"/>
        <w:outlineLvl w:val="9"/>
        <w:rPr>
          <w:rFonts w:hint="eastAsia" w:ascii="Times New Roman" w:hAnsi="Times New Roman" w:eastAsia="仿宋_GB2312" w:cs="Times New Roman"/>
          <w:color w:val="auto"/>
          <w:sz w:val="30"/>
          <w:szCs w:val="30"/>
          <w:highlight w:val="none"/>
          <w:lang w:val="en-US" w:eastAsia="zh-CN"/>
        </w:rPr>
      </w:pPr>
      <w:r>
        <w:rPr>
          <w:rFonts w:hint="eastAsia" w:ascii="Times New Roman" w:hAnsi="Times New Roman" w:eastAsia="仿宋_GB2312" w:cs="Times New Roman"/>
          <w:color w:val="auto"/>
          <w:sz w:val="30"/>
          <w:szCs w:val="30"/>
          <w:highlight w:val="none"/>
          <w:lang w:val="en-US" w:eastAsia="zh-CN"/>
        </w:rPr>
        <w:t>②《金融企业国有资产评估监督管理暂行办法》（财政部令第47号）第2条规定，在中华人民共和国境内依法设立，并占有国有资产的金融企业、金融控股公司、担保公司（以下简称金融企业）的资产评估，适用本办法。第6条规定　金融企业有下列情形之一的，应当委托资产评估机构进行资产评估：……（四）非上市金融企业国有股东股权比例变动的……。</w:t>
      </w:r>
    </w:p>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spacing w:line="240" w:lineRule="auto"/>
        <w:ind w:left="0" w:leftChars="0" w:firstLine="600" w:firstLineChars="200"/>
        <w:outlineLvl w:val="9"/>
        <w:rPr>
          <w:rFonts w:hint="eastAsia" w:ascii="Times New Roman" w:hAnsi="Times New Roman" w:eastAsia="仿宋_GB2312" w:cs="Times New Roman"/>
          <w:color w:val="auto"/>
          <w:sz w:val="30"/>
          <w:szCs w:val="30"/>
          <w:highlight w:val="none"/>
          <w:lang w:val="en-US" w:eastAsia="zh-CN"/>
        </w:rPr>
      </w:pPr>
      <w:r>
        <w:rPr>
          <w:rFonts w:hint="eastAsia" w:ascii="Times New Roman" w:hAnsi="Times New Roman" w:eastAsia="仿宋_GB2312" w:cs="Times New Roman"/>
          <w:color w:val="auto"/>
          <w:sz w:val="30"/>
          <w:szCs w:val="30"/>
          <w:highlight w:val="none"/>
          <w:lang w:val="en-US" w:eastAsia="zh-CN"/>
        </w:rPr>
        <w:t>为进一步贯彻落实《金融企业国有资产评估监督管理暂行办法》（财政部令第47号），加强和规范金融企业国有资产评估监督管理工作，财政部于2011年6月16日颁布了《财政部关于金融企业国有资产评估监督管理有关问题的通知》（财金〔2011〕59号）（以下简称“59号文”）。59号文规定金融企业出现《办法》第6条所述的经济行为时，应按下列要求确定评估范围：……2.对子公司增资扩股时，因吸收新股东入股或企业原股东未按照原有出资比例追加投资等，造成原国有股东股权比例发生变化的，需要对子公司进行整体资产评估……。</w:t>
      </w:r>
    </w:p>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spacing w:line="240" w:lineRule="auto"/>
        <w:ind w:left="0" w:leftChars="0" w:firstLine="600" w:firstLineChars="200"/>
        <w:outlineLvl w:val="9"/>
        <w:rPr>
          <w:rFonts w:hint="eastAsia" w:ascii="Times New Roman" w:hAnsi="Times New Roman" w:eastAsia="仿宋_GB2312" w:cs="Times New Roman"/>
          <w:color w:val="auto"/>
          <w:sz w:val="30"/>
          <w:szCs w:val="30"/>
          <w:highlight w:val="none"/>
          <w:lang w:val="en-US" w:eastAsia="zh-CN"/>
        </w:rPr>
      </w:pPr>
      <w:r>
        <w:rPr>
          <w:rFonts w:hint="eastAsia" w:ascii="Times New Roman" w:hAnsi="Times New Roman" w:eastAsia="仿宋_GB2312" w:cs="Times New Roman"/>
          <w:color w:val="auto"/>
          <w:sz w:val="30"/>
          <w:szCs w:val="30"/>
          <w:highlight w:val="none"/>
          <w:lang w:val="en-US" w:eastAsia="zh-CN"/>
        </w:rPr>
        <w:t>公司不属于国有股东的子公司，因此公司不需要根据财政部令第47号、财金〔2011〕59号的规定，履行评估程序。</w:t>
      </w:r>
    </w:p>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spacing w:line="240" w:lineRule="auto"/>
        <w:ind w:left="0" w:leftChars="0" w:firstLine="600" w:firstLineChars="200"/>
        <w:outlineLvl w:val="9"/>
        <w:rPr>
          <w:rFonts w:hint="eastAsia" w:ascii="Times New Roman" w:hAnsi="Times New Roman" w:eastAsia="仿宋_GB2312" w:cs="Times New Roman"/>
          <w:color w:val="auto"/>
          <w:sz w:val="30"/>
          <w:szCs w:val="30"/>
          <w:highlight w:val="none"/>
          <w:lang w:val="en-US" w:eastAsia="zh-CN"/>
        </w:rPr>
      </w:pPr>
      <w:r>
        <w:rPr>
          <w:rFonts w:hint="eastAsia" w:ascii="Times New Roman" w:hAnsi="Times New Roman" w:eastAsia="仿宋_GB2312" w:cs="Times New Roman"/>
          <w:color w:val="auto"/>
          <w:sz w:val="30"/>
          <w:szCs w:val="30"/>
          <w:highlight w:val="none"/>
          <w:lang w:val="en-US" w:eastAsia="zh-CN"/>
        </w:rPr>
        <w:t>③2019年12月20日，江西省国有资产监督管理委员会官网的意见认为国有企业参股的企业，如通过股东协议、公司章程、董事会决议或者其他协议安排能够对其实际支配的企业，进行股权转让或增资，应按照《企业国有资产交易监督管理办法》（国务院国资委 财政部令第32号）规定执行。</w:t>
      </w:r>
    </w:p>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spacing w:line="240" w:lineRule="auto"/>
        <w:ind w:left="0" w:leftChars="0" w:firstLine="600" w:firstLineChars="200"/>
        <w:outlineLvl w:val="9"/>
        <w:rPr>
          <w:rFonts w:hint="default" w:ascii="Times New Roman" w:hAnsi="Times New Roman" w:eastAsia="仿宋_GB2312" w:cs="Times New Roman"/>
          <w:color w:val="auto"/>
          <w:sz w:val="30"/>
          <w:szCs w:val="30"/>
          <w:highlight w:val="none"/>
          <w:lang w:val="en-US" w:eastAsia="zh-CN"/>
        </w:rPr>
      </w:pPr>
      <w:r>
        <w:rPr>
          <w:rFonts w:hint="eastAsia" w:ascii="Times New Roman" w:hAnsi="Times New Roman" w:eastAsia="仿宋_GB2312" w:cs="Times New Roman"/>
          <w:color w:val="auto"/>
          <w:sz w:val="30"/>
          <w:szCs w:val="30"/>
          <w:highlight w:val="none"/>
          <w:lang w:val="en-US" w:eastAsia="zh-CN"/>
        </w:rPr>
        <w:t>目前公司股权结构较为分散，无控股股东亦无实际控制人，公司国有股东不能通过股东协议、公司章程、董事会决议或者其他协议安排能够对其实际支配公司。因此，公司不属于《企业国有资产交易监督管理办法》所规范的国有企业。因此，公司本次定向募股无需经过国资管理部门的审批。</w:t>
      </w:r>
    </w:p>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spacing w:line="240" w:lineRule="auto"/>
        <w:ind w:left="0" w:leftChars="0" w:firstLine="600" w:firstLineChars="200"/>
        <w:outlineLvl w:val="9"/>
        <w:rPr>
          <w:rFonts w:hint="eastAsia" w:ascii="Times New Roman" w:hAnsi="Times New Roman" w:eastAsia="仿宋_GB2312" w:cs="Times New Roman"/>
          <w:color w:val="auto"/>
          <w:sz w:val="30"/>
          <w:szCs w:val="30"/>
          <w:highlight w:val="none"/>
          <w:lang w:val="en-US" w:eastAsia="zh-CN"/>
        </w:rPr>
      </w:pPr>
      <w:r>
        <w:rPr>
          <w:rFonts w:hint="eastAsia" w:ascii="Times New Roman" w:hAnsi="Times New Roman" w:eastAsia="仿宋_GB2312" w:cs="Times New Roman"/>
          <w:color w:val="auto"/>
          <w:sz w:val="30"/>
          <w:szCs w:val="30"/>
          <w:highlight w:val="none"/>
          <w:lang w:val="en-US" w:eastAsia="zh-CN"/>
        </w:rPr>
        <w:t>④公司国资股东应当按照《国有金融资本出资人职责暂行规定》（国办发〔2019〕49号）的规定，履行国有出资人职责。公司国有股东已经根据该规定参与了公司2021年度股东大会，并对《九江农村商业银行股份有限公司2022年定向募股实施方案》等与本次发行相关的议案，投赞成票；公司国资股东派出的1名董事根据该规定参与了第三届董事会第三次会议，并对《九江农村商业银行股份有限公司2022定向募股实施方案》等与本次发行相关的议案，投赞成票。</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lang w:val="en-US" w:eastAsia="zh-CN"/>
        </w:rPr>
      </w:pPr>
      <w:r>
        <w:rPr>
          <w:rFonts w:hint="eastAsia" w:ascii="Times New Roman" w:hAnsi="Times New Roman" w:eastAsia="仿宋_GB2312" w:cs="Times New Roman"/>
          <w:color w:val="auto"/>
          <w:sz w:val="30"/>
          <w:szCs w:val="30"/>
          <w:highlight w:val="none"/>
          <w:lang w:val="en-US" w:eastAsia="zh-CN"/>
        </w:rPr>
        <w:t>律师</w:t>
      </w:r>
      <w:r>
        <w:rPr>
          <w:rFonts w:hint="default" w:ascii="Times New Roman" w:hAnsi="Times New Roman" w:eastAsia="仿宋_GB2312" w:cs="Times New Roman"/>
          <w:color w:val="auto"/>
          <w:sz w:val="30"/>
          <w:szCs w:val="30"/>
          <w:highlight w:val="none"/>
          <w:lang w:eastAsia="zh-CN"/>
        </w:rPr>
        <w:t>已针对上述事项进行核查并发表明确意见</w:t>
      </w:r>
      <w:r>
        <w:rPr>
          <w:rFonts w:hint="eastAsia" w:ascii="Times New Roman" w:hAnsi="Times New Roman" w:eastAsia="仿宋_GB2312" w:cs="Times New Roman"/>
          <w:color w:val="auto"/>
          <w:sz w:val="30"/>
          <w:szCs w:val="30"/>
          <w:highlight w:val="none"/>
          <w:lang w:val="en-US" w:eastAsia="zh-CN"/>
        </w:rPr>
        <w:t>。</w:t>
      </w:r>
    </w:p>
    <w:p>
      <w:pPr>
        <w:keepNext w:val="0"/>
        <w:keepLines w:val="0"/>
        <w:pageBreakBefore w:val="0"/>
        <w:numPr>
          <w:ilvl w:val="0"/>
          <w:numId w:val="0"/>
        </w:numPr>
        <w:shd w:val="clear" w:color="auto" w:fill="auto"/>
        <w:kinsoku/>
        <w:wordWrap/>
        <w:overflowPunct/>
        <w:topLinePunct w:val="0"/>
        <w:autoSpaceDE/>
        <w:autoSpaceDN/>
        <w:bidi w:val="0"/>
        <w:snapToGrid/>
        <w:spacing w:beforeAutospacing="0" w:after="0" w:afterAutospacing="0" w:line="240" w:lineRule="auto"/>
        <w:ind w:leftChars="200" w:right="0" w:rightChars="0"/>
        <w:jc w:val="both"/>
        <w:textAlignment w:val="auto"/>
        <w:outlineLvl w:val="1"/>
        <w:rPr>
          <w:rFonts w:hint="default" w:ascii="楷体_GB2312" w:hAnsi="楷体_GB2312" w:eastAsia="楷体_GB2312" w:cs="楷体_GB2312"/>
          <w:b/>
          <w:bCs w:val="0"/>
          <w:color w:val="auto"/>
          <w:sz w:val="30"/>
          <w:szCs w:val="30"/>
          <w:highlight w:val="none"/>
          <w:lang w:eastAsia="zh-CN"/>
        </w:rPr>
      </w:pPr>
      <w:r>
        <w:rPr>
          <w:rFonts w:hint="eastAsia" w:ascii="楷体_GB2312" w:hAnsi="楷体_GB2312" w:eastAsia="楷体_GB2312" w:cs="楷体_GB2312"/>
          <w:b/>
          <w:bCs w:val="0"/>
          <w:color w:val="auto"/>
          <w:sz w:val="30"/>
          <w:szCs w:val="30"/>
          <w:highlight w:val="none"/>
          <w:lang w:eastAsia="zh-CN"/>
        </w:rPr>
        <w:t>（三）关于</w:t>
      </w:r>
      <w:r>
        <w:rPr>
          <w:rFonts w:hint="default" w:ascii="楷体_GB2312" w:hAnsi="楷体_GB2312" w:eastAsia="楷体_GB2312" w:cs="楷体_GB2312"/>
          <w:b/>
          <w:bCs w:val="0"/>
          <w:color w:val="auto"/>
          <w:sz w:val="30"/>
          <w:szCs w:val="30"/>
          <w:highlight w:val="none"/>
          <w:lang w:eastAsia="zh-CN"/>
        </w:rPr>
        <w:t>决策程序</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根据申报材料，申请人于202</w:t>
      </w:r>
      <w:r>
        <w:rPr>
          <w:rFonts w:hint="default" w:ascii="Times New Roman" w:hAnsi="Times New Roman" w:eastAsia="仿宋_GB2312" w:cs="Times New Roman"/>
          <w:color w:val="auto"/>
          <w:sz w:val="30"/>
          <w:szCs w:val="30"/>
          <w:highlight w:val="none"/>
          <w:lang w:val="en-US" w:eastAsia="zh-CN"/>
        </w:rPr>
        <w:t>2</w:t>
      </w:r>
      <w:r>
        <w:rPr>
          <w:rFonts w:hint="default" w:ascii="Times New Roman" w:hAnsi="Times New Roman" w:eastAsia="仿宋_GB2312" w:cs="Times New Roman"/>
          <w:color w:val="auto"/>
          <w:sz w:val="30"/>
          <w:szCs w:val="30"/>
          <w:highlight w:val="none"/>
          <w:lang w:eastAsia="zh-CN"/>
        </w:rPr>
        <w:t>年</w:t>
      </w:r>
      <w:r>
        <w:rPr>
          <w:rFonts w:hint="default" w:ascii="Times New Roman" w:hAnsi="Times New Roman" w:eastAsia="仿宋_GB2312" w:cs="Times New Roman"/>
          <w:color w:val="auto"/>
          <w:sz w:val="30"/>
          <w:szCs w:val="30"/>
          <w:highlight w:val="none"/>
          <w:lang w:val="en-US" w:eastAsia="zh-CN"/>
        </w:rPr>
        <w:t>5</w:t>
      </w:r>
      <w:r>
        <w:rPr>
          <w:rFonts w:hint="default" w:ascii="Times New Roman" w:hAnsi="Times New Roman" w:eastAsia="仿宋_GB2312" w:cs="Times New Roman"/>
          <w:color w:val="auto"/>
          <w:sz w:val="30"/>
          <w:szCs w:val="30"/>
          <w:highlight w:val="none"/>
          <w:lang w:eastAsia="zh-CN"/>
        </w:rPr>
        <w:t>月</w:t>
      </w:r>
      <w:r>
        <w:rPr>
          <w:rFonts w:hint="default" w:ascii="Times New Roman" w:hAnsi="Times New Roman" w:eastAsia="仿宋_GB2312" w:cs="Times New Roman"/>
          <w:color w:val="auto"/>
          <w:sz w:val="30"/>
          <w:szCs w:val="30"/>
          <w:highlight w:val="none"/>
          <w:lang w:val="en-US" w:eastAsia="zh-CN"/>
        </w:rPr>
        <w:t>28</w:t>
      </w:r>
      <w:r>
        <w:rPr>
          <w:rFonts w:hint="default" w:ascii="Times New Roman" w:hAnsi="Times New Roman" w:eastAsia="仿宋_GB2312" w:cs="Times New Roman"/>
          <w:color w:val="auto"/>
          <w:sz w:val="30"/>
          <w:szCs w:val="30"/>
          <w:highlight w:val="none"/>
          <w:lang w:eastAsia="zh-CN"/>
        </w:rPr>
        <w:t>日召开第</w:t>
      </w:r>
      <w:r>
        <w:rPr>
          <w:rFonts w:hint="default" w:ascii="Times New Roman" w:hAnsi="Times New Roman" w:eastAsia="仿宋_GB2312" w:cs="Times New Roman"/>
          <w:color w:val="auto"/>
          <w:sz w:val="30"/>
          <w:szCs w:val="30"/>
          <w:highlight w:val="none"/>
          <w:lang w:val="en-US" w:eastAsia="zh-CN"/>
        </w:rPr>
        <w:t>三</w:t>
      </w:r>
      <w:r>
        <w:rPr>
          <w:rFonts w:hint="default" w:ascii="Times New Roman" w:hAnsi="Times New Roman" w:eastAsia="仿宋_GB2312" w:cs="Times New Roman"/>
          <w:color w:val="auto"/>
          <w:sz w:val="30"/>
          <w:szCs w:val="30"/>
          <w:highlight w:val="none"/>
          <w:lang w:eastAsia="zh-CN"/>
        </w:rPr>
        <w:t>届董事会第</w:t>
      </w:r>
      <w:r>
        <w:rPr>
          <w:rFonts w:hint="default" w:ascii="Times New Roman" w:hAnsi="Times New Roman" w:eastAsia="仿宋_GB2312" w:cs="Times New Roman"/>
          <w:color w:val="auto"/>
          <w:sz w:val="30"/>
          <w:szCs w:val="30"/>
          <w:highlight w:val="none"/>
          <w:lang w:val="en-US" w:eastAsia="zh-CN"/>
        </w:rPr>
        <w:t>三</w:t>
      </w:r>
      <w:r>
        <w:rPr>
          <w:rFonts w:hint="default" w:ascii="Times New Roman" w:hAnsi="Times New Roman" w:eastAsia="仿宋_GB2312" w:cs="Times New Roman"/>
          <w:color w:val="auto"/>
          <w:sz w:val="30"/>
          <w:szCs w:val="30"/>
          <w:highlight w:val="none"/>
          <w:lang w:eastAsia="zh-CN"/>
        </w:rPr>
        <w:t>次会议，审议通过本次发行相关议案；2022年</w:t>
      </w:r>
      <w:r>
        <w:rPr>
          <w:rFonts w:hint="default" w:ascii="Times New Roman" w:hAnsi="Times New Roman" w:eastAsia="仿宋_GB2312" w:cs="Times New Roman"/>
          <w:color w:val="auto"/>
          <w:sz w:val="30"/>
          <w:szCs w:val="30"/>
          <w:highlight w:val="none"/>
          <w:lang w:val="en-US" w:eastAsia="zh-CN"/>
        </w:rPr>
        <w:t>6</w:t>
      </w:r>
      <w:r>
        <w:rPr>
          <w:rFonts w:hint="default" w:ascii="Times New Roman" w:hAnsi="Times New Roman" w:eastAsia="仿宋_GB2312" w:cs="Times New Roman"/>
          <w:color w:val="auto"/>
          <w:sz w:val="30"/>
          <w:szCs w:val="30"/>
          <w:highlight w:val="none"/>
          <w:lang w:eastAsia="zh-CN"/>
        </w:rPr>
        <w:t>月</w:t>
      </w:r>
      <w:r>
        <w:rPr>
          <w:rFonts w:hint="default" w:ascii="Times New Roman" w:hAnsi="Times New Roman" w:eastAsia="仿宋_GB2312" w:cs="Times New Roman"/>
          <w:color w:val="auto"/>
          <w:sz w:val="30"/>
          <w:szCs w:val="30"/>
          <w:highlight w:val="none"/>
          <w:lang w:val="en-US" w:eastAsia="zh-CN"/>
        </w:rPr>
        <w:t>18</w:t>
      </w:r>
      <w:r>
        <w:rPr>
          <w:rFonts w:hint="default" w:ascii="Times New Roman" w:hAnsi="Times New Roman" w:eastAsia="仿宋_GB2312" w:cs="Times New Roman"/>
          <w:color w:val="auto"/>
          <w:sz w:val="30"/>
          <w:szCs w:val="30"/>
          <w:highlight w:val="none"/>
          <w:lang w:eastAsia="zh-CN"/>
        </w:rPr>
        <w:t>日召开202</w:t>
      </w:r>
      <w:r>
        <w:rPr>
          <w:rFonts w:hint="default" w:ascii="Times New Roman" w:hAnsi="Times New Roman" w:eastAsia="仿宋_GB2312" w:cs="Times New Roman"/>
          <w:color w:val="auto"/>
          <w:sz w:val="30"/>
          <w:szCs w:val="30"/>
          <w:highlight w:val="none"/>
          <w:lang w:val="en-US" w:eastAsia="zh-CN"/>
        </w:rPr>
        <w:t>1年度</w:t>
      </w:r>
      <w:r>
        <w:rPr>
          <w:rFonts w:hint="default" w:ascii="Times New Roman" w:hAnsi="Times New Roman" w:eastAsia="仿宋_GB2312" w:cs="Times New Roman"/>
          <w:color w:val="auto"/>
          <w:sz w:val="30"/>
          <w:szCs w:val="30"/>
          <w:highlight w:val="none"/>
          <w:lang w:eastAsia="zh-CN"/>
        </w:rPr>
        <w:t>股东大会，审议通过本次定向发行相关议案。请申请人补充披露：（1）本次董事会、股东大会具体召开情况，包括但不限于通知日期、通知方式、通知内容等，本次董事会、股东大会的召集程序是否符合《公司法》、公司章程等有关规定，在决议有效性方面是否存在潜在法律风险；（2）监事会根据《证券法》有关规定对董事会编制的证券发行文件进行审核并提出书面审核意见的情况；（3）根据《非上市公众公司监督管理办法》有关规定，股东大会决议应当包括的决议有效期、对董事会办理本次发行具体事宜的授权、按照中国证监会相关规定修改公司章程等内容。请律师核查并发表明确意见。</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firstLine="600" w:firstLineChars="200"/>
        <w:jc w:val="both"/>
        <w:textAlignment w:val="auto"/>
        <w:outlineLvl w:val="9"/>
        <w:rPr>
          <w:rFonts w:hint="default" w:ascii="Times New Roman" w:hAnsi="Times New Roman" w:eastAsia="仿宋_GB2312" w:cs="Times New Roman"/>
          <w:color w:val="auto"/>
          <w:sz w:val="30"/>
          <w:szCs w:val="30"/>
          <w:lang w:val="en-US" w:eastAsia="zh-CN"/>
        </w:rPr>
      </w:pPr>
      <w:r>
        <w:rPr>
          <w:rFonts w:hint="default" w:ascii="Times New Roman" w:hAnsi="Times New Roman" w:eastAsia="仿宋_GB2312" w:cs="Times New Roman"/>
          <w:color w:val="auto"/>
          <w:sz w:val="30"/>
          <w:szCs w:val="30"/>
          <w:lang w:val="en-US" w:eastAsia="zh-CN"/>
        </w:rPr>
        <w:t>申请人回复</w:t>
      </w:r>
      <w:r>
        <w:rPr>
          <w:rFonts w:hint="default" w:eastAsia="仿宋_GB2312" w:cs="Times New Roman"/>
          <w:color w:val="auto"/>
          <w:sz w:val="30"/>
          <w:szCs w:val="30"/>
          <w:lang w:eastAsia="zh-CN"/>
        </w:rPr>
        <w:t>称</w:t>
      </w:r>
      <w:r>
        <w:rPr>
          <w:rFonts w:hint="default" w:ascii="Times New Roman" w:hAnsi="Times New Roman" w:eastAsia="仿宋_GB2312" w:cs="Times New Roman"/>
          <w:color w:val="auto"/>
          <w:sz w:val="30"/>
          <w:szCs w:val="30"/>
          <w:lang w:val="en-US" w:eastAsia="zh-CN"/>
        </w:rPr>
        <w:t>：</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b w:val="0"/>
          <w:bCs w:val="0"/>
          <w:color w:val="auto"/>
          <w:sz w:val="30"/>
          <w:szCs w:val="30"/>
          <w:highlight w:val="none"/>
          <w:lang w:eastAsia="zh-CN"/>
        </w:rPr>
      </w:pPr>
      <w:r>
        <w:rPr>
          <w:rFonts w:hint="default" w:ascii="Times New Roman" w:hAnsi="Times New Roman" w:eastAsia="仿宋_GB2312" w:cs="Times New Roman"/>
          <w:b w:val="0"/>
          <w:bCs w:val="0"/>
          <w:color w:val="auto"/>
          <w:sz w:val="30"/>
          <w:szCs w:val="30"/>
          <w:highlight w:val="none"/>
          <w:lang w:eastAsia="zh-CN"/>
        </w:rPr>
        <w:t>1.本次董事会、股东大会具体召开情况，包括但不限于通知日期、通知方式、通知内容等，本次董事会、股东大会的召集程序是否符合《公司法》、公司章程等有关规定，在决议有效性方面是否存在潜在法律风险</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①本次董事会的召集和通知</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根据《公司法》之相关规定，股份有限公司董事会每年度至少召开两次会议，每次会议应当于会议召开十日前通知全体董事和监事；根据公司《章程》等相关规定，董事会例会由董事长召集，会议通知和有关文件应于会议召开10日前以书面形式送达全体董事。董事会会议通知包括会议召开的日期、地点和期限；会议审议的事由及议题；会议通知的发出日期。</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2022年5日18日，经公司董事长提议，公司向全体董事通过纸质文件或电子邮件形式发出了《关于召开九江农村商业银行股份有限公司董事会第三届董事会第三次会议的通知》。根据该通知，公司决定于2022年5月28日上午9点召开董事会第三届董事会第三次会议，会议形式为现场召开，会议议程包括审议《九江农村商业银行股份有限公司2022年定向募股实施方案》等12项议案，通知其他内容包括会议参加人员、会议通知的发出日期等。</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根据《公司法》及《公司章程》《九江农村商业银行股份有限公司董事会议事规则》等相关规定，董事会会议应有过半数的董事出席方可举行。董事会作出决议，必须经全体董事的过半数通过。董事会决议的表决，实行一人一票。董事会决议表决方式为：举手表决或记名投票表决或法律、法规、规章、规范性文件允许的其他表决方式。</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2022年5月28日，公司召开第三届董事会第三次会议，本次会议应出席董事6名，实际出席董事6名，通过举手表决审议通过了《九江农村商业银行股份有限公司2022年定向募股实施方案》，同意本次定向募股实施方案，本次发行拟募集股份总额不超过20000万股。表决结果为：同意董事6名，反对董事0名，弃权董事0名。上述议案已经经全体董事的过半数通过，符合《公司法》等法律法规、《公司章程》《九江农村商业银行股份有限公司董事会议事规则》的相关规定。</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鉴于此，公司已于本次董事会会议召开前10日将会议通知和会议文件通过纸质文件等书面形式送达全体董事，会议通知已明确载明会议时间、会议形式、会议议程等，其中包括“8、审议《九江农村商业银行股份有限公司2022年定向募股实施方案》”，且公司提供了全套会议材料供董事审阅。董事会会议召开当日，全体董事均亲自出席，不存在因未及时通知而缺席之情形。因此，公司董事会的通知内容已包含本次发行事项，全体董事均已收到相关会议文件并亲自出席。本次会议的召集、通知、召开和审议程序符合《公司法》等法律法规和公司《章程》《九江农村商业银行股份有限公司董事会议事规则》的有关规定，会议合法、有效，本次董事会形成的决议合法、有效。</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②本次股东大会的通知及表决的具体情况</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A.本次股东大会的召集和通知</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根据《公司法》之相关规定，召开股东大会，应当将会议召开的时间、地点和审议的事项于会议召开二十日前通知各股东；临时股东大会应当于会议召开十五日前通知各股东；根据《公司章程》等相关规定，召集人将在年度股东大会召开20日前以公告方式通知各股东，临时股东大会将于会议召开15日前以公告方式通知各股东。股东大会的通知应包括会议的日期、地点和期限；提交会议审议的事项；明示全体股东均有权出席会议，股东不能参加的可以授权委托代理人出席会议；有权出席会议股东的股权登记日；提交授权委托书的时间和地点；会务常设联系人姓名及电话。</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公司于2022年5月28日召开第三届董事会第三次会议，审议通过了《关于召开九江农村商业银行股份有限公司2021年度股东大会的议案》。</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2022年5月28日，公司在《九江日报》刊登了关于召开2022年度股东大会的信息；2022年5月28日，公司在官方网站（http://cs.jxnxs.com/jjnsyh/469691/index.html）发出了《关于召开九江农村商业银行股份有限公司2021年度股东大会的公告》。</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公司发出的会议通知内容已明确载明会议召集人、会议时间、会议地点和会期、会议议题、会议出席对象、会议登记方法等。根据会议通知，公司2022年度股东大会召开时间为2022年6月18日上午9：30，会期半天；会议地点在希尔顿欢朋九点三楼会议室（浔阳区长虹北路15号中瀚商务中心），会议方式为现场会议；会议议题已包括“审议《九江农村商业银行股份有限公司增资扩股实施方案》”；公司登记在册的全体股东均有权出席股东大会。</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公司已于2021年度股东大会召开前20日将会议通知在官方网站以及《九江日报》上进行公告，会议公告内容已明确载明会议时间、会议地点和方式、会议议程、会议出席对象、会议登记方法等，其中会议议题中已明确载明“审议《九江农村商业银行股份有限公司增资扩股实施方案》”，且公司在会议过程中提供了全套会议材料供股东审阅。公司官方网站（http://cs.jxnxs.com/jjnsyh/469691/index.html）为公司自身运营和维护，网站自建立以来，除用于展示公司形象，宣传公司产品外，亦用于信息披露及投资者维护；《九江日报》为中共九江市委主办，是九江地区发行量最大、发行面最广、最具权威性的报纸，已涵盖了公司股东主要所在地。公司通过上述方式发布股东大会通知属于人数较多的非上市商业银行发布股东大会通知的常用方式，亦符合《公司法》第一百零二条、和《公司章程》《九江农村商业银行股份有限公司股东大会议事规则》的有关要求。</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鉴于此，公司股东大会的通知内容已包含本次发行事项，通知时间、方式、具体内容符合《公司法》等法律法规及《公司章程》《九江农村商业银行股份有限公司股东大会议事规则》的相关规定，会议合法、有效。</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B.本次股东大会的表决情况</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根据《公司法》及《公司章程》等相关规定，股东出席股东大会会议，所持每一股份有一票表决权。但是，公司持有的本公司股份没有表决权。股东大会作出决议，必须经出席会议的股东所持表决权过半数通过。但是，股东大会作出修改公司章程、增加或者减少注册资本的决议，以及公司合并、分立、解散或者变更公司形式的决议，必须经出席会议的股东所持表决权的三分之二以上通过。股东可以亲自出席股东大会，也可以委托代理人代为出席和表决，委托代理他人出席会议的，应出示本人有效身份证件、股东授权委托书。股东大会对审议表决事项，采用举手表决或记名投票表决方式。采取记名投票表决投票时，应当至少有两名股东代表和一名监事代表参加清点，并当场公布表决结果。</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2022年6月18日，公司在会议通知的时间现场召开了2021年度股东大会，参与本次股东大会会议的股东和股东代理人共39名，共持有公司38,475.07万股股份，占公司股份总数的75.42%。本次股东大会按照会议通知的要求，采取投票表决审议通过了《九江农村商业银行股份有限公司2022年定向募股实施方案》。该议案不涉及回避表决，表决结果为：赞成38,475.07万股，占本次会议有效表决股份总额100%；反对0股，占本次会议有效表决股份总额0%；弃权0股，占本次会议有效表决股份总额0%。上述议案已经出席会议的股东所持表决权的三分之二以上通过，符合《公司章程》《九江农村商业银行股份有限公司股东大会议事规则》的相关规定。因此，本次股东大会的表决程序符合《公司法》等法律、法规、规范性文件及《公司章程》的有关规定。</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同日，江西惟微律师事务所出具了《九江农村商业银行股份有限公司2021年度股东大会法律意见书》确认本次股东大会的召集、召开程序、出席会议人员的资格、股东大会召集人资格及本次股东大会的表决程序均符合《公司法》等法律法规及公司《章程》的规定，本次股东大会形成的决议合法、有效。</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综上，公司股东大会的通知内容已包含本次发行事项，通知时间、方式、具体内容符合《公司法》等法律法规及《公司章程》《九江农村商业银行股份有限公司股东大会议事规则》的相关规定。本次股东大会的通知、召集、召开和审议程序符合《公司法》等法律法规和《公司章程》《九江农村商业银行股份有限公司股东大会议事规则》的有关规定，会议合法、有效，本次股东大会形成的决议合法、有效。</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b w:val="0"/>
          <w:bCs w:val="0"/>
          <w:color w:val="auto"/>
          <w:sz w:val="30"/>
          <w:szCs w:val="30"/>
          <w:highlight w:val="none"/>
          <w:lang w:eastAsia="zh-CN"/>
        </w:rPr>
      </w:pPr>
      <w:r>
        <w:rPr>
          <w:rFonts w:hint="default" w:ascii="Times New Roman" w:hAnsi="Times New Roman" w:eastAsia="仿宋_GB2312" w:cs="Times New Roman"/>
          <w:b w:val="0"/>
          <w:bCs w:val="0"/>
          <w:color w:val="auto"/>
          <w:sz w:val="30"/>
          <w:szCs w:val="30"/>
          <w:highlight w:val="none"/>
          <w:lang w:eastAsia="zh-CN"/>
        </w:rPr>
        <w:t>2.监事会是否根据《证券法》有关规定对董事会编制的证券发行文件进行审核并提出书面审核意见</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2022年5月28日，公司第三届监事会第二次会议审议通过了《九江农村商业银行股份有限公司2022年度定向募股方案》，与会监事听取了方案报告并发表了意见。</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2022年5月28日，公司第三届监事会第二次会议审议通过了《九江农村商业银行股份有限公司2022年定向募股实施方案》，在董事会编制本次发行的文件时，公司监事会同步进行了审核。2022年6月2日，公司监事会对董事会编制的股票发行文件进行审核后，结合公司实际情况出具《监事会意见书》明确载明“本行监事对董事会的股票发行文件进行审核后，结合公司实际情况，确认公司符合发行条件。本行定向募股说明书符合《公司法》《证券法》《商业银行股权管理暂行办法》《银行保险机构关联交易管理办法》等有关法律法规和规范性文件的规定。公司已设立募集资金专用账户，将严格按照募集资金管理制度的规定存放、并使用管理本次发行的募集资金。公司本次发行不会对公司的股权机构、法人治理结构和主营业务产生重大影响。本次发行的股票发行文件的编制、审议程序和内容符合法律、法规、中国证券监督管理委员会的规定和《公司章程》，能够真实、准确、完整地反映公司实际情况，不存在虚假记载、误导性陈述或重大遗漏，不存在损害公司以及公司股东利益的情形。</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同时，公司全体监事签署了《监事会意见书》，对董事会编制的本次发行文件进行审核并签署书面确认意见。</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b w:val="0"/>
          <w:bCs w:val="0"/>
          <w:color w:val="auto"/>
          <w:sz w:val="30"/>
          <w:szCs w:val="30"/>
          <w:highlight w:val="none"/>
          <w:lang w:eastAsia="zh-CN"/>
        </w:rPr>
      </w:pPr>
      <w:r>
        <w:rPr>
          <w:rFonts w:hint="default" w:ascii="Times New Roman" w:hAnsi="Times New Roman" w:eastAsia="仿宋_GB2312" w:cs="Times New Roman"/>
          <w:b w:val="0"/>
          <w:bCs w:val="0"/>
          <w:color w:val="auto"/>
          <w:sz w:val="30"/>
          <w:szCs w:val="30"/>
          <w:highlight w:val="none"/>
          <w:lang w:eastAsia="zh-CN"/>
        </w:rPr>
        <w:t>3.本次股东大会是否根据《非上市公众公司监督管理办法》有关规定，对决议有效期、授权董事会办理本次发行具体事宜、按照中国证监会相关规定修改公司章程等事项作出决议</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2022年6月18日，公司召开2021年度股东大会，审议通过了《九江农村商业银行股份有限公司2022年定向募股实施方案》《关于修订九江农村商业银行股份有限公司章程的议案》等议案。其中，经股东大会审议通过的《九江农村商业银行股份有限公司2022年定向募股实施方案》中十、本次定向发行股份决议的有效期：本次定向发行股份决议的有效期自本行股东大会审议通过本次发行议案之日起十二个月内有效。若国家法律、法规对定向发行股份有新的规定，本行将按新的规定对本次发行进行调整。十一、授权董事会办理：为使本次定向发行顺利进行，现授权公司董事会全权办理公司定向募股之相关事宜。经审理通过的《关于修订九江农村商业银行股份有限公司章程的议案》载明本次定向募股完成后，按照中国证监会的相关规定修改公司章程。</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综上，本次股东大会已根据《非上市公众公司监督管理办法》有关规定，对决议有效期、授权董事会办理本次发行具体事宜、按照中国证监会相关规定修改公司章程等事项作出决议。</w:t>
      </w:r>
    </w:p>
    <w:p>
      <w:pPr>
        <w:pageBreakBefore w:val="0"/>
        <w:numPr>
          <w:ilvl w:val="0"/>
          <w:numId w:val="0"/>
        </w:numPr>
        <w:tabs>
          <w:tab w:val="left" w:pos="312"/>
        </w:tabs>
        <w:kinsoku/>
        <w:wordWrap/>
        <w:overflowPunct/>
        <w:topLinePunct w:val="0"/>
        <w:autoSpaceDE/>
        <w:autoSpaceDN/>
        <w:bidi w:val="0"/>
        <w:spacing w:line="240" w:lineRule="auto"/>
        <w:ind w:left="0" w:leftChars="0" w:firstLine="600" w:firstLineChars="200"/>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律师</w:t>
      </w:r>
      <w:r>
        <w:rPr>
          <w:rFonts w:hint="default" w:eastAsia="仿宋_GB2312" w:cs="Times New Roman"/>
          <w:color w:val="auto"/>
          <w:sz w:val="30"/>
          <w:szCs w:val="30"/>
          <w:highlight w:val="none"/>
          <w:lang w:eastAsia="zh-CN"/>
        </w:rPr>
        <w:t>已针对上述事项进行核查并发表明确意见</w:t>
      </w:r>
      <w:r>
        <w:rPr>
          <w:rFonts w:hint="default" w:ascii="Times New Roman" w:hAnsi="Times New Roman" w:eastAsia="仿宋_GB2312" w:cs="Times New Roman"/>
          <w:color w:val="auto"/>
          <w:sz w:val="30"/>
          <w:szCs w:val="30"/>
          <w:highlight w:val="none"/>
          <w:lang w:eastAsia="zh-CN"/>
        </w:rPr>
        <w:t>。</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602" w:firstLineChars="200"/>
        <w:jc w:val="both"/>
        <w:textAlignment w:val="auto"/>
        <w:outlineLvl w:val="1"/>
        <w:rPr>
          <w:rFonts w:hint="default" w:ascii="楷体_GB2312" w:hAnsi="楷体_GB2312" w:eastAsia="楷体_GB2312" w:cs="楷体_GB2312"/>
          <w:b/>
          <w:bCs/>
          <w:color w:val="auto"/>
          <w:sz w:val="30"/>
          <w:lang w:eastAsia="zh-CN"/>
        </w:rPr>
      </w:pPr>
      <w:r>
        <w:rPr>
          <w:rFonts w:hint="default" w:ascii="楷体_GB2312" w:hAnsi="楷体_GB2312" w:eastAsia="楷体_GB2312" w:cs="楷体_GB2312"/>
          <w:b/>
          <w:bCs/>
          <w:color w:val="auto"/>
          <w:sz w:val="30"/>
          <w:lang w:eastAsia="zh-CN"/>
        </w:rPr>
        <w:t>（四）关于信息披露制度</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textAlignment w:val="auto"/>
        <w:outlineLvl w:val="9"/>
        <w:rPr>
          <w:rFonts w:hint="default" w:ascii="Times New Roman" w:hAnsi="Times New Roman" w:eastAsia="仿宋_GB2312" w:cs="Times New Roman"/>
          <w:b w:val="0"/>
          <w:bCs w:val="0"/>
          <w:color w:val="auto"/>
          <w:sz w:val="30"/>
          <w:szCs w:val="30"/>
          <w:lang w:val="en-US" w:eastAsia="zh-CN"/>
        </w:rPr>
      </w:pPr>
      <w:r>
        <w:rPr>
          <w:rFonts w:hint="default" w:ascii="Times New Roman" w:hAnsi="Times New Roman" w:eastAsia="仿宋_GB2312" w:cs="Times New Roman"/>
          <w:b w:val="0"/>
          <w:bCs w:val="0"/>
          <w:color w:val="auto"/>
          <w:sz w:val="30"/>
          <w:szCs w:val="30"/>
          <w:lang w:val="en-US" w:eastAsia="zh-CN"/>
        </w:rPr>
        <w:t>请申请人补充披露是否已根据《非上市公众公司监督管理办法》《非上市公众公司监管指引第1号——信息披露》等有关要求，按照规定程序选定信息披露平台，是否指定具有相关专业知识的人员负责信息披露事务，保障规范履行信息披露义务、股东能够及时便捷获取信息。请律师核查并发表明确意见。</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textAlignment w:val="auto"/>
        <w:outlineLvl w:val="9"/>
        <w:rPr>
          <w:rFonts w:hint="default" w:ascii="Times New Roman" w:hAnsi="Times New Roman" w:eastAsia="仿宋_GB2312" w:cs="Times New Roman"/>
          <w:b w:val="0"/>
          <w:bCs w:val="0"/>
          <w:color w:val="auto"/>
          <w:sz w:val="30"/>
          <w:szCs w:val="30"/>
          <w:lang w:eastAsia="zh-CN"/>
        </w:rPr>
      </w:pPr>
      <w:r>
        <w:rPr>
          <w:rFonts w:hint="default" w:ascii="Times New Roman" w:hAnsi="Times New Roman" w:eastAsia="仿宋_GB2312" w:cs="Times New Roman"/>
          <w:b w:val="0"/>
          <w:bCs w:val="0"/>
          <w:color w:val="auto"/>
          <w:sz w:val="30"/>
          <w:szCs w:val="30"/>
          <w:lang w:eastAsia="zh-CN"/>
        </w:rPr>
        <w:t>申请人回复称：</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textAlignment w:val="auto"/>
        <w:outlineLvl w:val="9"/>
        <w:rPr>
          <w:rFonts w:hint="default" w:ascii="Times New Roman" w:hAnsi="Times New Roman" w:eastAsia="仿宋_GB2312" w:cs="Times New Roman"/>
          <w:b w:val="0"/>
          <w:bCs w:val="0"/>
          <w:color w:val="auto"/>
          <w:sz w:val="30"/>
          <w:szCs w:val="30"/>
          <w:lang w:val="en-US" w:eastAsia="zh-CN"/>
        </w:rPr>
      </w:pPr>
      <w:r>
        <w:rPr>
          <w:rFonts w:hint="eastAsia" w:ascii="Times New Roman" w:hAnsi="Times New Roman" w:eastAsia="仿宋_GB2312" w:cs="Times New Roman"/>
          <w:b w:val="0"/>
          <w:bCs w:val="0"/>
          <w:color w:val="auto"/>
          <w:sz w:val="30"/>
          <w:szCs w:val="30"/>
          <w:lang w:val="en-US" w:eastAsia="zh-CN"/>
        </w:rPr>
        <w:t>公司股东大会第一次会议于2012年2月22日召开，通过了《九江农村商业银行股份有限公司章程》，《公司章程》</w:t>
      </w:r>
      <w:r>
        <w:rPr>
          <w:rFonts w:hint="default" w:eastAsia="仿宋_GB2312" w:cs="Times New Roman"/>
          <w:b w:val="0"/>
          <w:bCs w:val="0"/>
          <w:color w:val="auto"/>
          <w:sz w:val="30"/>
          <w:szCs w:val="30"/>
          <w:lang w:eastAsia="zh-CN"/>
        </w:rPr>
        <w:t>中</w:t>
      </w:r>
      <w:r>
        <w:rPr>
          <w:rFonts w:hint="eastAsia" w:ascii="Times New Roman" w:hAnsi="Times New Roman" w:eastAsia="仿宋_GB2312" w:cs="Times New Roman"/>
          <w:b w:val="0"/>
          <w:bCs w:val="0"/>
          <w:color w:val="auto"/>
          <w:sz w:val="30"/>
          <w:szCs w:val="30"/>
          <w:lang w:val="en-US" w:eastAsia="zh-CN"/>
        </w:rPr>
        <w:t>规定董事会负责</w:t>
      </w:r>
      <w:r>
        <w:rPr>
          <w:rFonts w:hint="default" w:eastAsia="仿宋_GB2312" w:cs="Times New Roman"/>
          <w:b w:val="0"/>
          <w:bCs w:val="0"/>
          <w:color w:val="auto"/>
          <w:sz w:val="30"/>
          <w:szCs w:val="30"/>
          <w:lang w:eastAsia="zh-CN"/>
        </w:rPr>
        <w:t>公司</w:t>
      </w:r>
      <w:r>
        <w:rPr>
          <w:rFonts w:hint="eastAsia" w:ascii="Times New Roman" w:hAnsi="Times New Roman" w:eastAsia="仿宋_GB2312" w:cs="Times New Roman"/>
          <w:b w:val="0"/>
          <w:bCs w:val="0"/>
          <w:color w:val="auto"/>
          <w:sz w:val="30"/>
          <w:szCs w:val="30"/>
          <w:lang w:val="en-US" w:eastAsia="zh-CN"/>
        </w:rPr>
        <w:t>信息披露。公司第一届董事会第一次会议于2012年2月27日召开，通过了《九江农商银行信息披露管理办法》。根据《九江农商银行信息披露管理办法》第九条规定，董事会秘书为</w:t>
      </w:r>
      <w:r>
        <w:rPr>
          <w:rFonts w:hint="default" w:eastAsia="仿宋_GB2312" w:cs="Times New Roman"/>
          <w:b w:val="0"/>
          <w:bCs w:val="0"/>
          <w:color w:val="auto"/>
          <w:sz w:val="30"/>
          <w:szCs w:val="30"/>
          <w:lang w:eastAsia="zh-CN"/>
        </w:rPr>
        <w:t>公司</w:t>
      </w:r>
      <w:r>
        <w:rPr>
          <w:rFonts w:hint="eastAsia" w:ascii="Times New Roman" w:hAnsi="Times New Roman" w:eastAsia="仿宋_GB2312" w:cs="Times New Roman"/>
          <w:b w:val="0"/>
          <w:bCs w:val="0"/>
          <w:color w:val="auto"/>
          <w:sz w:val="30"/>
          <w:szCs w:val="30"/>
          <w:lang w:val="en-US" w:eastAsia="zh-CN"/>
        </w:rPr>
        <w:t>信息披露工作的责任人，协调和组织本行信息披露工作的具体事宜。董事会办公室为</w:t>
      </w:r>
      <w:r>
        <w:rPr>
          <w:rFonts w:hint="default" w:eastAsia="仿宋_GB2312" w:cs="Times New Roman"/>
          <w:b w:val="0"/>
          <w:bCs w:val="0"/>
          <w:color w:val="auto"/>
          <w:sz w:val="30"/>
          <w:szCs w:val="30"/>
          <w:lang w:eastAsia="zh-CN"/>
        </w:rPr>
        <w:t>公司</w:t>
      </w:r>
      <w:r>
        <w:rPr>
          <w:rFonts w:hint="eastAsia" w:ascii="Times New Roman" w:hAnsi="Times New Roman" w:eastAsia="仿宋_GB2312" w:cs="Times New Roman"/>
          <w:b w:val="0"/>
          <w:bCs w:val="0"/>
          <w:color w:val="auto"/>
          <w:sz w:val="30"/>
          <w:szCs w:val="30"/>
          <w:lang w:val="en-US" w:eastAsia="zh-CN"/>
        </w:rPr>
        <w:t>信息披露事务管理部门，协助董事会秘书做好信息披露工作。</w:t>
      </w:r>
      <w:r>
        <w:rPr>
          <w:rFonts w:hint="default" w:eastAsia="仿宋_GB2312" w:cs="Times New Roman"/>
          <w:b w:val="0"/>
          <w:bCs w:val="0"/>
          <w:color w:val="auto"/>
          <w:sz w:val="30"/>
          <w:szCs w:val="30"/>
          <w:lang w:eastAsia="zh-CN"/>
        </w:rPr>
        <w:t>公司</w:t>
      </w:r>
      <w:r>
        <w:rPr>
          <w:rFonts w:hint="eastAsia" w:ascii="Times New Roman" w:hAnsi="Times New Roman" w:eastAsia="仿宋_GB2312" w:cs="Times New Roman"/>
          <w:b w:val="0"/>
          <w:bCs w:val="0"/>
          <w:color w:val="auto"/>
          <w:sz w:val="30"/>
          <w:szCs w:val="30"/>
          <w:lang w:val="en-US" w:eastAsia="zh-CN"/>
        </w:rPr>
        <w:t>应披露的信息可以公布在本行网站和其他公共媒体上。公司选定公司信息披露平台为公司网站http://www.jxnxs.com/fznsyh/index.html，并指定董事会办公室中熟悉监管规定、公司内部治理制度等专业人员负责信息披露事务，保障规范履行信息披露义务、股东能够及时便捷获取公司信息。报告期内，公司根据相关要求，严格履行信息披露义务。公司经营及财务信息披露于公司网站。后续公司仍将按照相关要求，持续履行信息披露义务。</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textAlignment w:val="auto"/>
        <w:outlineLvl w:val="9"/>
        <w:rPr>
          <w:rFonts w:hint="default" w:ascii="Times New Roman" w:hAnsi="Times New Roman" w:eastAsia="仿宋_GB2312" w:cs="Times New Roman"/>
          <w:b w:val="0"/>
          <w:bCs w:val="0"/>
          <w:color w:val="auto"/>
          <w:sz w:val="30"/>
          <w:szCs w:val="30"/>
          <w:lang w:eastAsia="zh-CN"/>
        </w:rPr>
      </w:pPr>
      <w:r>
        <w:rPr>
          <w:rFonts w:hint="default" w:ascii="Times New Roman" w:hAnsi="Times New Roman" w:eastAsia="仿宋_GB2312" w:cs="Times New Roman"/>
          <w:b w:val="0"/>
          <w:bCs w:val="0"/>
          <w:color w:val="auto"/>
          <w:sz w:val="30"/>
          <w:szCs w:val="30"/>
          <w:lang w:eastAsia="zh-CN"/>
        </w:rPr>
        <w:t>公司已在定向发行说明书中补充披露上述问题。</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textAlignment w:val="auto"/>
        <w:outlineLvl w:val="9"/>
        <w:rPr>
          <w:rFonts w:hint="eastAsia" w:ascii="Times New Roman" w:hAnsi="Times New Roman" w:eastAsia="仿宋_GB2312" w:cs="Times New Roman"/>
          <w:b w:val="0"/>
          <w:bCs w:val="0"/>
          <w:color w:val="auto"/>
          <w:sz w:val="30"/>
          <w:szCs w:val="30"/>
          <w:lang w:val="en-US" w:eastAsia="zh-CN"/>
        </w:rPr>
      </w:pPr>
      <w:r>
        <w:rPr>
          <w:rFonts w:hint="eastAsia" w:ascii="Times New Roman" w:hAnsi="Times New Roman" w:eastAsia="仿宋_GB2312" w:cs="Times New Roman"/>
          <w:b w:val="0"/>
          <w:bCs w:val="0"/>
          <w:color w:val="auto"/>
          <w:sz w:val="30"/>
          <w:szCs w:val="30"/>
          <w:lang w:val="en-US" w:eastAsia="zh-CN"/>
        </w:rPr>
        <w:t>截至反馈日，公司不存在因违反信息披露方面的规定而受到中国银保监会采取行政监管措施或行政处罚的情形。</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left="0" w:leftChars="0" w:right="0" w:rightChars="0" w:firstLine="600" w:firstLineChars="200"/>
        <w:textAlignment w:val="auto"/>
        <w:outlineLvl w:val="9"/>
        <w:rPr>
          <w:rFonts w:hint="default"/>
          <w:lang w:eastAsia="zh-CN"/>
        </w:rPr>
      </w:pPr>
      <w:r>
        <w:rPr>
          <w:rFonts w:hint="default" w:ascii="Times New Roman" w:hAnsi="Times New Roman" w:eastAsia="仿宋_GB2312" w:cs="Times New Roman"/>
          <w:b w:val="0"/>
          <w:bCs w:val="0"/>
          <w:color w:val="auto"/>
          <w:sz w:val="30"/>
          <w:szCs w:val="30"/>
          <w:lang w:val="en-US" w:eastAsia="zh-CN"/>
        </w:rPr>
        <w:t>律师</w:t>
      </w:r>
      <w:r>
        <w:rPr>
          <w:rFonts w:hint="default" w:ascii="Times New Roman" w:hAnsi="Times New Roman" w:eastAsia="仿宋_GB2312" w:cs="Times New Roman"/>
          <w:b w:val="0"/>
          <w:bCs w:val="0"/>
          <w:color w:val="auto"/>
          <w:sz w:val="30"/>
          <w:szCs w:val="30"/>
          <w:lang w:eastAsia="zh-CN"/>
        </w:rPr>
        <w:t>已</w:t>
      </w:r>
      <w:r>
        <w:rPr>
          <w:rFonts w:hint="default" w:eastAsia="仿宋_GB2312" w:cs="Times New Roman"/>
          <w:b w:val="0"/>
          <w:bCs w:val="0"/>
          <w:color w:val="auto"/>
          <w:sz w:val="30"/>
          <w:szCs w:val="30"/>
          <w:lang w:eastAsia="zh-CN"/>
        </w:rPr>
        <w:t>针对上述事项进行核查并发表明确意见。</w:t>
      </w:r>
    </w:p>
    <w:p>
      <w:pPr>
        <w:keepNext w:val="0"/>
        <w:keepLines w:val="0"/>
        <w:pageBreakBefore w:val="0"/>
        <w:numPr>
          <w:ilvl w:val="0"/>
          <w:numId w:val="0"/>
        </w:numPr>
        <w:shd w:val="clear" w:color="auto" w:fill="auto"/>
        <w:kinsoku/>
        <w:wordWrap/>
        <w:overflowPunct/>
        <w:topLinePunct w:val="0"/>
        <w:autoSpaceDE/>
        <w:autoSpaceDN/>
        <w:bidi w:val="0"/>
        <w:snapToGrid/>
        <w:spacing w:beforeAutospacing="0" w:after="0" w:afterAutospacing="0" w:line="240" w:lineRule="auto"/>
        <w:ind w:left="0" w:leftChars="0" w:rightChars="0" w:firstLine="600" w:firstLineChars="200"/>
        <w:jc w:val="both"/>
        <w:textAlignment w:val="auto"/>
        <w:outlineLvl w:val="0"/>
        <w:rPr>
          <w:rFonts w:hint="eastAsia" w:ascii="黑体" w:hAnsi="黑体" w:eastAsia="黑体" w:cs="黑体"/>
          <w:b w:val="0"/>
          <w:bCs/>
          <w:color w:val="auto"/>
          <w:sz w:val="30"/>
          <w:szCs w:val="30"/>
          <w:highlight w:val="none"/>
          <w:lang w:val="en-US" w:eastAsia="zh-CN"/>
        </w:rPr>
      </w:pPr>
      <w:r>
        <w:rPr>
          <w:rFonts w:hint="default" w:ascii="黑体" w:hAnsi="黑体" w:eastAsia="黑体" w:cs="黑体"/>
          <w:b w:val="0"/>
          <w:bCs/>
          <w:color w:val="auto"/>
          <w:sz w:val="30"/>
          <w:szCs w:val="30"/>
          <w:highlight w:val="none"/>
          <w:lang w:eastAsia="zh-CN"/>
        </w:rPr>
        <w:t>三</w:t>
      </w:r>
      <w:r>
        <w:rPr>
          <w:rFonts w:hint="eastAsia" w:ascii="黑体" w:hAnsi="黑体" w:eastAsia="黑体" w:cs="黑体"/>
          <w:b w:val="0"/>
          <w:bCs/>
          <w:color w:val="auto"/>
          <w:sz w:val="30"/>
          <w:szCs w:val="30"/>
          <w:highlight w:val="none"/>
          <w:lang w:val="en-US" w:eastAsia="zh-CN"/>
        </w:rPr>
        <w:t>、合规性审核意见</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0" w:line="240" w:lineRule="auto"/>
        <w:ind w:right="0" w:rightChars="0" w:firstLine="600" w:firstLineChars="200"/>
        <w:jc w:val="both"/>
        <w:textAlignment w:val="auto"/>
        <w:outlineLvl w:val="9"/>
        <w:rPr>
          <w:rFonts w:hint="default" w:ascii="Times New Roman" w:hAnsi="Times New Roman" w:cs="Times New Roman"/>
        </w:rPr>
      </w:pPr>
      <w:r>
        <w:rPr>
          <w:rFonts w:hint="default" w:ascii="Times New Roman" w:hAnsi="Times New Roman" w:eastAsia="仿宋_GB2312" w:cs="Times New Roman"/>
          <w:snapToGrid/>
          <w:color w:val="auto"/>
          <w:sz w:val="30"/>
          <w:lang w:eastAsia="zh-CN"/>
        </w:rPr>
        <w:t>我会认为，申请人提交的申请材料和信息披露基本符合《公司法》《证券法》《公众公司办法》</w:t>
      </w:r>
      <w:r>
        <w:rPr>
          <w:rFonts w:hint="default" w:ascii="Times New Roman" w:hAnsi="Times New Roman" w:eastAsia="仿宋_GB2312" w:cs="Times New Roman"/>
          <w:color w:val="auto"/>
          <w:sz w:val="30"/>
          <w:lang w:eastAsia="zh-CN"/>
        </w:rPr>
        <w:t>《非上市公众公司信息披露内容与格式准则第</w:t>
      </w:r>
      <w:r>
        <w:rPr>
          <w:rFonts w:hint="default" w:ascii="Times New Roman" w:hAnsi="Times New Roman" w:eastAsia="仿宋_GB2312" w:cs="Times New Roman"/>
          <w:color w:val="auto"/>
          <w:sz w:val="30"/>
          <w:lang w:val="en-US" w:eastAsia="zh-CN"/>
        </w:rPr>
        <w:t>3号——定向发行说明书和发行情况报告书</w:t>
      </w:r>
      <w:r>
        <w:rPr>
          <w:rFonts w:hint="default" w:ascii="Times New Roman" w:hAnsi="Times New Roman" w:eastAsia="仿宋_GB2312" w:cs="Times New Roman"/>
          <w:color w:val="auto"/>
          <w:sz w:val="30"/>
          <w:lang w:eastAsia="zh-CN"/>
        </w:rPr>
        <w:t>》《非上市公众公司信息披露内容与格式准则第</w:t>
      </w:r>
      <w:r>
        <w:rPr>
          <w:rFonts w:hint="default" w:ascii="Times New Roman" w:hAnsi="Times New Roman" w:eastAsia="仿宋_GB2312" w:cs="Times New Roman"/>
          <w:color w:val="auto"/>
          <w:sz w:val="30"/>
          <w:lang w:val="en-US" w:eastAsia="zh-CN"/>
        </w:rPr>
        <w:t>4号——定向发行申请文件</w:t>
      </w:r>
      <w:r>
        <w:rPr>
          <w:rFonts w:hint="default" w:ascii="Times New Roman" w:hAnsi="Times New Roman" w:eastAsia="仿宋_GB2312" w:cs="Times New Roman"/>
          <w:color w:val="auto"/>
          <w:sz w:val="30"/>
          <w:lang w:eastAsia="zh-CN"/>
        </w:rPr>
        <w:t>》和《关于股东人数超过200人的未上市商业银行增发股份有关问题的通知》（证监发</w:t>
      </w:r>
      <w:r>
        <w:rPr>
          <w:rFonts w:hint="default" w:eastAsia="仿宋_GB2312" w:cs="Times New Roman"/>
          <w:color w:val="auto"/>
          <w:sz w:val="30"/>
          <w:lang w:eastAsia="zh-CN"/>
        </w:rPr>
        <w:t>〔2018〕</w:t>
      </w:r>
      <w:bookmarkStart w:id="0" w:name="_GoBack"/>
      <w:bookmarkEnd w:id="0"/>
      <w:r>
        <w:rPr>
          <w:rFonts w:hint="default" w:ascii="Times New Roman" w:hAnsi="Times New Roman" w:eastAsia="仿宋_GB2312" w:cs="Times New Roman"/>
          <w:color w:val="auto"/>
          <w:sz w:val="30"/>
          <w:lang w:eastAsia="zh-CN"/>
        </w:rPr>
        <w:t>24号）</w:t>
      </w:r>
      <w:r>
        <w:rPr>
          <w:rFonts w:hint="default" w:ascii="Times New Roman" w:hAnsi="Times New Roman" w:eastAsia="仿宋_GB2312" w:cs="Times New Roman"/>
          <w:snapToGrid/>
          <w:color w:val="auto"/>
          <w:sz w:val="30"/>
          <w:lang w:eastAsia="zh-CN"/>
        </w:rPr>
        <w:t>等法律法规的规定，相关中介机构已就本次申请的</w:t>
      </w:r>
      <w:r>
        <w:rPr>
          <w:rFonts w:hint="default" w:ascii="Times New Roman" w:hAnsi="Times New Roman" w:eastAsia="仿宋_GB2312" w:cs="Times New Roman"/>
          <w:b w:val="0"/>
          <w:bCs w:val="0"/>
          <w:snapToGrid/>
          <w:color w:val="auto"/>
          <w:sz w:val="30"/>
          <w:lang w:eastAsia="zh-CN"/>
        </w:rPr>
        <w:t>相关问题依法发</w:t>
      </w:r>
      <w:r>
        <w:rPr>
          <w:rFonts w:hint="default" w:ascii="Times New Roman" w:hAnsi="Times New Roman" w:eastAsia="仿宋_GB2312" w:cs="Times New Roman"/>
          <w:snapToGrid/>
          <w:color w:val="auto"/>
          <w:sz w:val="30"/>
          <w:lang w:eastAsia="zh-CN"/>
        </w:rPr>
        <w:t>表了明确的意见。据此，我会同意</w:t>
      </w:r>
      <w:r>
        <w:rPr>
          <w:rFonts w:hint="default" w:eastAsia="仿宋_GB2312" w:cs="Times New Roman"/>
          <w:snapToGrid/>
          <w:color w:val="auto"/>
          <w:sz w:val="30"/>
          <w:lang w:eastAsia="zh-CN"/>
        </w:rPr>
        <w:t>九江</w:t>
      </w:r>
      <w:r>
        <w:rPr>
          <w:rFonts w:hint="eastAsia" w:ascii="Times New Roman" w:hAnsi="Times New Roman" w:eastAsia="仿宋_GB2312" w:cs="Times New Roman"/>
          <w:snapToGrid/>
          <w:color w:val="auto"/>
          <w:sz w:val="30"/>
          <w:lang w:eastAsia="zh-CN"/>
        </w:rPr>
        <w:t>农村商业</w:t>
      </w:r>
      <w:r>
        <w:rPr>
          <w:rFonts w:hint="default" w:ascii="Times New Roman" w:hAnsi="Times New Roman" w:eastAsia="仿宋_GB2312" w:cs="Times New Roman"/>
          <w:snapToGrid/>
          <w:color w:val="auto"/>
          <w:sz w:val="30"/>
          <w:lang w:eastAsia="zh-CN"/>
        </w:rPr>
        <w:t>银行股份有限公司</w:t>
      </w:r>
      <w:r>
        <w:rPr>
          <w:rFonts w:hint="default" w:ascii="Times New Roman" w:hAnsi="Times New Roman" w:eastAsia="仿宋_GB2312" w:cs="Times New Roman"/>
          <w:snapToGrid/>
          <w:color w:val="auto"/>
          <w:sz w:val="30"/>
          <w:lang w:val="en-US" w:eastAsia="zh-CN"/>
        </w:rPr>
        <w:t>向特定对象发行股票</w:t>
      </w:r>
      <w:r>
        <w:rPr>
          <w:rFonts w:hint="default" w:ascii="Times New Roman" w:hAnsi="Times New Roman" w:eastAsia="仿宋_GB2312" w:cs="Times New Roman"/>
          <w:snapToGrid/>
          <w:color w:val="auto"/>
          <w:sz w:val="30"/>
          <w:lang w:eastAsia="zh-CN"/>
        </w:rPr>
        <w:t>的申请。</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
    <w:panose1 w:val="02010609060101010101"/>
    <w:charset w:val="86"/>
    <w:family w:val="modern"/>
    <w:pitch w:val="default"/>
    <w:sig w:usb0="800002BF" w:usb1="38CF7CFA" w:usb2="00000016" w:usb3="00000000" w:csb0="00040001" w:csb1="00000000"/>
  </w:font>
  <w:font w:name="PMingLiU">
    <w:altName w:val="文泉驿微米黑"/>
    <w:panose1 w:val="02010601000101010101"/>
    <w:charset w:val="00"/>
    <w:family w:val="auto"/>
    <w:pitch w:val="default"/>
    <w:sig w:usb0="00000000" w:usb1="00000000" w:usb2="00000010" w:usb3="00000000" w:csb0="0010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Times New Roman" w:hAnsi="Times New Roman" w:eastAsia="黑体"/>
        <w:sz w:val="21"/>
        <w:szCs w:val="21"/>
      </w:rPr>
    </w:pPr>
    <w:r>
      <w:rPr>
        <w:sz w:val="21"/>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jc w:val="center"/>
                          </w:pPr>
                          <w:r>
                            <w:rPr>
                              <w:rFonts w:hint="eastAsia" w:ascii="Times New Roman" w:hAnsi="Times New Roman" w:eastAsia="黑体"/>
                              <w:sz w:val="21"/>
                              <w:szCs w:val="21"/>
                              <w:lang w:val="en-US" w:eastAsia="zh-CN"/>
                            </w:rPr>
                            <w:t>3</w:t>
                          </w:r>
                          <w:r>
                            <w:rPr>
                              <w:rFonts w:hint="eastAsia" w:ascii="Times New Roman" w:hAnsi="Times New Roman" w:eastAsia="黑体"/>
                              <w:sz w:val="21"/>
                              <w:szCs w:val="21"/>
                            </w:rPr>
                            <w:t>-</w:t>
                          </w:r>
                          <w:r>
                            <w:rPr>
                              <w:rFonts w:ascii="Times New Roman" w:hAnsi="Times New Roman" w:eastAsia="黑体"/>
                              <w:sz w:val="21"/>
                              <w:szCs w:val="21"/>
                            </w:rPr>
                            <w:fldChar w:fldCharType="begin"/>
                          </w:r>
                          <w:r>
                            <w:rPr>
                              <w:rFonts w:ascii="Times New Roman" w:hAnsi="Times New Roman" w:eastAsia="黑体"/>
                              <w:sz w:val="21"/>
                              <w:szCs w:val="21"/>
                            </w:rPr>
                            <w:instrText xml:space="preserve">PAGE   \* MERGEFORMAT</w:instrText>
                          </w:r>
                          <w:r>
                            <w:rPr>
                              <w:rFonts w:ascii="Times New Roman" w:hAnsi="Times New Roman" w:eastAsia="黑体"/>
                              <w:sz w:val="21"/>
                              <w:szCs w:val="21"/>
                            </w:rPr>
                            <w:fldChar w:fldCharType="separate"/>
                          </w:r>
                          <w:r>
                            <w:rPr>
                              <w:rFonts w:ascii="Times New Roman" w:hAnsi="Times New Roman" w:eastAsia="黑体"/>
                              <w:sz w:val="21"/>
                              <w:szCs w:val="21"/>
                              <w:lang w:val="zh-CN"/>
                            </w:rPr>
                            <w:t>9</w:t>
                          </w:r>
                          <w:r>
                            <w:rPr>
                              <w:rFonts w:ascii="Times New Roman" w:hAnsi="Times New Roman" w:eastAsia="黑体"/>
                              <w:sz w:val="21"/>
                              <w:szCs w:val="21"/>
                            </w:rPr>
                            <w:fldChar w:fldCharType="end"/>
                          </w:r>
                        </w:p>
                      </w:txbxContent>
                    </wps:txbx>
                    <wps:bodyPr vert="horz" wrap="none" lIns="0" tIns="0" rIns="0" bIns="0" upright="false">
                      <a:spAutoFit/>
                    </wps:bodyPr>
                  </wps:wsp>
                </a:graphicData>
              </a:graphic>
            </wp:anchor>
          </w:drawing>
        </mc:Choice>
        <mc:Fallback>
          <w:pict>
            <v:shape id="文本框1"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M6pebnPAAAABQEAAA8AAAAAAAAAAQAgAAAAOAAAAGRycy9k&#10;b3ducmV2LnhtbFBLAQIUABQAAAAIAIdO4kBF1no9vAEAAF0DAAAOAAAAAAAAAAEAIAAAADQBAABk&#10;cnMvZTJvRG9jLnhtbFBLBQYAAAAABgAGAFkBAABiBQAAAAA=&#10;">
              <v:fill on="f" focussize="0,0"/>
              <v:stroke on="f"/>
              <v:imagedata o:title=""/>
              <o:lock v:ext="edit" aspectratio="f"/>
              <v:textbox inset="0mm,0mm,0mm,0mm" style="mso-fit-shape-to-text:t;">
                <w:txbxContent>
                  <w:p>
                    <w:pPr>
                      <w:pStyle w:val="8"/>
                      <w:jc w:val="center"/>
                    </w:pPr>
                    <w:r>
                      <w:rPr>
                        <w:rFonts w:hint="eastAsia" w:ascii="Times New Roman" w:hAnsi="Times New Roman" w:eastAsia="黑体"/>
                        <w:sz w:val="21"/>
                        <w:szCs w:val="21"/>
                        <w:lang w:val="en-US" w:eastAsia="zh-CN"/>
                      </w:rPr>
                      <w:t>3</w:t>
                    </w:r>
                    <w:r>
                      <w:rPr>
                        <w:rFonts w:hint="eastAsia" w:ascii="Times New Roman" w:hAnsi="Times New Roman" w:eastAsia="黑体"/>
                        <w:sz w:val="21"/>
                        <w:szCs w:val="21"/>
                      </w:rPr>
                      <w:t>-</w:t>
                    </w:r>
                    <w:r>
                      <w:rPr>
                        <w:rFonts w:ascii="Times New Roman" w:hAnsi="Times New Roman" w:eastAsia="黑体"/>
                        <w:sz w:val="21"/>
                        <w:szCs w:val="21"/>
                      </w:rPr>
                      <w:fldChar w:fldCharType="begin"/>
                    </w:r>
                    <w:r>
                      <w:rPr>
                        <w:rFonts w:ascii="Times New Roman" w:hAnsi="Times New Roman" w:eastAsia="黑体"/>
                        <w:sz w:val="21"/>
                        <w:szCs w:val="21"/>
                      </w:rPr>
                      <w:instrText xml:space="preserve">PAGE   \* MERGEFORMAT</w:instrText>
                    </w:r>
                    <w:r>
                      <w:rPr>
                        <w:rFonts w:ascii="Times New Roman" w:hAnsi="Times New Roman" w:eastAsia="黑体"/>
                        <w:sz w:val="21"/>
                        <w:szCs w:val="21"/>
                      </w:rPr>
                      <w:fldChar w:fldCharType="separate"/>
                    </w:r>
                    <w:r>
                      <w:rPr>
                        <w:rFonts w:ascii="Times New Roman" w:hAnsi="Times New Roman" w:eastAsia="黑体"/>
                        <w:sz w:val="21"/>
                        <w:szCs w:val="21"/>
                        <w:lang w:val="zh-CN"/>
                      </w:rPr>
                      <w:t>9</w:t>
                    </w:r>
                    <w:r>
                      <w:rPr>
                        <w:rFonts w:ascii="Times New Roman" w:hAnsi="Times New Roman" w:eastAsia="黑体"/>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true"/>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oa.csrc.gov.cn/resoftCtrl/DownloadController?attachmentId=56104c1a4c004af0ae4f467df1a53d02&amp;fileDirId=defultDirectory"/>
  </w:docVars>
  <w:rsids>
    <w:rsidRoot w:val="00172A27"/>
    <w:rsid w:val="01B5535E"/>
    <w:rsid w:val="046C5632"/>
    <w:rsid w:val="09554BCE"/>
    <w:rsid w:val="0B0D0DC9"/>
    <w:rsid w:val="0B88497C"/>
    <w:rsid w:val="0BE36264"/>
    <w:rsid w:val="0DDB64E1"/>
    <w:rsid w:val="12A607FC"/>
    <w:rsid w:val="146D6B27"/>
    <w:rsid w:val="14BC4085"/>
    <w:rsid w:val="165B60AA"/>
    <w:rsid w:val="187FB78D"/>
    <w:rsid w:val="1C3B3AF3"/>
    <w:rsid w:val="1DFF3C02"/>
    <w:rsid w:val="1F170A15"/>
    <w:rsid w:val="1F312335"/>
    <w:rsid w:val="1F692855"/>
    <w:rsid w:val="1FF76332"/>
    <w:rsid w:val="25EE0BA3"/>
    <w:rsid w:val="2DD455EB"/>
    <w:rsid w:val="304779DE"/>
    <w:rsid w:val="32907B96"/>
    <w:rsid w:val="355565EC"/>
    <w:rsid w:val="35F712E5"/>
    <w:rsid w:val="36265E40"/>
    <w:rsid w:val="397F469C"/>
    <w:rsid w:val="3B4107F5"/>
    <w:rsid w:val="47250657"/>
    <w:rsid w:val="49877221"/>
    <w:rsid w:val="4A7D5E20"/>
    <w:rsid w:val="4C951C17"/>
    <w:rsid w:val="4F65713B"/>
    <w:rsid w:val="4F72738F"/>
    <w:rsid w:val="51F133DF"/>
    <w:rsid w:val="52DB3DB8"/>
    <w:rsid w:val="538E771D"/>
    <w:rsid w:val="54560421"/>
    <w:rsid w:val="56FF8F4A"/>
    <w:rsid w:val="587C37A2"/>
    <w:rsid w:val="59277730"/>
    <w:rsid w:val="5A220852"/>
    <w:rsid w:val="600B773C"/>
    <w:rsid w:val="60971CF4"/>
    <w:rsid w:val="626B53E4"/>
    <w:rsid w:val="65C21CA5"/>
    <w:rsid w:val="67FF9900"/>
    <w:rsid w:val="69195C40"/>
    <w:rsid w:val="6B117367"/>
    <w:rsid w:val="6C7271D0"/>
    <w:rsid w:val="6C946CC4"/>
    <w:rsid w:val="6CDF427F"/>
    <w:rsid w:val="6D0F4235"/>
    <w:rsid w:val="712B236E"/>
    <w:rsid w:val="71B77AF0"/>
    <w:rsid w:val="744A5251"/>
    <w:rsid w:val="7B770F57"/>
    <w:rsid w:val="7BB67C51"/>
    <w:rsid w:val="7BBF3025"/>
    <w:rsid w:val="7DC6E345"/>
    <w:rsid w:val="7DF241FD"/>
    <w:rsid w:val="7DFF48E5"/>
    <w:rsid w:val="7E0D36B4"/>
    <w:rsid w:val="A57FDE3E"/>
    <w:rsid w:val="AFDF5236"/>
    <w:rsid w:val="B7EAB901"/>
    <w:rsid w:val="BD7E3E02"/>
    <w:rsid w:val="C77EFDCB"/>
    <w:rsid w:val="CA5EFC62"/>
    <w:rsid w:val="CAFE7510"/>
    <w:rsid w:val="CFFEF0C2"/>
    <w:rsid w:val="DAFEDAA6"/>
    <w:rsid w:val="E9924C0C"/>
    <w:rsid w:val="EBFF1D28"/>
    <w:rsid w:val="EBFF529D"/>
    <w:rsid w:val="FEC965C3"/>
    <w:rsid w:val="FF2933A6"/>
    <w:rsid w:val="FF330F09"/>
    <w:rsid w:val="FFBE3C58"/>
    <w:rsid w:val="FFFB25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0"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15"/>
    <w:qFormat/>
    <w:uiPriority w:val="9"/>
    <w:pPr>
      <w:keepNext/>
      <w:keepLines/>
      <w:spacing w:before="240" w:beforeLines="0" w:beforeAutospacing="0" w:after="240" w:afterLines="0" w:afterAutospacing="0" w:line="360" w:lineRule="auto"/>
      <w:ind w:firstLine="200" w:firstLineChars="200"/>
      <w:outlineLvl w:val="0"/>
    </w:pPr>
    <w:rPr>
      <w:rFonts w:ascii="Times New Roman" w:hAnsi="Times New Roman" w:eastAsia="黑体"/>
      <w:b/>
      <w:kern w:val="44"/>
      <w:sz w:val="24"/>
    </w:rPr>
  </w:style>
  <w:style w:type="paragraph" w:styleId="5">
    <w:name w:val="heading 2"/>
    <w:basedOn w:val="1"/>
    <w:next w:val="1"/>
    <w:unhideWhenUsed/>
    <w:qFormat/>
    <w:uiPriority w:val="9"/>
    <w:pPr>
      <w:spacing w:line="360" w:lineRule="auto"/>
      <w:jc w:val="left"/>
      <w:outlineLvl w:val="1"/>
    </w:pPr>
    <w:rPr>
      <w:rFonts w:ascii="宋体" w:hAnsi="宋体" w:eastAsia="宋体"/>
      <w:b/>
      <w:sz w:val="24"/>
      <w:szCs w:val="28"/>
    </w:rPr>
  </w:style>
  <w:style w:type="character" w:default="1" w:styleId="13">
    <w:name w:val="Default Paragraph Font"/>
    <w:unhideWhenUsed/>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1"/>
    <w:pPr>
      <w:spacing w:before="166"/>
      <w:ind w:left="124"/>
    </w:pPr>
    <w:rPr>
      <w:rFonts w:ascii="宋体" w:hAnsi="宋体"/>
      <w:sz w:val="30"/>
      <w:szCs w:val="30"/>
    </w:rPr>
  </w:style>
  <w:style w:type="paragraph" w:styleId="3">
    <w:name w:val="Balloon Text"/>
    <w:basedOn w:val="1"/>
    <w:unhideWhenUsed/>
    <w:qFormat/>
    <w:uiPriority w:val="99"/>
    <w:rPr>
      <w:kern w:val="0"/>
      <w:sz w:val="18"/>
      <w:szCs w:val="18"/>
    </w:rPr>
  </w:style>
  <w:style w:type="paragraph" w:styleId="6">
    <w:name w:val="annotation text"/>
    <w:basedOn w:val="1"/>
    <w:unhideWhenUsed/>
    <w:qFormat/>
    <w:uiPriority w:val="99"/>
    <w:pPr>
      <w:jc w:val="left"/>
    </w:pPr>
  </w:style>
  <w:style w:type="paragraph" w:styleId="7">
    <w:name w:val="Plain Text"/>
    <w:basedOn w:val="1"/>
    <w:unhideWhenUsed/>
    <w:qFormat/>
    <w:uiPriority w:val="99"/>
    <w:rPr>
      <w:rFonts w:ascii="宋体" w:hAnsi="Courier New"/>
      <w:kern w:val="0"/>
      <w:sz w:val="20"/>
      <w:szCs w:val="20"/>
    </w:rPr>
  </w:style>
  <w:style w:type="paragraph" w:styleId="8">
    <w:name w:val="footer"/>
    <w:basedOn w:val="1"/>
    <w:unhideWhenUsed/>
    <w:qFormat/>
    <w:uiPriority w:val="0"/>
    <w:pPr>
      <w:tabs>
        <w:tab w:val="center" w:pos="4153"/>
        <w:tab w:val="right" w:pos="8306"/>
      </w:tabs>
      <w:snapToGrid w:val="0"/>
      <w:jc w:val="left"/>
    </w:pPr>
    <w:rPr>
      <w:sz w:val="18"/>
    </w:rPr>
  </w:style>
  <w:style w:type="paragraph" w:styleId="9">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0">
    <w:name w:val="Normal (Web)"/>
    <w:basedOn w:val="1"/>
    <w:unhideWhenUsed/>
    <w:qFormat/>
    <w:uiPriority w:val="99"/>
    <w:pPr>
      <w:widowControl/>
      <w:spacing w:after="150" w:afterLines="0"/>
      <w:jc w:val="left"/>
    </w:pPr>
    <w:rPr>
      <w:rFonts w:ascii="宋体" w:hAnsi="宋体" w:cs="宋体"/>
      <w:kern w:val="0"/>
      <w:sz w:val="24"/>
      <w:szCs w:val="24"/>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unhideWhenUsed/>
    <w:qFormat/>
    <w:uiPriority w:val="99"/>
  </w:style>
  <w:style w:type="character" w:customStyle="1" w:styleId="15">
    <w:name w:val="标题 1 字符"/>
    <w:link w:val="4"/>
    <w:qFormat/>
    <w:uiPriority w:val="0"/>
    <w:rPr>
      <w:rFonts w:ascii="Times New Roman" w:hAnsi="Times New Roman" w:eastAsia="黑体"/>
      <w:b/>
      <w:kern w:val="44"/>
      <w:sz w:val="24"/>
    </w:rPr>
  </w:style>
  <w:style w:type="character" w:customStyle="1" w:styleId="16">
    <w:name w:val=" Char Char7"/>
    <w:qFormat/>
    <w:uiPriority w:val="0"/>
    <w:rPr>
      <w:sz w:val="24"/>
      <w:lang w:val="en-GB" w:eastAsia="en-US"/>
    </w:rPr>
  </w:style>
  <w:style w:type="character" w:customStyle="1" w:styleId="17">
    <w:name w:val="font31"/>
    <w:qFormat/>
    <w:uiPriority w:val="0"/>
    <w:rPr>
      <w:rFonts w:hint="eastAsia" w:ascii="黑体" w:hAnsi="宋体" w:eastAsia="黑体" w:cs="黑体"/>
      <w:b/>
      <w:color w:val="000000"/>
      <w:sz w:val="22"/>
      <w:szCs w:val="22"/>
      <w:u w:val="none"/>
    </w:rPr>
  </w:style>
  <w:style w:type="paragraph" w:customStyle="1" w:styleId="18">
    <w:name w:val="样式 思美招股书正文 + 首行缩进:  2 字符 段前: 0.5 行 段后: 0.5 行"/>
    <w:basedOn w:val="1"/>
    <w:qFormat/>
    <w:uiPriority w:val="0"/>
    <w:pPr>
      <w:adjustRightInd w:val="0"/>
      <w:snapToGrid w:val="0"/>
      <w:spacing w:before="156" w:beforeLines="50" w:after="156" w:afterLines="50" w:line="360" w:lineRule="auto"/>
      <w:ind w:firstLine="480" w:firstLineChars="200"/>
      <w:textAlignment w:val="center"/>
    </w:pPr>
    <w:rPr>
      <w:rFonts w:ascii="Times New Roman" w:hAnsi="Times New Roman" w:cs="宋体"/>
      <w:sz w:val="24"/>
    </w:rPr>
  </w:style>
  <w:style w:type="paragraph" w:customStyle="1" w:styleId="19">
    <w:name w:val="列出段落1"/>
    <w:basedOn w:val="1"/>
    <w:qFormat/>
    <w:uiPriority w:val="0"/>
    <w:pPr>
      <w:ind w:firstLine="420" w:firstLineChars="200"/>
    </w:pPr>
    <w:rPr>
      <w:rFonts w:ascii="Calibri" w:hAnsi="Calibri" w:eastAsia="宋体"/>
    </w:rPr>
  </w:style>
  <w:style w:type="paragraph" w:customStyle="1" w:styleId="20">
    <w:name w:val="VI 正文格式"/>
    <w:basedOn w:val="1"/>
    <w:qFormat/>
    <w:uiPriority w:val="0"/>
    <w:pPr>
      <w:adjustRightInd w:val="0"/>
      <w:spacing w:before="93" w:beforeLines="30" w:beforeAutospacing="0" w:after="93" w:afterLines="30" w:afterAutospacing="0" w:line="360" w:lineRule="auto"/>
      <w:ind w:firstLine="480" w:firstLineChars="200"/>
      <w:textAlignment w:val="baseline"/>
    </w:pPr>
    <w:rPr>
      <w:rFonts w:ascii="宋体" w:hAnsi="宋体"/>
      <w:sz w:val="24"/>
    </w:rPr>
  </w:style>
  <w:style w:type="paragraph" w:styleId="21">
    <w:name w:val="List Paragraph"/>
    <w:basedOn w:val="1"/>
    <w:qFormat/>
    <w:uiPriority w:val="0"/>
    <w:pPr>
      <w:ind w:firstLine="420" w:firstLineChars="200"/>
    </w:pPr>
  </w:style>
  <w:style w:type="paragraph" w:styleId="22">
    <w:name w:val="No Spacing"/>
    <w:qFormat/>
    <w:uiPriority w:val="0"/>
    <w:pPr>
      <w:jc w:val="center"/>
    </w:pPr>
    <w:rPr>
      <w:rFonts w:ascii="Times New Roman" w:hAnsi="Times New Roman" w:eastAsia="宋体" w:cs="Times New Roman"/>
      <w:kern w:val="2"/>
      <w:sz w:val="21"/>
      <w:szCs w:val="22"/>
      <w:lang w:val="en-US" w:eastAsia="zh-CN" w:bidi="ar-SA"/>
    </w:rPr>
  </w:style>
  <w:style w:type="paragraph" w:customStyle="1" w:styleId="23">
    <w:name w:val="补充披露"/>
    <w:basedOn w:val="1"/>
    <w:qFormat/>
    <w:uiPriority w:val="0"/>
    <w:pPr>
      <w:widowControl w:val="0"/>
      <w:spacing w:before="50" w:beforeLines="0" w:after="50" w:afterLines="0" w:line="360" w:lineRule="auto"/>
      <w:ind w:firstLine="482" w:firstLineChars="200"/>
      <w:jc w:val="both"/>
    </w:pPr>
    <w:rPr>
      <w:rFonts w:ascii="楷体" w:hAnsi="楷体" w:eastAsia="楷体" w:cs="Times New Roman"/>
      <w:b/>
      <w:color w:val="000000"/>
      <w:lang w:val="zh-CN"/>
    </w:rPr>
  </w:style>
  <w:style w:type="paragraph" w:customStyle="1" w:styleId="24">
    <w:name w:val="单位"/>
    <w:basedOn w:val="23"/>
    <w:qFormat/>
    <w:uiPriority w:val="0"/>
    <w:pPr>
      <w:widowControl w:val="0"/>
      <w:ind w:firstLine="422" w:firstLineChars="200"/>
      <w:jc w:val="right"/>
    </w:pPr>
    <w:rPr>
      <w:rFonts w:ascii="楷体" w:hAnsi="楷体" w:cs="Times New Roman"/>
      <w:kern w:val="2"/>
      <w:sz w:val="21"/>
      <w:szCs w:val="21"/>
    </w:rPr>
  </w:style>
  <w:style w:type="paragraph" w:customStyle="1" w:styleId="25">
    <w:name w:val="header"/>
    <w:basedOn w:val="1"/>
    <w:qFormat/>
    <w:uiPriority w:val="0"/>
    <w:pPr>
      <w:pBdr>
        <w:bottom w:val="single" w:color="auto" w:sz="6" w:space="1"/>
      </w:pBdr>
      <w:tabs>
        <w:tab w:val="center" w:pos="4153"/>
        <w:tab w:val="right" w:pos="8306"/>
      </w:tabs>
      <w:snapToGrid w:val="0"/>
      <w:jc w:val="center"/>
    </w:pPr>
    <w:rPr>
      <w:rFonts w:ascii="Calibri" w:hAnsi="Calibri" w:eastAsia="宋体"/>
      <w:kern w:val="2"/>
      <w:sz w:val="18"/>
    </w:rPr>
  </w:style>
  <w:style w:type="paragraph" w:customStyle="1" w:styleId="26">
    <w:name w:val="表格左对齐"/>
    <w:basedOn w:val="1"/>
    <w:qFormat/>
    <w:uiPriority w:val="0"/>
    <w:pPr>
      <w:spacing w:before="0" w:beforeLines="0" w:after="0" w:afterLines="0" w:line="240" w:lineRule="auto"/>
      <w:ind w:firstLine="0" w:firstLineChars="0"/>
      <w:jc w:val="left"/>
    </w:pPr>
    <w:rPr>
      <w:sz w:val="21"/>
    </w:rPr>
  </w:style>
  <w:style w:type="paragraph" w:customStyle="1" w:styleId="27">
    <w:name w:val="Default"/>
    <w:qFormat/>
    <w:uiPriority w:val="0"/>
    <w:pPr>
      <w:widowControl w:val="0"/>
      <w:autoSpaceDE w:val="0"/>
      <w:autoSpaceDN w:val="0"/>
      <w:adjustRightInd w:val="0"/>
    </w:pPr>
    <w:rPr>
      <w:rFonts w:ascii="宋体" w:hAnsi="Calibri" w:eastAsia="宋体" w:cs="Times New Roman"/>
      <w:color w:val="000000"/>
      <w:sz w:val="24"/>
      <w:lang w:val="en-US" w:eastAsia="zh-CN"/>
    </w:rPr>
  </w:style>
  <w:style w:type="paragraph" w:customStyle="1" w:styleId="28">
    <w:name w:val="Normal_1"/>
    <w:qFormat/>
    <w:uiPriority w:val="0"/>
    <w:rPr>
      <w:rFonts w:ascii="Calibri" w:hAnsi="Calibri" w:eastAsia="宋体" w:cs="Times New Roman"/>
      <w:sz w:val="24"/>
      <w:szCs w:val="24"/>
      <w:lang w:val="en-US" w:eastAsia="zh-CN" w:bidi="ar-SA"/>
    </w:rPr>
  </w:style>
  <w:style w:type="paragraph" w:customStyle="1" w:styleId="29">
    <w:name w:val="Body text|21"/>
    <w:basedOn w:val="1"/>
    <w:qFormat/>
    <w:uiPriority w:val="0"/>
    <w:pPr>
      <w:shd w:val="clear" w:color="auto" w:fill="FFFFFF"/>
      <w:spacing w:before="320" w:line="446" w:lineRule="exact"/>
      <w:ind w:hanging="140"/>
      <w:jc w:val="distribute"/>
    </w:pPr>
    <w:rPr>
      <w:rFonts w:ascii="PMingLiU" w:hAnsi="PMingLiU" w:eastAsia="PMingLiU" w:cs="PMingLiU"/>
      <w:spacing w:val="10"/>
      <w:sz w:val="22"/>
    </w:rPr>
  </w:style>
  <w:style w:type="character" w:customStyle="1" w:styleId="30">
    <w:name w:val="font11"/>
    <w:basedOn w:val="13"/>
    <w:qFormat/>
    <w:uiPriority w:val="0"/>
    <w:rPr>
      <w:rFonts w:hint="default" w:ascii="Times New Roman" w:hAnsi="Times New Roman" w:cs="Times New Roman"/>
      <w:color w:val="000000"/>
      <w:sz w:val="20"/>
      <w:szCs w:val="20"/>
      <w:u w:val="none"/>
    </w:rPr>
  </w:style>
  <w:style w:type="character" w:customStyle="1" w:styleId="31">
    <w:name w:val="font01"/>
    <w:basedOn w:val="13"/>
    <w:qFormat/>
    <w:uiPriority w:val="0"/>
    <w:rPr>
      <w:rFonts w:hint="eastAsia" w:ascii="宋体" w:hAnsi="宋体" w:eastAsia="宋体" w:cs="宋体"/>
      <w:color w:val="000000"/>
      <w:sz w:val="24"/>
      <w:szCs w:val="24"/>
      <w:u w:val="none"/>
    </w:rPr>
  </w:style>
  <w:style w:type="character" w:customStyle="1" w:styleId="32">
    <w:name w:val="font41"/>
    <w:basedOn w:val="1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Pages>
  <Words>0</Words>
  <Characters>0</Characters>
  <Lines>1</Lines>
  <Paragraphs>1</Paragraphs>
  <TotalTime>4</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2008-12-30T00:45:00Z</dcterms:created>
  <dc:creator>csrc</dc:creator>
  <cp:lastModifiedBy>陈历轶</cp:lastModifiedBy>
  <cp:lastPrinted>2017-07-26T00:21:00Z</cp:lastPrinted>
  <dcterms:modified xsi:type="dcterms:W3CDTF">2022-09-22T18:38:41Z</dcterms:modified>
  <dc:title>关于建议同意昆山鹿城村镇银行股份有限公司向特定对象发行股票的审核意见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