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shd w:val="clear" w:color="auto" w:fill="auto"/>
        <w:kinsoku/>
        <w:wordWrap/>
        <w:overflowPunct/>
        <w:topLinePunct w:val="0"/>
        <w:autoSpaceDE/>
        <w:bidi w:val="0"/>
        <w:snapToGrid/>
        <w:spacing w:before="0" w:beforeLines="0" w:beforeAutospacing="0" w:after="0" w:afterLines="0" w:afterAutospacing="0" w:line="240" w:lineRule="auto"/>
        <w:ind w:rightChars="0"/>
        <w:jc w:val="center"/>
        <w:textAlignment w:val="auto"/>
        <w:rPr>
          <w:rFonts w:hint="eastAsia" w:ascii="宋体" w:hAnsi="宋体" w:eastAsia="宋体" w:cs="宋体"/>
          <w:b/>
          <w:bCs w:val="0"/>
          <w:color w:val="auto"/>
          <w:sz w:val="36"/>
          <w:szCs w:val="36"/>
          <w:highlight w:val="none"/>
        </w:rPr>
      </w:pPr>
    </w:p>
    <w:p>
      <w:pPr>
        <w:keepNext w:val="0"/>
        <w:keepLines w:val="0"/>
        <w:pageBreakBefore w:val="0"/>
        <w:shd w:val="clear" w:color="auto" w:fill="auto"/>
        <w:kinsoku/>
        <w:wordWrap/>
        <w:overflowPunct/>
        <w:topLinePunct w:val="0"/>
        <w:autoSpaceDE/>
        <w:bidi w:val="0"/>
        <w:snapToGrid/>
        <w:spacing w:before="0" w:beforeLines="0" w:beforeAutospacing="0" w:after="0" w:afterLines="0" w:afterAutospacing="0" w:line="240" w:lineRule="auto"/>
        <w:ind w:rightChars="0"/>
        <w:jc w:val="center"/>
        <w:textAlignment w:val="auto"/>
        <w:outlineLvl w:val="0"/>
        <w:rPr>
          <w:rFonts w:hint="eastAsia" w:ascii="宋体" w:hAnsi="宋体" w:eastAsia="宋体" w:cs="宋体"/>
          <w:b/>
          <w:bCs w:val="0"/>
          <w:color w:val="auto"/>
          <w:sz w:val="36"/>
          <w:szCs w:val="36"/>
          <w:highlight w:val="none"/>
          <w:lang w:eastAsia="zh-CN"/>
        </w:rPr>
      </w:pPr>
      <w:r>
        <w:rPr>
          <w:rFonts w:hint="eastAsia" w:ascii="宋体" w:hAnsi="宋体" w:eastAsia="宋体" w:cs="宋体"/>
          <w:b/>
          <w:bCs w:val="0"/>
          <w:color w:val="auto"/>
          <w:sz w:val="36"/>
          <w:szCs w:val="36"/>
          <w:highlight w:val="none"/>
        </w:rPr>
        <w:t>关于</w:t>
      </w:r>
      <w:r>
        <w:rPr>
          <w:rFonts w:hint="default" w:ascii="宋体" w:hAnsi="宋体" w:cs="宋体"/>
          <w:b/>
          <w:bCs w:val="0"/>
          <w:color w:val="auto"/>
          <w:sz w:val="36"/>
          <w:szCs w:val="36"/>
          <w:highlight w:val="none"/>
        </w:rPr>
        <w:t>潍坊银行股份有限公司</w:t>
      </w:r>
      <w:r>
        <w:rPr>
          <w:rFonts w:hint="eastAsia" w:ascii="宋体" w:hAnsi="宋体" w:eastAsia="宋体" w:cs="宋体"/>
          <w:b/>
          <w:bCs w:val="0"/>
          <w:color w:val="auto"/>
          <w:sz w:val="36"/>
          <w:szCs w:val="36"/>
          <w:highlight w:val="none"/>
          <w:lang w:eastAsia="zh-CN"/>
        </w:rPr>
        <w:t>申请向特定对象发行股票</w:t>
      </w:r>
      <w:r>
        <w:rPr>
          <w:rFonts w:hint="eastAsia" w:ascii="宋体" w:hAnsi="宋体" w:eastAsia="宋体" w:cs="宋体"/>
          <w:b/>
          <w:bCs w:val="0"/>
          <w:color w:val="auto"/>
          <w:sz w:val="36"/>
          <w:szCs w:val="36"/>
          <w:highlight w:val="none"/>
        </w:rPr>
        <w:t>的</w:t>
      </w:r>
      <w:r>
        <w:rPr>
          <w:rFonts w:hint="eastAsia" w:ascii="宋体" w:hAnsi="宋体" w:eastAsia="宋体" w:cs="宋体"/>
          <w:b/>
          <w:bCs w:val="0"/>
          <w:color w:val="auto"/>
          <w:sz w:val="36"/>
          <w:szCs w:val="36"/>
          <w:highlight w:val="none"/>
          <w:lang w:eastAsia="zh-CN"/>
        </w:rPr>
        <w:t>审核意见</w:t>
      </w:r>
    </w:p>
    <w:p>
      <w:pPr>
        <w:keepNext w:val="0"/>
        <w:keepLines w:val="0"/>
        <w:pageBreakBefore w:val="0"/>
        <w:numPr>
          <w:ilvl w:val="0"/>
          <w:numId w:val="0"/>
        </w:numPr>
        <w:shd w:val="clear" w:color="auto" w:fill="auto"/>
        <w:kinsoku/>
        <w:wordWrap/>
        <w:overflowPunct/>
        <w:topLinePunct w:val="0"/>
        <w:autoSpaceDE/>
        <w:bidi w:val="0"/>
        <w:snapToGrid/>
        <w:spacing w:before="0" w:beforeLines="0" w:beforeAutospacing="0" w:after="0" w:afterLines="0" w:afterAutospacing="0" w:line="240" w:lineRule="auto"/>
        <w:ind w:right="0" w:rightChars="0"/>
        <w:jc w:val="left"/>
        <w:textAlignment w:val="auto"/>
        <w:rPr>
          <w:rFonts w:hint="eastAsia" w:ascii="宋体" w:hAnsi="宋体" w:eastAsia="宋体" w:cs="宋体"/>
          <w:b/>
          <w:bCs w:val="0"/>
          <w:color w:val="auto"/>
          <w:sz w:val="32"/>
          <w:szCs w:val="32"/>
          <w:highlight w:val="none"/>
          <w:lang w:eastAsia="zh-CN"/>
        </w:rPr>
      </w:pP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0" w:leftChars="0" w:rightChars="0" w:firstLine="600" w:firstLineChars="200"/>
        <w:jc w:val="both"/>
        <w:textAlignment w:val="auto"/>
        <w:outlineLvl w:val="0"/>
        <w:rPr>
          <w:rFonts w:hint="eastAsia" w:ascii="黑体" w:hAnsi="黑体" w:eastAsia="黑体" w:cs="黑体"/>
          <w:b w:val="0"/>
          <w:bCs/>
          <w:color w:val="auto"/>
          <w:sz w:val="30"/>
          <w:szCs w:val="30"/>
          <w:highlight w:val="none"/>
          <w:lang w:eastAsia="zh-CN"/>
        </w:rPr>
      </w:pPr>
      <w:r>
        <w:rPr>
          <w:rFonts w:hint="eastAsia" w:ascii="黑体" w:hAnsi="黑体" w:eastAsia="黑体" w:cs="黑体"/>
          <w:b w:val="0"/>
          <w:bCs/>
          <w:color w:val="auto"/>
          <w:sz w:val="30"/>
          <w:szCs w:val="30"/>
          <w:highlight w:val="none"/>
          <w:lang w:eastAsia="zh-CN"/>
        </w:rPr>
        <w:t>一、审核情况</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Chars="200" w:right="0" w:rightChars="0"/>
        <w:jc w:val="both"/>
        <w:textAlignment w:val="auto"/>
        <w:outlineLvl w:val="1"/>
        <w:rPr>
          <w:rFonts w:hint="eastAsia" w:ascii="楷体_GB2312" w:hAnsi="楷体_GB2312" w:eastAsia="楷体_GB2312" w:cs="楷体_GB2312"/>
          <w:b/>
          <w:bCs w:val="0"/>
          <w:color w:val="auto"/>
          <w:sz w:val="30"/>
          <w:szCs w:val="30"/>
          <w:highlight w:val="none"/>
          <w:lang w:eastAsia="zh-CN"/>
        </w:rPr>
      </w:pPr>
      <w:r>
        <w:rPr>
          <w:rFonts w:hint="eastAsia" w:ascii="楷体_GB2312" w:hAnsi="楷体_GB2312" w:eastAsia="楷体_GB2312" w:cs="楷体_GB2312"/>
          <w:b/>
          <w:bCs w:val="0"/>
          <w:color w:val="auto"/>
          <w:sz w:val="30"/>
          <w:szCs w:val="30"/>
          <w:highlight w:val="none"/>
          <w:lang w:eastAsia="zh-CN"/>
        </w:rPr>
        <w:t>（一）申请人基本情况</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both"/>
        <w:textAlignment w:val="auto"/>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val="en-US" w:eastAsia="zh-CN"/>
        </w:rPr>
        <w:t>申请人全称为“潍坊银行股份有限公司”，住所地在山东省潍坊市奎文区。公司前身系潍坊城市合作银行，1998年更名为潍坊市商业银行股份有限公司，2009年更名为潍坊银行股份有限公司，注册资本377,310.64万元。</w:t>
      </w:r>
      <w:r>
        <w:rPr>
          <w:rFonts w:hint="default" w:ascii="Times New Roman" w:hAnsi="Times New Roman" w:eastAsia="仿宋_GB2312" w:cs="Times New Roman"/>
          <w:color w:val="auto"/>
          <w:sz w:val="30"/>
          <w:lang w:eastAsia="zh-CN"/>
        </w:rPr>
        <w:t>公司无控股股东</w:t>
      </w:r>
      <w:r>
        <w:rPr>
          <w:rFonts w:hint="default" w:eastAsia="仿宋_GB2312" w:cs="Times New Roman"/>
          <w:color w:val="auto"/>
          <w:sz w:val="30"/>
          <w:lang w:eastAsia="zh-CN"/>
        </w:rPr>
        <w:t>，实际控制人为潍坊市人民政府。</w:t>
      </w:r>
      <w:r>
        <w:rPr>
          <w:rFonts w:hint="default" w:ascii="Times New Roman" w:hAnsi="Times New Roman" w:eastAsia="仿宋_GB2312" w:cs="Times New Roman"/>
          <w:color w:val="auto"/>
          <w:sz w:val="30"/>
          <w:lang w:val="en-US" w:eastAsia="zh-CN"/>
        </w:rPr>
        <w:t>截至2022年6月30日，公司股东总数为1921户</w:t>
      </w:r>
      <w:r>
        <w:rPr>
          <w:rFonts w:hint="default" w:eastAsia="仿宋_GB2312" w:cs="Times New Roman"/>
          <w:color w:val="auto"/>
          <w:sz w:val="30"/>
          <w:lang w:eastAsia="zh-CN"/>
        </w:rPr>
        <w:t>。</w:t>
      </w:r>
    </w:p>
    <w:p>
      <w:pPr>
        <w:keepNext w:val="0"/>
        <w:keepLines w:val="0"/>
        <w:pageBreakBefore w:val="0"/>
        <w:numPr>
          <w:ilvl w:val="0"/>
          <w:numId w:val="0"/>
        </w:numPr>
        <w:kinsoku/>
        <w:wordWrap/>
        <w:overflowPunct/>
        <w:topLinePunct w:val="0"/>
        <w:autoSpaceDE/>
        <w:autoSpaceDN/>
        <w:bidi w:val="0"/>
        <w:adjustRightInd/>
        <w:snapToGrid/>
        <w:spacing w:after="0" w:line="240" w:lineRule="auto"/>
        <w:ind w:left="0" w:leftChars="0" w:right="0" w:rightChars="0" w:firstLine="602" w:firstLineChars="200"/>
        <w:jc w:val="both"/>
        <w:textAlignment w:val="auto"/>
        <w:outlineLvl w:val="1"/>
        <w:rPr>
          <w:rFonts w:hint="eastAsia" w:ascii="楷体_GB2312" w:hAnsi="楷体_GB2312" w:eastAsia="楷体_GB2312" w:cs="楷体_GB2312"/>
          <w:b/>
          <w:bCs/>
          <w:color w:val="auto"/>
          <w:sz w:val="30"/>
          <w:lang w:val="en-US" w:eastAsia="zh-CN"/>
        </w:rPr>
      </w:pPr>
      <w:r>
        <w:rPr>
          <w:rFonts w:hint="eastAsia" w:ascii="楷体_GB2312" w:hAnsi="楷体_GB2312" w:eastAsia="楷体_GB2312" w:cs="楷体_GB2312"/>
          <w:b/>
          <w:bCs/>
          <w:color w:val="auto"/>
          <w:sz w:val="30"/>
          <w:lang w:val="en-US" w:eastAsia="zh-CN"/>
        </w:rPr>
        <w:t>（二）审核过程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600" w:firstLineChars="200"/>
        <w:jc w:val="both"/>
        <w:textAlignment w:val="auto"/>
        <w:rPr>
          <w:rFonts w:hint="default" w:ascii="Times New Roman" w:hAnsi="Times New Roman" w:eastAsia="仿宋_GB2312" w:cs="Times New Roman"/>
          <w:color w:val="auto"/>
          <w:sz w:val="30"/>
          <w:lang w:val="en-US" w:eastAsia="zh-CN"/>
        </w:rPr>
      </w:pPr>
      <w:r>
        <w:rPr>
          <w:rFonts w:hint="default" w:ascii="Times New Roman" w:hAnsi="Times New Roman" w:eastAsia="仿宋_GB2312" w:cs="Times New Roman"/>
          <w:color w:val="auto"/>
          <w:sz w:val="30"/>
          <w:lang w:val="en-US" w:eastAsia="zh-CN"/>
        </w:rPr>
        <w:t>申请人向特定对象发行股票的行政许可申请于202</w:t>
      </w:r>
      <w:r>
        <w:rPr>
          <w:rFonts w:hint="default" w:eastAsia="仿宋_GB2312" w:cs="Times New Roman"/>
          <w:color w:val="auto"/>
          <w:sz w:val="30"/>
          <w:lang w:eastAsia="zh-CN"/>
        </w:rPr>
        <w:t>2</w:t>
      </w:r>
      <w:r>
        <w:rPr>
          <w:rFonts w:hint="default" w:ascii="Times New Roman" w:hAnsi="Times New Roman" w:eastAsia="仿宋_GB2312" w:cs="Times New Roman"/>
          <w:color w:val="auto"/>
          <w:sz w:val="30"/>
          <w:lang w:val="en-US" w:eastAsia="zh-CN"/>
        </w:rPr>
        <w:t>年</w:t>
      </w:r>
      <w:r>
        <w:rPr>
          <w:rFonts w:hint="default" w:eastAsia="仿宋_GB2312" w:cs="Times New Roman"/>
          <w:color w:val="auto"/>
          <w:sz w:val="30"/>
          <w:lang w:eastAsia="zh-CN"/>
        </w:rPr>
        <w:t>8</w:t>
      </w:r>
      <w:r>
        <w:rPr>
          <w:rFonts w:hint="default" w:ascii="Times New Roman" w:hAnsi="Times New Roman" w:eastAsia="仿宋_GB2312" w:cs="Times New Roman"/>
          <w:color w:val="auto"/>
          <w:sz w:val="30"/>
          <w:lang w:val="en-US" w:eastAsia="zh-CN"/>
        </w:rPr>
        <w:t>月</w:t>
      </w:r>
      <w:r>
        <w:rPr>
          <w:rFonts w:hint="default" w:eastAsia="仿宋_GB2312" w:cs="Times New Roman"/>
          <w:color w:val="auto"/>
          <w:sz w:val="30"/>
          <w:lang w:eastAsia="zh-CN"/>
        </w:rPr>
        <w:t>19</w:t>
      </w:r>
      <w:r>
        <w:rPr>
          <w:rFonts w:hint="default" w:ascii="Times New Roman" w:hAnsi="Times New Roman" w:eastAsia="仿宋_GB2312" w:cs="Times New Roman"/>
          <w:color w:val="auto"/>
          <w:sz w:val="30"/>
          <w:lang w:val="en-US" w:eastAsia="zh-CN"/>
        </w:rPr>
        <w:t>日正式受理。依据《公司法》《证券法》《非上市公众公司监督管理办法》（以下简称《公众公司办法》）《非上市公众公司信息披露内容与格式准则第3号——定向发行说明书和发行情况报告书》《非上市公众公司信息披露内容与格式准则第4号——定向发行申请文件》和《关于股东人数超过200人的未上市商业银行增发股份有关问题的通知》（证监发〔2018〕24号）等相关规定，我们对申请人提交的申请文件进行了合规性审核。</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0" w:leftChars="0" w:rightChars="0" w:firstLine="600" w:firstLineChars="200"/>
        <w:jc w:val="both"/>
        <w:textAlignment w:val="auto"/>
        <w:outlineLvl w:val="0"/>
        <w:rPr>
          <w:rFonts w:hint="default" w:ascii="黑体" w:hAnsi="黑体" w:eastAsia="黑体" w:cs="黑体"/>
          <w:b w:val="0"/>
          <w:bCs/>
          <w:color w:val="auto"/>
          <w:sz w:val="30"/>
          <w:szCs w:val="30"/>
          <w:highlight w:val="none"/>
          <w:lang w:eastAsia="zh-CN"/>
        </w:rPr>
      </w:pPr>
      <w:r>
        <w:rPr>
          <w:rFonts w:hint="default" w:ascii="黑体" w:hAnsi="黑体" w:eastAsia="黑体" w:cs="黑体"/>
          <w:b w:val="0"/>
          <w:bCs/>
          <w:color w:val="auto"/>
          <w:sz w:val="30"/>
          <w:szCs w:val="30"/>
          <w:highlight w:val="none"/>
          <w:lang w:eastAsia="zh-CN"/>
        </w:rPr>
        <w:t>二、审核中关注的问题</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Chars="200" w:right="0" w:rightChars="0"/>
        <w:jc w:val="both"/>
        <w:textAlignment w:val="auto"/>
        <w:outlineLvl w:val="1"/>
        <w:rPr>
          <w:rFonts w:hint="default" w:ascii="楷体_GB2312" w:hAnsi="楷体_GB2312" w:eastAsia="楷体_GB2312" w:cs="楷体_GB2312"/>
          <w:b/>
          <w:bCs w:val="0"/>
          <w:color w:val="auto"/>
          <w:sz w:val="30"/>
          <w:szCs w:val="30"/>
          <w:highlight w:val="none"/>
          <w:lang w:eastAsia="zh-CN"/>
        </w:rPr>
      </w:pPr>
      <w:r>
        <w:rPr>
          <w:rFonts w:hint="eastAsia" w:ascii="楷体_GB2312" w:hAnsi="楷体_GB2312" w:eastAsia="楷体_GB2312" w:cs="楷体_GB2312"/>
          <w:b/>
          <w:bCs w:val="0"/>
          <w:color w:val="auto"/>
          <w:sz w:val="30"/>
          <w:szCs w:val="30"/>
          <w:highlight w:val="none"/>
          <w:lang w:eastAsia="zh-CN"/>
        </w:rPr>
        <w:t>（一）</w:t>
      </w:r>
      <w:r>
        <w:rPr>
          <w:rFonts w:hint="default" w:ascii="楷体_GB2312" w:hAnsi="楷体_GB2312" w:eastAsia="楷体_GB2312" w:cs="楷体_GB2312"/>
          <w:b/>
          <w:bCs w:val="0"/>
          <w:color w:val="auto"/>
          <w:sz w:val="30"/>
          <w:szCs w:val="30"/>
          <w:highlight w:val="none"/>
          <w:lang w:eastAsia="zh-CN"/>
        </w:rPr>
        <w:t>关于优先认购情况</w:t>
      </w:r>
    </w:p>
    <w:p>
      <w:pPr>
        <w:pStyle w:val="2"/>
        <w:keepNext w:val="0"/>
        <w:keepLines w:val="0"/>
        <w:pageBreakBefore w:val="0"/>
        <w:kinsoku/>
        <w:wordWrap/>
        <w:overflowPunct/>
        <w:topLinePunct w:val="0"/>
        <w:autoSpaceDE/>
        <w:autoSpaceDN/>
        <w:bidi w:val="0"/>
        <w:adjustRightInd/>
        <w:snapToGrid/>
        <w:spacing w:before="0" w:line="240" w:lineRule="auto"/>
        <w:ind w:left="0" w:firstLine="600" w:firstLineChars="200"/>
        <w:textAlignment w:val="auto"/>
        <w:rPr>
          <w:rFonts w:hint="default"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val="en-US" w:eastAsia="zh-CN"/>
        </w:rPr>
        <w:t>根据申请材料，本次定向发行在册股东在同等条件下有优先认购权，</w:t>
      </w:r>
      <w:r>
        <w:rPr>
          <w:rFonts w:hint="default" w:ascii="Times New Roman" w:hAnsi="Times New Roman" w:eastAsia="仿宋_GB2312" w:cs="Times New Roman"/>
          <w:b w:val="0"/>
          <w:bCs w:val="0"/>
          <w:sz w:val="30"/>
          <w:szCs w:val="30"/>
          <w:highlight w:val="none"/>
          <w:lang w:eastAsia="zh-CN"/>
        </w:rPr>
        <w:t>相关</w:t>
      </w:r>
      <w:r>
        <w:rPr>
          <w:rFonts w:hint="eastAsia" w:ascii="Times New Roman" w:hAnsi="Times New Roman" w:eastAsia="仿宋_GB2312" w:cs="Times New Roman"/>
          <w:b w:val="0"/>
          <w:bCs w:val="0"/>
          <w:sz w:val="30"/>
          <w:szCs w:val="30"/>
          <w:highlight w:val="none"/>
          <w:lang w:val="en-US" w:eastAsia="zh-CN"/>
        </w:rPr>
        <w:t>优先认购安排经公司第七届董事会第四十五次会议及2022年股东大会年会审议通过。请申请人</w:t>
      </w:r>
      <w:r>
        <w:rPr>
          <w:rFonts w:hint="default" w:ascii="Times New Roman" w:hAnsi="Times New Roman" w:eastAsia="仿宋_GB2312" w:cs="Times New Roman"/>
          <w:b w:val="0"/>
          <w:bCs w:val="0"/>
          <w:sz w:val="30"/>
          <w:szCs w:val="30"/>
          <w:highlight w:val="none"/>
          <w:lang w:eastAsia="zh-CN"/>
        </w:rPr>
        <w:t>补充披露：（1）公司控股股东及实际控制人认定情况，认定依据是否充分。（2）已确定认购意向的股东信息及认购数量</w:t>
      </w:r>
      <w:r>
        <w:rPr>
          <w:rFonts w:hint="eastAsia" w:ascii="Times New Roman" w:hAnsi="Times New Roman" w:eastAsia="仿宋_GB2312" w:cs="Times New Roman"/>
          <w:b w:val="0"/>
          <w:bCs w:val="0"/>
          <w:sz w:val="30"/>
          <w:szCs w:val="30"/>
          <w:highlight w:val="none"/>
          <w:lang w:val="en-US" w:eastAsia="zh-CN"/>
        </w:rPr>
        <w:t>。</w:t>
      </w:r>
      <w:r>
        <w:rPr>
          <w:rFonts w:hint="default" w:ascii="Times New Roman" w:hAnsi="Times New Roman" w:eastAsia="仿宋_GB2312" w:cs="Times New Roman"/>
          <w:b w:val="0"/>
          <w:bCs w:val="0"/>
          <w:sz w:val="30"/>
          <w:szCs w:val="30"/>
          <w:highlight w:val="none"/>
          <w:lang w:eastAsia="zh-CN"/>
        </w:rPr>
        <w:t>（3）本次定向发行对公司股权结构的影响，是否导致对控股股东及实际控制人认定的变化。</w:t>
      </w:r>
    </w:p>
    <w:p>
      <w:pPr>
        <w:keepNext w:val="0"/>
        <w:keepLines w:val="0"/>
        <w:pageBreakBefore w:val="0"/>
        <w:widowControl/>
        <w:kinsoku/>
        <w:wordWrap/>
        <w:overflowPunct/>
        <w:topLinePunct w:val="0"/>
        <w:autoSpaceDE/>
        <w:autoSpaceDN/>
        <w:bidi w:val="0"/>
        <w:adjustRightInd w:val="0"/>
        <w:spacing w:line="240" w:lineRule="auto"/>
        <w:ind w:left="0" w:leftChars="0" w:firstLine="602" w:firstLineChars="200"/>
        <w:jc w:val="left"/>
        <w:textAlignment w:val="center"/>
        <w:outlineLvl w:val="9"/>
        <w:rPr>
          <w:rFonts w:hint="default" w:ascii="Times New Roman" w:hAnsi="Times New Roman" w:eastAsia="仿宋_GB2312" w:cs="Times New Roman"/>
          <w:b/>
          <w:bCs/>
          <w:color w:val="auto"/>
          <w:sz w:val="30"/>
          <w:szCs w:val="30"/>
          <w:lang w:eastAsia="zh-CN"/>
        </w:rPr>
      </w:pPr>
      <w:r>
        <w:rPr>
          <w:rFonts w:hint="default" w:ascii="Times New Roman" w:hAnsi="Times New Roman" w:eastAsia="仿宋_GB2312" w:cs="Times New Roman"/>
          <w:b/>
          <w:bCs/>
          <w:color w:val="auto"/>
          <w:sz w:val="30"/>
          <w:szCs w:val="30"/>
          <w:lang w:eastAsia="zh-CN"/>
        </w:rPr>
        <w:t>申请人回复称：</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2" w:firstLineChars="200"/>
        <w:jc w:val="both"/>
        <w:textAlignment w:val="auto"/>
        <w:outlineLvl w:val="9"/>
        <w:rPr>
          <w:rFonts w:hint="eastAsia" w:ascii="Times New Roman" w:hAnsi="Times New Roman" w:eastAsia="仿宋_GB2312" w:cs="Times New Roman"/>
          <w:b/>
          <w:bCs/>
          <w:color w:val="auto"/>
          <w:sz w:val="30"/>
          <w:szCs w:val="30"/>
          <w:lang w:val="en-US" w:eastAsia="zh-CN"/>
        </w:rPr>
      </w:pPr>
      <w:r>
        <w:rPr>
          <w:rFonts w:hint="default" w:ascii="Times New Roman" w:hAnsi="Times New Roman" w:eastAsia="仿宋_GB2312" w:cs="Times New Roman"/>
          <w:b/>
          <w:bCs/>
          <w:color w:val="auto"/>
          <w:sz w:val="30"/>
          <w:szCs w:val="30"/>
          <w:lang w:eastAsia="zh-CN"/>
        </w:rPr>
        <w:t>1</w:t>
      </w:r>
      <w:r>
        <w:rPr>
          <w:rFonts w:hint="default" w:eastAsia="仿宋_GB2312" w:cs="Times New Roman"/>
          <w:b/>
          <w:bCs/>
          <w:color w:val="auto"/>
          <w:sz w:val="30"/>
          <w:szCs w:val="30"/>
          <w:lang w:eastAsia="zh-CN"/>
        </w:rPr>
        <w:t>.</w:t>
      </w:r>
      <w:r>
        <w:rPr>
          <w:rFonts w:hint="eastAsia" w:ascii="Times New Roman" w:hAnsi="Times New Roman" w:eastAsia="仿宋_GB2312" w:cs="Times New Roman"/>
          <w:b/>
          <w:bCs/>
          <w:color w:val="auto"/>
          <w:sz w:val="30"/>
          <w:szCs w:val="30"/>
          <w:lang w:val="en-US" w:eastAsia="zh-CN"/>
        </w:rPr>
        <w:t>公司控股股东及实际控制人的认定情况</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截至反馈意见回复出具日，</w:t>
      </w:r>
      <w:r>
        <w:rPr>
          <w:rFonts w:hint="default" w:ascii="Times New Roman" w:hAnsi="Times New Roman" w:eastAsia="仿宋_GB2312" w:cs="Times New Roman"/>
          <w:color w:val="auto"/>
          <w:sz w:val="30"/>
          <w:szCs w:val="30"/>
          <w:lang w:eastAsia="zh-CN"/>
        </w:rPr>
        <w:t>公司</w:t>
      </w:r>
      <w:r>
        <w:rPr>
          <w:rFonts w:hint="eastAsia" w:ascii="Times New Roman" w:hAnsi="Times New Roman" w:eastAsia="仿宋_GB2312" w:cs="Times New Roman"/>
          <w:color w:val="auto"/>
          <w:sz w:val="30"/>
          <w:szCs w:val="30"/>
          <w:lang w:val="en-US" w:eastAsia="zh-CN"/>
        </w:rPr>
        <w:t>前十大股东的股东名称、持股数量及持股比例情况如下：</w:t>
      </w:r>
    </w:p>
    <w:p>
      <w:pPr>
        <w:widowControl/>
        <w:snapToGrid w:val="0"/>
        <w:spacing w:before="156" w:beforeLines="50"/>
        <w:ind w:firstLine="420" w:firstLineChars="200"/>
        <w:jc w:val="right"/>
        <w:rPr>
          <w:rFonts w:hint="eastAsia" w:asciiTheme="minorEastAsia" w:hAnsiTheme="minorEastAsia" w:eastAsiaTheme="minorEastAsia" w:cstheme="minorEastAsia"/>
          <w:kern w:val="0"/>
          <w:szCs w:val="21"/>
        </w:rPr>
      </w:pPr>
      <w:bookmarkStart w:id="0" w:name="_Hlk53062862"/>
      <w:r>
        <w:rPr>
          <w:rFonts w:hint="eastAsia" w:asciiTheme="minorEastAsia" w:hAnsiTheme="minorEastAsia" w:eastAsiaTheme="minorEastAsia" w:cstheme="minorEastAsia"/>
          <w:kern w:val="0"/>
          <w:szCs w:val="21"/>
        </w:rPr>
        <w:t>单位：股、%</w:t>
      </w:r>
    </w:p>
    <w:tbl>
      <w:tblPr>
        <w:tblStyle w:val="10"/>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787"/>
        <w:gridCol w:w="4349"/>
        <w:gridCol w:w="1940"/>
        <w:gridCol w:w="14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blHeader/>
          <w:jc w:val="center"/>
        </w:trPr>
        <w:tc>
          <w:tcPr>
            <w:tcW w:w="462" w:type="pct"/>
            <w:noWrap w:val="0"/>
            <w:vAlign w:val="center"/>
          </w:tcPr>
          <w:p>
            <w:pPr>
              <w:pStyle w:val="26"/>
              <w:snapToGrid w:val="0"/>
              <w:jc w:val="center"/>
              <w:rPr>
                <w:rFonts w:hint="eastAsia" w:asciiTheme="minorEastAsia" w:hAnsiTheme="minorEastAsia" w:eastAsiaTheme="minorEastAsia" w:cstheme="minorEastAsia"/>
                <w:b/>
                <w:bCs/>
                <w:iCs/>
                <w:color w:val="auto"/>
                <w:kern w:val="2"/>
                <w:sz w:val="21"/>
                <w:szCs w:val="21"/>
              </w:rPr>
            </w:pPr>
            <w:r>
              <w:rPr>
                <w:rFonts w:hint="eastAsia" w:asciiTheme="minorEastAsia" w:hAnsiTheme="minorEastAsia" w:eastAsiaTheme="minorEastAsia" w:cstheme="minorEastAsia"/>
                <w:b/>
                <w:bCs/>
                <w:iCs/>
                <w:color w:val="auto"/>
                <w:kern w:val="2"/>
                <w:sz w:val="21"/>
                <w:szCs w:val="21"/>
              </w:rPr>
              <w:t>序号</w:t>
            </w:r>
          </w:p>
        </w:tc>
        <w:tc>
          <w:tcPr>
            <w:tcW w:w="2550" w:type="pct"/>
            <w:noWrap w:val="0"/>
            <w:vAlign w:val="center"/>
          </w:tcPr>
          <w:p>
            <w:pPr>
              <w:pStyle w:val="26"/>
              <w:snapToGrid w:val="0"/>
              <w:jc w:val="center"/>
              <w:rPr>
                <w:rFonts w:hint="eastAsia" w:asciiTheme="minorEastAsia" w:hAnsiTheme="minorEastAsia" w:eastAsiaTheme="minorEastAsia" w:cstheme="minorEastAsia"/>
                <w:b/>
                <w:bCs/>
                <w:iCs/>
                <w:color w:val="auto"/>
                <w:kern w:val="2"/>
                <w:sz w:val="21"/>
                <w:szCs w:val="21"/>
              </w:rPr>
            </w:pPr>
            <w:r>
              <w:rPr>
                <w:rFonts w:hint="eastAsia" w:asciiTheme="minorEastAsia" w:hAnsiTheme="minorEastAsia" w:eastAsiaTheme="minorEastAsia" w:cstheme="minorEastAsia"/>
                <w:b/>
                <w:bCs/>
                <w:iCs/>
                <w:color w:val="auto"/>
                <w:kern w:val="2"/>
                <w:sz w:val="21"/>
                <w:szCs w:val="21"/>
              </w:rPr>
              <w:t>股东名称</w:t>
            </w:r>
          </w:p>
        </w:tc>
        <w:tc>
          <w:tcPr>
            <w:tcW w:w="1138" w:type="pct"/>
            <w:noWrap w:val="0"/>
            <w:vAlign w:val="center"/>
          </w:tcPr>
          <w:p>
            <w:pPr>
              <w:pStyle w:val="26"/>
              <w:snapToGrid w:val="0"/>
              <w:jc w:val="center"/>
              <w:rPr>
                <w:rFonts w:hint="eastAsia" w:asciiTheme="minorEastAsia" w:hAnsiTheme="minorEastAsia" w:eastAsiaTheme="minorEastAsia" w:cstheme="minorEastAsia"/>
                <w:b/>
                <w:bCs/>
                <w:iCs/>
                <w:color w:val="auto"/>
                <w:kern w:val="2"/>
                <w:sz w:val="21"/>
                <w:szCs w:val="21"/>
              </w:rPr>
            </w:pPr>
            <w:r>
              <w:rPr>
                <w:rFonts w:hint="eastAsia" w:asciiTheme="minorEastAsia" w:hAnsiTheme="minorEastAsia" w:eastAsiaTheme="minorEastAsia" w:cstheme="minorEastAsia"/>
                <w:b/>
                <w:bCs/>
                <w:iCs/>
                <w:color w:val="auto"/>
                <w:kern w:val="2"/>
                <w:sz w:val="21"/>
                <w:szCs w:val="21"/>
              </w:rPr>
              <w:t>持股数量</w:t>
            </w:r>
          </w:p>
        </w:tc>
        <w:tc>
          <w:tcPr>
            <w:tcW w:w="848" w:type="pct"/>
            <w:noWrap w:val="0"/>
            <w:vAlign w:val="center"/>
          </w:tcPr>
          <w:p>
            <w:pPr>
              <w:pStyle w:val="26"/>
              <w:snapToGrid w:val="0"/>
              <w:jc w:val="center"/>
              <w:rPr>
                <w:rFonts w:hint="eastAsia" w:asciiTheme="minorEastAsia" w:hAnsiTheme="minorEastAsia" w:eastAsiaTheme="minorEastAsia" w:cstheme="minorEastAsia"/>
                <w:b/>
                <w:bCs/>
                <w:iCs/>
                <w:color w:val="auto"/>
                <w:kern w:val="2"/>
                <w:sz w:val="21"/>
                <w:szCs w:val="21"/>
              </w:rPr>
            </w:pPr>
            <w:r>
              <w:rPr>
                <w:rFonts w:hint="eastAsia" w:asciiTheme="minorEastAsia" w:hAnsiTheme="minorEastAsia" w:eastAsiaTheme="minorEastAsia" w:cstheme="minorEastAsia"/>
                <w:b/>
                <w:bCs/>
                <w:iCs/>
                <w:color w:val="auto"/>
                <w:kern w:val="2"/>
                <w:sz w:val="21"/>
                <w:szCs w:val="21"/>
              </w:rPr>
              <w:t>持股比例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2"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1</w:t>
            </w:r>
          </w:p>
        </w:tc>
        <w:tc>
          <w:tcPr>
            <w:tcW w:w="2550"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潍坊市城市建设发展投资集团有限公司</w:t>
            </w:r>
          </w:p>
        </w:tc>
        <w:tc>
          <w:tcPr>
            <w:tcW w:w="113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512,326,655</w:t>
            </w:r>
          </w:p>
        </w:tc>
        <w:tc>
          <w:tcPr>
            <w:tcW w:w="84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13.58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2"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2</w:t>
            </w:r>
          </w:p>
        </w:tc>
        <w:tc>
          <w:tcPr>
            <w:tcW w:w="2550"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潍坊滨海旅游集团有限公司</w:t>
            </w:r>
          </w:p>
        </w:tc>
        <w:tc>
          <w:tcPr>
            <w:tcW w:w="113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493,351,592</w:t>
            </w:r>
          </w:p>
        </w:tc>
        <w:tc>
          <w:tcPr>
            <w:tcW w:w="84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13.08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2"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3</w:t>
            </w:r>
          </w:p>
        </w:tc>
        <w:tc>
          <w:tcPr>
            <w:tcW w:w="2550"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潍坊市投资集团有限公司</w:t>
            </w:r>
          </w:p>
        </w:tc>
        <w:tc>
          <w:tcPr>
            <w:tcW w:w="113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234,307,795</w:t>
            </w:r>
          </w:p>
        </w:tc>
        <w:tc>
          <w:tcPr>
            <w:tcW w:w="84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6.21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2"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4</w:t>
            </w:r>
          </w:p>
        </w:tc>
        <w:tc>
          <w:tcPr>
            <w:tcW w:w="2550"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潍坊市政金控股集团有限公司</w:t>
            </w:r>
          </w:p>
        </w:tc>
        <w:tc>
          <w:tcPr>
            <w:tcW w:w="113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204,152,437</w:t>
            </w:r>
          </w:p>
        </w:tc>
        <w:tc>
          <w:tcPr>
            <w:tcW w:w="84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5.41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2"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5</w:t>
            </w:r>
          </w:p>
        </w:tc>
        <w:tc>
          <w:tcPr>
            <w:tcW w:w="2550"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山东桑莎制衣集团有限公司</w:t>
            </w:r>
          </w:p>
        </w:tc>
        <w:tc>
          <w:tcPr>
            <w:tcW w:w="113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197,965,292</w:t>
            </w:r>
          </w:p>
        </w:tc>
        <w:tc>
          <w:tcPr>
            <w:tcW w:w="84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5.25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2"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6</w:t>
            </w:r>
          </w:p>
        </w:tc>
        <w:tc>
          <w:tcPr>
            <w:tcW w:w="2550"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潍坊峡山绿色科技发展集团有限公司</w:t>
            </w:r>
          </w:p>
        </w:tc>
        <w:tc>
          <w:tcPr>
            <w:tcW w:w="113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180,263,082</w:t>
            </w:r>
          </w:p>
        </w:tc>
        <w:tc>
          <w:tcPr>
            <w:tcW w:w="84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4.78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2"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7</w:t>
            </w:r>
          </w:p>
        </w:tc>
        <w:tc>
          <w:tcPr>
            <w:tcW w:w="2550"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高密市国有资产经营投资有限公司</w:t>
            </w:r>
          </w:p>
        </w:tc>
        <w:tc>
          <w:tcPr>
            <w:tcW w:w="113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175,231,317</w:t>
            </w:r>
          </w:p>
        </w:tc>
        <w:tc>
          <w:tcPr>
            <w:tcW w:w="84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4.64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2"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8</w:t>
            </w:r>
          </w:p>
        </w:tc>
        <w:tc>
          <w:tcPr>
            <w:tcW w:w="2550"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潍坊滨城投资开发有限公司</w:t>
            </w:r>
          </w:p>
        </w:tc>
        <w:tc>
          <w:tcPr>
            <w:tcW w:w="113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170,775,551</w:t>
            </w:r>
          </w:p>
        </w:tc>
        <w:tc>
          <w:tcPr>
            <w:tcW w:w="84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4.53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2"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9</w:t>
            </w:r>
          </w:p>
        </w:tc>
        <w:tc>
          <w:tcPr>
            <w:tcW w:w="2550"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潍坊潍州城建投资有限公司</w:t>
            </w:r>
          </w:p>
        </w:tc>
        <w:tc>
          <w:tcPr>
            <w:tcW w:w="113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170,775,551</w:t>
            </w:r>
          </w:p>
        </w:tc>
        <w:tc>
          <w:tcPr>
            <w:tcW w:w="84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4.53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2" w:type="pct"/>
            <w:vMerge w:val="restar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10</w:t>
            </w:r>
          </w:p>
        </w:tc>
        <w:tc>
          <w:tcPr>
            <w:tcW w:w="2550"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寿光市金财公有资产经营有限公司</w:t>
            </w:r>
          </w:p>
        </w:tc>
        <w:tc>
          <w:tcPr>
            <w:tcW w:w="113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153,601,777</w:t>
            </w:r>
          </w:p>
        </w:tc>
        <w:tc>
          <w:tcPr>
            <w:tcW w:w="84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4.07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2" w:type="pct"/>
            <w:vMerge w:val="continue"/>
            <w:noWrap w:val="0"/>
            <w:vAlign w:val="center"/>
          </w:tcPr>
          <w:p>
            <w:pPr>
              <w:adjustRightInd w:val="0"/>
              <w:snapToGrid w:val="0"/>
              <w:jc w:val="center"/>
              <w:rPr>
                <w:rFonts w:hint="eastAsia" w:asciiTheme="minorEastAsia" w:hAnsiTheme="minorEastAsia" w:eastAsiaTheme="minorEastAsia" w:cstheme="minorEastAsia"/>
                <w:iCs/>
                <w:sz w:val="21"/>
                <w:szCs w:val="21"/>
              </w:rPr>
            </w:pPr>
          </w:p>
        </w:tc>
        <w:tc>
          <w:tcPr>
            <w:tcW w:w="2550" w:type="pct"/>
            <w:noWrap w:val="0"/>
            <w:vAlign w:val="center"/>
          </w:tcPr>
          <w:p>
            <w:pPr>
              <w:adjustRightInd w:val="0"/>
              <w:snapToGrid w:val="0"/>
              <w:jc w:val="center"/>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青州市财政局</w:t>
            </w:r>
          </w:p>
        </w:tc>
        <w:tc>
          <w:tcPr>
            <w:tcW w:w="113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153,601,777</w:t>
            </w:r>
          </w:p>
        </w:tc>
        <w:tc>
          <w:tcPr>
            <w:tcW w:w="848" w:type="pct"/>
            <w:noWrap w:val="0"/>
            <w:vAlign w:val="center"/>
          </w:tcPr>
          <w:p>
            <w:pPr>
              <w:adjustRightInd w:val="0"/>
              <w:snapToGrid w:val="0"/>
              <w:jc w:val="right"/>
              <w:rPr>
                <w:rFonts w:hint="eastAsia" w:asciiTheme="minorEastAsia" w:hAnsiTheme="minorEastAsia" w:eastAsiaTheme="minorEastAsia" w:cstheme="minorEastAsia"/>
                <w:iCs/>
                <w:sz w:val="21"/>
                <w:szCs w:val="21"/>
              </w:rPr>
            </w:pPr>
            <w:r>
              <w:rPr>
                <w:rFonts w:hint="eastAsia" w:asciiTheme="minorEastAsia" w:hAnsiTheme="minorEastAsia" w:eastAsiaTheme="minorEastAsia" w:cstheme="minorEastAsia"/>
                <w:iCs/>
                <w:sz w:val="21"/>
                <w:szCs w:val="21"/>
              </w:rPr>
              <w:t>4.07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013" w:type="pct"/>
            <w:gridSpan w:val="2"/>
            <w:noWrap w:val="0"/>
            <w:vAlign w:val="center"/>
          </w:tcPr>
          <w:p>
            <w:pPr>
              <w:adjustRightInd w:val="0"/>
              <w:snapToGrid w:val="0"/>
              <w:jc w:val="center"/>
              <w:rPr>
                <w:rFonts w:hint="eastAsia" w:asciiTheme="minorEastAsia" w:hAnsiTheme="minorEastAsia" w:eastAsiaTheme="minorEastAsia" w:cstheme="minorEastAsia"/>
                <w:b/>
                <w:iCs/>
                <w:sz w:val="21"/>
                <w:szCs w:val="21"/>
              </w:rPr>
            </w:pPr>
            <w:r>
              <w:rPr>
                <w:rFonts w:hint="eastAsia" w:asciiTheme="minorEastAsia" w:hAnsiTheme="minorEastAsia" w:eastAsiaTheme="minorEastAsia" w:cstheme="minorEastAsia"/>
                <w:b/>
                <w:iCs/>
                <w:sz w:val="21"/>
                <w:szCs w:val="21"/>
              </w:rPr>
              <w:t>合计</w:t>
            </w:r>
          </w:p>
        </w:tc>
        <w:tc>
          <w:tcPr>
            <w:tcW w:w="1138" w:type="pct"/>
            <w:noWrap w:val="0"/>
            <w:vAlign w:val="center"/>
          </w:tcPr>
          <w:p>
            <w:pPr>
              <w:adjustRightInd w:val="0"/>
              <w:snapToGrid w:val="0"/>
              <w:jc w:val="right"/>
              <w:rPr>
                <w:rFonts w:hint="eastAsia" w:asciiTheme="minorEastAsia" w:hAnsiTheme="minorEastAsia" w:eastAsiaTheme="minorEastAsia" w:cstheme="minorEastAsia"/>
                <w:b/>
                <w:iCs/>
                <w:sz w:val="21"/>
                <w:szCs w:val="21"/>
              </w:rPr>
            </w:pPr>
            <w:r>
              <w:rPr>
                <w:rFonts w:hint="eastAsia" w:asciiTheme="minorEastAsia" w:hAnsiTheme="minorEastAsia" w:eastAsiaTheme="minorEastAsia" w:cstheme="minorEastAsia"/>
                <w:b/>
                <w:iCs/>
                <w:sz w:val="21"/>
                <w:szCs w:val="21"/>
              </w:rPr>
              <w:t>2,646,352,826</w:t>
            </w:r>
          </w:p>
        </w:tc>
        <w:tc>
          <w:tcPr>
            <w:tcW w:w="848" w:type="pct"/>
            <w:noWrap w:val="0"/>
            <w:vAlign w:val="center"/>
          </w:tcPr>
          <w:p>
            <w:pPr>
              <w:adjustRightInd w:val="0"/>
              <w:snapToGrid w:val="0"/>
              <w:jc w:val="right"/>
              <w:rPr>
                <w:rFonts w:hint="eastAsia" w:asciiTheme="minorEastAsia" w:hAnsiTheme="minorEastAsia" w:eastAsiaTheme="minorEastAsia" w:cstheme="minorEastAsia"/>
                <w:b/>
                <w:iCs/>
                <w:sz w:val="21"/>
                <w:szCs w:val="21"/>
              </w:rPr>
            </w:pPr>
            <w:r>
              <w:rPr>
                <w:rFonts w:hint="eastAsia" w:asciiTheme="minorEastAsia" w:hAnsiTheme="minorEastAsia" w:eastAsiaTheme="minorEastAsia" w:cstheme="minorEastAsia"/>
                <w:b/>
                <w:iCs/>
                <w:sz w:val="21"/>
                <w:szCs w:val="21"/>
              </w:rPr>
              <w:t>70.14</w:t>
            </w:r>
          </w:p>
        </w:tc>
      </w:tr>
      <w:bookmarkEnd w:id="0"/>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default"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由上表可知，</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股权结构较为分散，不存在股东持股比例超过1</w:t>
      </w:r>
      <w:r>
        <w:rPr>
          <w:rFonts w:hint="default" w:ascii="Times New Roman" w:hAnsi="Times New Roman" w:eastAsia="仿宋_GB2312" w:cs="Times New Roman"/>
          <w:b w:val="0"/>
          <w:bCs w:val="0"/>
          <w:sz w:val="30"/>
          <w:szCs w:val="30"/>
          <w:highlight w:val="none"/>
          <w:lang w:eastAsia="zh-CN"/>
        </w:rPr>
        <w:t>5</w:t>
      </w:r>
      <w:r>
        <w:rPr>
          <w:rFonts w:hint="eastAsia" w:ascii="Times New Roman" w:hAnsi="Times New Roman" w:eastAsia="仿宋_GB2312" w:cs="Times New Roman"/>
          <w:b w:val="0"/>
          <w:bCs w:val="0"/>
          <w:sz w:val="30"/>
          <w:szCs w:val="30"/>
          <w:highlight w:val="none"/>
          <w:lang w:eastAsia="zh-CN"/>
        </w:rPr>
        <w:t>%的情形，</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股东之间也不存在通过签署一致行动协议、股权代持等其他安排持有或者控制</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股份超过1</w:t>
      </w:r>
      <w:r>
        <w:rPr>
          <w:rFonts w:hint="default" w:ascii="Times New Roman" w:hAnsi="Times New Roman" w:eastAsia="仿宋_GB2312" w:cs="Times New Roman"/>
          <w:b w:val="0"/>
          <w:bCs w:val="0"/>
          <w:sz w:val="30"/>
          <w:szCs w:val="30"/>
          <w:highlight w:val="none"/>
          <w:lang w:eastAsia="zh-CN"/>
        </w:rPr>
        <w:t>5</w:t>
      </w:r>
      <w:r>
        <w:rPr>
          <w:rFonts w:hint="eastAsia" w:ascii="Times New Roman" w:hAnsi="Times New Roman" w:eastAsia="仿宋_GB2312" w:cs="Times New Roman"/>
          <w:b w:val="0"/>
          <w:bCs w:val="0"/>
          <w:sz w:val="30"/>
          <w:szCs w:val="30"/>
          <w:highlight w:val="none"/>
          <w:lang w:eastAsia="zh-CN"/>
        </w:rPr>
        <w:t>%的情况。</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各主要股东及其关联方合计所持有股份表决权均不足以单方面审议通过或不予通过股东大会决议；不存在股东依其可实际支配的</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股份表决权足以对</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股东大会决议产生重大影响的情形；不存在能够决定</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董事会半数以上成员选任的股东。综上所述，</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无控股股东。</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default"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根据中共潍坊市委、潍坊市人民政府下发的《关于完善国有金融资本管理的实施意见》，潍坊市人民政府授权潍坊市财政局集中统一履行市级国有金融资本出资人职责，潍坊银行股份有限公司为市属一级国有金融企业</w:t>
      </w:r>
      <w:r>
        <w:rPr>
          <w:rFonts w:hint="default" w:ascii="Times New Roman" w:hAnsi="Times New Roman" w:eastAsia="仿宋_GB2312" w:cs="Times New Roman"/>
          <w:b w:val="0"/>
          <w:bCs w:val="0"/>
          <w:sz w:val="30"/>
          <w:szCs w:val="30"/>
          <w:highlight w:val="none"/>
          <w:lang w:eastAsia="zh-CN"/>
        </w:rPr>
        <w:t>。</w:t>
      </w:r>
      <w:r>
        <w:rPr>
          <w:rFonts w:hint="eastAsia" w:ascii="Times New Roman" w:hAnsi="Times New Roman" w:eastAsia="仿宋_GB2312" w:cs="Times New Roman"/>
          <w:b w:val="0"/>
          <w:bCs w:val="0"/>
          <w:sz w:val="30"/>
          <w:szCs w:val="30"/>
          <w:highlight w:val="none"/>
          <w:lang w:eastAsia="zh-CN"/>
        </w:rPr>
        <w:t>截至本反馈意见回复出具日，潍坊市人民政府所控制的股权比例为7</w:t>
      </w:r>
      <w:r>
        <w:rPr>
          <w:rFonts w:hint="default" w:ascii="Times New Roman" w:hAnsi="Times New Roman" w:eastAsia="仿宋_GB2312" w:cs="Times New Roman"/>
          <w:b w:val="0"/>
          <w:bCs w:val="0"/>
          <w:sz w:val="30"/>
          <w:szCs w:val="30"/>
          <w:highlight w:val="none"/>
          <w:lang w:eastAsia="zh-CN"/>
        </w:rPr>
        <w:t>9.15%</w:t>
      </w:r>
      <w:r>
        <w:rPr>
          <w:rFonts w:hint="eastAsia" w:ascii="Times New Roman" w:hAnsi="Times New Roman" w:eastAsia="仿宋_GB2312" w:cs="Times New Roman"/>
          <w:b w:val="0"/>
          <w:bCs w:val="0"/>
          <w:sz w:val="30"/>
          <w:szCs w:val="30"/>
          <w:highlight w:val="none"/>
          <w:lang w:eastAsia="zh-CN"/>
        </w:rPr>
        <w:t>，详情如下：</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3904"/>
        <w:gridCol w:w="1592"/>
        <w:gridCol w:w="1082"/>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309" w:type="pct"/>
            <w:noWrap w:val="0"/>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股东名称</w:t>
            </w:r>
          </w:p>
        </w:tc>
        <w:tc>
          <w:tcPr>
            <w:tcW w:w="857" w:type="pct"/>
            <w:noWrap w:val="0"/>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持股数量（股）</w:t>
            </w:r>
          </w:p>
        </w:tc>
        <w:tc>
          <w:tcPr>
            <w:tcW w:w="654" w:type="pct"/>
            <w:noWrap w:val="0"/>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持股比例</w:t>
            </w:r>
          </w:p>
        </w:tc>
        <w:tc>
          <w:tcPr>
            <w:tcW w:w="756" w:type="pct"/>
            <w:noWrap w:val="0"/>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潍坊市城市建设发展投资集团有限公司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512,326,655</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13.58%</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潍坊滨海旅游集团有限公司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493,351,592</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13.08%</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潍坊市投资集团有限公司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234,307,795</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6.21%</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潍坊市政金控股集团有限公司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204,152,437</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5.41%</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潍坊峡山绿色科技发展集团有限公司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180,263,082</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4.78%</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高密市国有资产经营投资有限公司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175,231,317</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4.64%</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潍坊滨城投资开发有限公司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170,775,551</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4.53%</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潍坊潍州城建投资有限公司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170,775,551</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4.53%</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寿光市金财公有资产经营有限公司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153,601,777</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4.07%</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青州市财政局</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153,601,777</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4.07%</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县级市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诸城市财政局</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140,584,676</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3.73%</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县级市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潍坊市财金投资集团有限公司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140,584,676</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3.73%</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潍坊市再担保集团股份有限公司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72,105,233</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1.91%</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潍坊创新投资集团有限公司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60,720,195</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1.61%</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潍坊高新技术产业开发区财政局</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48,450,173</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1.28%</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潍坊市东方国有资产经营管理有限公司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21,629,542</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0.57%</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安丘市财政局</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19,796,530</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0.52%</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县级市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诸城市经济开发投资公司</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19,796,530</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0.52%</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21"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w:t>
            </w:r>
          </w:p>
        </w:tc>
        <w:tc>
          <w:tcPr>
            <w:tcW w:w="2309"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昌乐县财政局</w:t>
            </w:r>
          </w:p>
        </w:tc>
        <w:tc>
          <w:tcPr>
            <w:tcW w:w="85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14,535,051</w:t>
            </w:r>
          </w:p>
        </w:tc>
        <w:tc>
          <w:tcPr>
            <w:tcW w:w="654"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0.39%</w:t>
            </w:r>
          </w:p>
        </w:tc>
        <w:tc>
          <w:tcPr>
            <w:tcW w:w="756"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潍坊市下属县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731" w:type="pct"/>
            <w:gridSpan w:val="2"/>
            <w:noWrap w:val="0"/>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合计</w:t>
            </w:r>
          </w:p>
        </w:tc>
        <w:tc>
          <w:tcPr>
            <w:tcW w:w="857" w:type="pct"/>
            <w:noWrap w:val="0"/>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2,986,590,140</w:t>
            </w:r>
          </w:p>
        </w:tc>
        <w:tc>
          <w:tcPr>
            <w:tcW w:w="654" w:type="pct"/>
            <w:noWrap w:val="0"/>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79.15%</w:t>
            </w:r>
          </w:p>
        </w:tc>
        <w:tc>
          <w:tcPr>
            <w:tcW w:w="756" w:type="pct"/>
            <w:noWrap w:val="0"/>
            <w:vAlign w:val="center"/>
          </w:tcPr>
          <w:p>
            <w:pPr>
              <w:adjustRightInd w:val="0"/>
              <w:snapToGrid w:val="0"/>
              <w:jc w:val="center"/>
              <w:rPr>
                <w:rFonts w:hint="eastAsia" w:asciiTheme="minorEastAsia" w:hAnsiTheme="minorEastAsia" w:eastAsiaTheme="minorEastAsia" w:cstheme="minorEastAsia"/>
                <w:b/>
                <w:bCs/>
                <w:sz w:val="21"/>
                <w:szCs w:val="21"/>
              </w:rPr>
            </w:pP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default"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综上所述，</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实际控制人系潍坊市人民政府。</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default" w:ascii="Times New Roman" w:hAnsi="Times New Roman" w:eastAsia="仿宋_GB2312" w:cs="Times New Roman"/>
          <w:b w:val="0"/>
          <w:bCs w:val="0"/>
          <w:sz w:val="30"/>
          <w:szCs w:val="30"/>
          <w:highlight w:val="none"/>
          <w:lang w:eastAsia="zh-CN"/>
        </w:rPr>
      </w:pP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 xml:space="preserve">已于《定向发行说明书》“第一节 </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基本信息”之“二、</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股权及股本变化情况”之“（三）</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的控股股东及实际控制人”补充披露</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控股股东及实际控制人的认定情况。</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2" w:firstLineChars="200"/>
        <w:jc w:val="both"/>
        <w:textAlignment w:val="auto"/>
        <w:outlineLvl w:val="9"/>
        <w:rPr>
          <w:rFonts w:hint="eastAsia" w:ascii="Times New Roman" w:hAnsi="Times New Roman" w:eastAsia="仿宋_GB2312" w:cs="Times New Roman"/>
          <w:b/>
          <w:bCs/>
          <w:sz w:val="30"/>
          <w:szCs w:val="30"/>
          <w:highlight w:val="none"/>
          <w:lang w:eastAsia="zh-CN"/>
        </w:rPr>
      </w:pPr>
      <w:r>
        <w:rPr>
          <w:rFonts w:hint="default" w:eastAsia="仿宋_GB2312" w:cs="Times New Roman"/>
          <w:b/>
          <w:bCs/>
          <w:sz w:val="30"/>
          <w:szCs w:val="30"/>
          <w:highlight w:val="none"/>
          <w:lang w:eastAsia="zh-CN"/>
        </w:rPr>
        <w:t>2.</w:t>
      </w:r>
      <w:r>
        <w:rPr>
          <w:rFonts w:hint="eastAsia" w:ascii="Times New Roman" w:hAnsi="Times New Roman" w:eastAsia="仿宋_GB2312" w:cs="Times New Roman"/>
          <w:b/>
          <w:bCs/>
          <w:sz w:val="30"/>
          <w:szCs w:val="30"/>
          <w:highlight w:val="none"/>
          <w:lang w:eastAsia="zh-CN"/>
        </w:rPr>
        <w:t>已确定认购意向的股东信息及拟认购数量</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截至反馈意见回复出具日，</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尚无已确定认购意向的合格投资者，已向</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提出认购意向申请并在洽谈中的投资者共计7名，</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正在对其股东资格适格性进行审查，详情如下：</w:t>
      </w:r>
    </w:p>
    <w:tbl>
      <w:tblPr>
        <w:tblStyle w:val="10"/>
        <w:tblpPr w:leftFromText="180" w:rightFromText="180" w:vertAnchor="text" w:horzAnchor="page" w:tblpX="1812" w:tblpY="625"/>
        <w:tblOverlap w:val="never"/>
        <w:tblW w:w="4998"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670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企业名称</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潍坊市城市建设发展投资集团有限公司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有限责任公司（国有控股）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住所</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山东省潍坊市奎文区文化路439号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法定代表人</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马永军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注册资本</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500,000万元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登记状态</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在营（开业）企业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营业期限</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2016-09-22至无固定期限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经营范围</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国有资产投资及资本运营；国有资产经营管理；城市和农业基础设施开发建设；土地整理及房地产开发；物业管理；房屋租赁等。（依法须经批准的项目，经相关部门批准后方可开展经营活动）</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汉仪书宋二S" w:hAnsi="汉仪书宋二S" w:eastAsia="汉仪书宋二S" w:cs="汉仪书宋二S"/>
          <w:b w:val="0"/>
          <w:bCs w:val="0"/>
          <w:sz w:val="30"/>
          <w:szCs w:val="30"/>
          <w:highlight w:val="none"/>
          <w:lang w:eastAsia="zh-CN"/>
        </w:rPr>
        <w:t>①</w:t>
      </w:r>
      <w:r>
        <w:rPr>
          <w:rFonts w:hint="eastAsia" w:ascii="Times New Roman" w:hAnsi="Times New Roman" w:eastAsia="仿宋_GB2312" w:cs="Times New Roman"/>
          <w:b w:val="0"/>
          <w:bCs w:val="0"/>
          <w:sz w:val="30"/>
          <w:szCs w:val="30"/>
          <w:highlight w:val="none"/>
          <w:lang w:eastAsia="zh-CN"/>
        </w:rPr>
        <w:t>潍坊市城市建设发展投资集团有限公司</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穿透后的股权结构如下：</w:t>
      </w:r>
    </w:p>
    <w:tbl>
      <w:tblPr>
        <w:tblStyle w:val="10"/>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4488"/>
        <w:gridCol w:w="1556"/>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63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持股比例</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穿透层级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潍坊市国有资产监督管理委员会</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90.00%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一级股东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山东省财欣资产运营有限公司</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一级股东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山东省财政厅</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二级股东</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汉仪书宋二S" w:hAnsi="汉仪书宋二S" w:eastAsia="汉仪书宋二S" w:cs="汉仪书宋二S"/>
          <w:b w:val="0"/>
          <w:bCs w:val="0"/>
          <w:sz w:val="30"/>
          <w:szCs w:val="30"/>
          <w:highlight w:val="none"/>
          <w:lang w:eastAsia="zh-CN"/>
        </w:rPr>
        <w:t>②</w:t>
      </w:r>
      <w:r>
        <w:rPr>
          <w:rFonts w:hint="eastAsia" w:ascii="Times New Roman" w:hAnsi="Times New Roman" w:eastAsia="仿宋_GB2312" w:cs="Times New Roman"/>
          <w:b w:val="0"/>
          <w:bCs w:val="0"/>
          <w:sz w:val="30"/>
          <w:szCs w:val="30"/>
          <w:highlight w:val="none"/>
          <w:lang w:eastAsia="zh-CN"/>
        </w:rPr>
        <w:t>潍坊滨海旅游集团有限公司</w:t>
      </w:r>
    </w:p>
    <w:tbl>
      <w:tblPr>
        <w:tblStyle w:val="10"/>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67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企业名称</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潍坊滨海旅游集团有限公司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有限责任公司（非自然人投资或控股的法人独资）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住所</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潍坊滨海经济开发区创业大厦7楼712室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法定代表人</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注册资本</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70,000万元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登记状态</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在营（开业）企业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营业期限</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2013-06-07至无固定期限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经营范围</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般项目：旅游开发项目策划咨询；游览景区管理；会议及展览服务；休闲观光活动；以自有资金从事投资活动；自有资金投资的资产管理服务；土地整治服务；非居住房地产租赁；企业管理咨询；信息咨询服务（不含许可类信息咨询服务）；普通货物仓储服务（不含危险化学品等需许可审批的项目）；市场调查（不含涉外调查）；建筑材料销售；融资咨询服务；酒店管理；船舶租赁；软件开发。（除依法须经批准的项目外，凭营业执照依法自主开展经营活动）</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穿透后的股权结构如下：</w:t>
      </w:r>
    </w:p>
    <w:tbl>
      <w:tblPr>
        <w:tblStyle w:val="10"/>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4488"/>
        <w:gridCol w:w="1556"/>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63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持股比例</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穿透层级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潍坊市海洋投资集团有限公司</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一级股东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潍坊市国有资产监督管理委员会</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98.63%</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二级股东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山东省财欣资产运营有限公司</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1.37%</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二级股东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山东省财政厅</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三级股东</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③潍坊峡山绿色科技发展集团有限公司</w:t>
      </w:r>
    </w:p>
    <w:tbl>
      <w:tblPr>
        <w:tblStyle w:val="10"/>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67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企业名称</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潍坊峡山绿色科技发展集团有限公司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有限责任公司（非自然人投资或控股的法人独资）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住所</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山东省潍坊市峡山区太保庄街道凤凰岭街197号5号楼金融创新小镇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法定代表人</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李艾检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注册资本</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400,000万元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登记状态</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在营（开业）企业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营业期限</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2015-11-10至无固定期限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经营范围</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农业科学、工程和技术的研究和试验发展；农业技术、生物技术推广服务；高新技术产业项目的投资、建设和运营管理；以自有资产对项目进行投资；运营授权范围内的国有资产；财务、信息咨询（依法须经批准的项目，经相关部门批准后方可开展经营活动）。</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汉仪书宋二S" w:hAnsi="汉仪书宋二S" w:eastAsia="汉仪书宋二S" w:cs="汉仪书宋二S"/>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穿透后的股权结构如下：</w:t>
      </w:r>
    </w:p>
    <w:tbl>
      <w:tblPr>
        <w:tblStyle w:val="10"/>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4488"/>
        <w:gridCol w:w="1556"/>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63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持股比例</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穿透层级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潍坊水务投资集团有限公司</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一级股东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潍坊市国有资产监督管理委员会</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90.00%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二级股东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山东省财欣资产运营有限公司</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二级股东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山东省财政厅</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三级股东</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汉仪书宋二S" w:hAnsi="汉仪书宋二S" w:eastAsia="汉仪书宋二S" w:cs="汉仪书宋二S"/>
          <w:b w:val="0"/>
          <w:bCs w:val="0"/>
          <w:sz w:val="30"/>
          <w:szCs w:val="30"/>
          <w:highlight w:val="none"/>
          <w:lang w:eastAsia="zh-CN"/>
        </w:rPr>
        <w:t>④</w:t>
      </w:r>
      <w:r>
        <w:rPr>
          <w:rFonts w:hint="eastAsia" w:ascii="Times New Roman" w:hAnsi="Times New Roman" w:eastAsia="仿宋_GB2312" w:cs="Times New Roman"/>
          <w:b w:val="0"/>
          <w:bCs w:val="0"/>
          <w:sz w:val="30"/>
          <w:szCs w:val="30"/>
          <w:highlight w:val="none"/>
          <w:lang w:eastAsia="zh-CN"/>
        </w:rPr>
        <w:t>潍坊滨城投资开发有限公司</w:t>
      </w:r>
    </w:p>
    <w:tbl>
      <w:tblPr>
        <w:tblStyle w:val="10"/>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67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企业名称</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潍坊滨城投资开发有限公司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有限责任公司（国有控股）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住所</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山东省潍坊市寒亭区民主街213号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法定代表人</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邵红刚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注册资本</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300,000万元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登记状态</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在营（开业）企业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营业期限</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2005-08-17至无固定期限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经营范围</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般项目：以自有资金从事投资活动；城乡市容管理；园林绿化工程施工；住房租赁。（除依法须经批准的项目外，凭营业执照依法自主开展经营活动）许可项目：各类工程建设活动；水利工程建设监理。（依法须经批准的项目，经相关部门批准后方可开展经营活动，具体经营项目以相关部门批准文件或许可证件为准）</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穿透后的股权结构如下：</w:t>
      </w:r>
    </w:p>
    <w:tbl>
      <w:tblPr>
        <w:tblStyle w:val="10"/>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4488"/>
        <w:gridCol w:w="1556"/>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63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持股比例</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穿透层级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潍坊三农创新发展集团有限公司</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60.00%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一级股东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潍坊市国有资产监督管理委员会</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72.00%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二级股东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潍坊市寒亭区财政局</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28.00%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二级股东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潍坊市寒亭区财政局</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一级股东</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汉仪书宋二S" w:hAnsi="汉仪书宋二S" w:eastAsia="汉仪书宋二S" w:cs="汉仪书宋二S"/>
          <w:b w:val="0"/>
          <w:bCs w:val="0"/>
          <w:sz w:val="30"/>
          <w:szCs w:val="30"/>
          <w:highlight w:val="none"/>
          <w:lang w:eastAsia="zh-CN"/>
        </w:rPr>
        <w:t>⑤</w:t>
      </w:r>
      <w:r>
        <w:rPr>
          <w:rFonts w:hint="eastAsia" w:ascii="Times New Roman" w:hAnsi="Times New Roman" w:eastAsia="仿宋_GB2312" w:cs="Times New Roman"/>
          <w:b w:val="0"/>
          <w:bCs w:val="0"/>
          <w:sz w:val="30"/>
          <w:szCs w:val="30"/>
          <w:highlight w:val="none"/>
          <w:lang w:eastAsia="zh-CN"/>
        </w:rPr>
        <w:t>潍坊潍州城建投资有限公司</w:t>
      </w:r>
    </w:p>
    <w:tbl>
      <w:tblPr>
        <w:tblStyle w:val="10"/>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67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企业名称</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潍坊潍州城建投资有限公司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有限责任公司（非自然人投资或控股的法人独资）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住所</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潍坊市潍城区月河路月河楼商务大厦C座1808室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法定代表人</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王健君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注册资本</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50,000万元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登记状态</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在营（开业）企业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营业期限</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2016-01-21至2066-01-20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经营范围</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城建项目投资（未经金融监管部门批准，不得从事吸收存款、融资担保、代客理财等金融业务）；建筑安装工程、市政工程施工；房地产开发与经营。（依法须经批准的项目，经相关部门批准后方可开展经营活动）</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穿透后的股权结构如下：</w:t>
      </w:r>
    </w:p>
    <w:tbl>
      <w:tblPr>
        <w:tblStyle w:val="10"/>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4369"/>
        <w:gridCol w:w="151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97" w:type="dxa"/>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4369" w:type="dxa"/>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1515" w:type="dxa"/>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持股比例</w:t>
            </w:r>
          </w:p>
        </w:tc>
        <w:tc>
          <w:tcPr>
            <w:tcW w:w="1515" w:type="dxa"/>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穿透层级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97" w:type="dxa"/>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369" w:type="dxa"/>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潍坊市城区西部投资发展集团有限公司</w:t>
            </w:r>
          </w:p>
        </w:tc>
        <w:tc>
          <w:tcPr>
            <w:tcW w:w="1515" w:type="dxa"/>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100.00%</w:t>
            </w:r>
          </w:p>
        </w:tc>
        <w:tc>
          <w:tcPr>
            <w:tcW w:w="1515" w:type="dxa"/>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一级股东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97" w:type="dxa"/>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4369" w:type="dxa"/>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潍坊市潍城区财政局（潍坊市潍城区国有资产监督管理局）</w:t>
            </w:r>
          </w:p>
        </w:tc>
        <w:tc>
          <w:tcPr>
            <w:tcW w:w="1515" w:type="dxa"/>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100.00%</w:t>
            </w:r>
          </w:p>
        </w:tc>
        <w:tc>
          <w:tcPr>
            <w:tcW w:w="1515" w:type="dxa"/>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二级股东</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汉仪书宋二S" w:hAnsi="汉仪书宋二S" w:eastAsia="汉仪书宋二S" w:cs="汉仪书宋二S"/>
          <w:b w:val="0"/>
          <w:bCs w:val="0"/>
          <w:sz w:val="30"/>
          <w:szCs w:val="30"/>
          <w:highlight w:val="none"/>
          <w:lang w:eastAsia="zh-CN"/>
        </w:rPr>
        <w:t>⑥</w:t>
      </w:r>
      <w:r>
        <w:rPr>
          <w:rFonts w:hint="eastAsia" w:ascii="Times New Roman" w:hAnsi="Times New Roman" w:eastAsia="仿宋_GB2312" w:cs="Times New Roman"/>
          <w:b w:val="0"/>
          <w:bCs w:val="0"/>
          <w:sz w:val="30"/>
          <w:szCs w:val="30"/>
          <w:highlight w:val="none"/>
          <w:lang w:eastAsia="zh-CN"/>
        </w:rPr>
        <w:t>潍坊市财金投资集团有限公司</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60"/>
        <w:gridCol w:w="65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0" w:type="dxa"/>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企业名称</w:t>
            </w:r>
          </w:p>
        </w:tc>
        <w:tc>
          <w:tcPr>
            <w:tcW w:w="6526" w:type="dxa"/>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潍坊市财金投资集团有限公司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0" w:type="dxa"/>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6526" w:type="dxa"/>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有限责任公司（非自然人投资或控股的法人独资）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0" w:type="dxa"/>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住所</w:t>
            </w:r>
          </w:p>
        </w:tc>
        <w:tc>
          <w:tcPr>
            <w:tcW w:w="6526" w:type="dxa"/>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山东省潍坊市奎文区新华路23号1号楼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0" w:type="dxa"/>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法定代表人</w:t>
            </w:r>
          </w:p>
        </w:tc>
        <w:tc>
          <w:tcPr>
            <w:tcW w:w="6526" w:type="dxa"/>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于治伦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0" w:type="dxa"/>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注册资本</w:t>
            </w:r>
          </w:p>
        </w:tc>
        <w:tc>
          <w:tcPr>
            <w:tcW w:w="6526" w:type="dxa"/>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500,000万元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0" w:type="dxa"/>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登记状态</w:t>
            </w:r>
          </w:p>
        </w:tc>
        <w:tc>
          <w:tcPr>
            <w:tcW w:w="6526" w:type="dxa"/>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在营（开业）企业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0" w:type="dxa"/>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营业期限</w:t>
            </w:r>
          </w:p>
        </w:tc>
        <w:tc>
          <w:tcPr>
            <w:tcW w:w="6526" w:type="dxa"/>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2016-02-18至无固定期限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0" w:type="dxa"/>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经营范围</w:t>
            </w:r>
          </w:p>
        </w:tc>
        <w:tc>
          <w:tcPr>
            <w:tcW w:w="6526" w:type="dxa"/>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许可项目：房地产开发经营；建设工程施工。（依法须经批准的项目，经相关部门批准后方可开展经营活动，具体经营项目以相关部门批准文件或许可证件为准）一般项目：以自有资金从事投资活动；自有资金投资的资产管理服务；以私募基金从事股权投资、投资管理、资产管理等活动（须在中国证券投资基金业协会完成登记备案后方可从事经营活动）；私募证券投资基金管理服务（须在中国证券投资基金业协会完成登记备案登记后方可从事经营活动）；私募股权投资基金管理、创业投资基金管理服务（须在中国证券投资基金业协会完成登记备案后方可从事经营活动）；创业投资（限投资未上市企业）；企业总部管理；信息咨询服务（不含许可类信息咨询服务）；社会经济咨询服务；融资咨询服务；农村集体经济组织管理；土地调查评估服务；社会稳定风险评估；运行效能评估服务；房地产评估；房地产咨询；知识产权服务（专利代理服务除外）；信息系统集成服务；物业服务评估；土地整治服务；土壤污染治理与修复服务；土壤环境污染防治服务；工程和技术研究和试验发展；企业管理咨询；市政设施管理；信息技术咨询服务；技术服务、技术开发、技术咨询、技术交流、技术转让、技术推广；工程管理服务；非居住房地产租赁；土地使用权租赁；住房租赁；会议及展览服务；市场营销策划；共享自行车服务；城市绿化管理；数字内容制作服务（不含出版发行）；采购代理服务；接受金融机构委托从事信息技术和流程外包服务（不含金融信息服务）；票据信息咨询服务；物业管理。（除依法须经批准的项目外，凭营业执照依法自主开展经营活动）</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穿透后的股权结构如下：</w:t>
      </w:r>
    </w:p>
    <w:tbl>
      <w:tblPr>
        <w:tblStyle w:val="10"/>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4488"/>
        <w:gridCol w:w="1556"/>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63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持股比例</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穿透层级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潍坊市政府投融资管理中心</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100.00%</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一级股东</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汉仪书宋二S" w:hAnsi="汉仪书宋二S" w:eastAsia="汉仪书宋二S" w:cs="汉仪书宋二S"/>
          <w:b w:val="0"/>
          <w:bCs w:val="0"/>
          <w:sz w:val="30"/>
          <w:szCs w:val="30"/>
          <w:highlight w:val="none"/>
          <w:lang w:eastAsia="zh-CN"/>
        </w:rPr>
        <w:t>⑦</w:t>
      </w:r>
      <w:r>
        <w:rPr>
          <w:rFonts w:hint="eastAsia" w:ascii="Times New Roman" w:hAnsi="Times New Roman" w:eastAsia="仿宋_GB2312" w:cs="Times New Roman"/>
          <w:b w:val="0"/>
          <w:bCs w:val="0"/>
          <w:sz w:val="30"/>
          <w:szCs w:val="30"/>
          <w:highlight w:val="none"/>
          <w:lang w:eastAsia="zh-CN"/>
        </w:rPr>
        <w:t>潍坊市政金控股集团有限公司</w:t>
      </w:r>
    </w:p>
    <w:tbl>
      <w:tblPr>
        <w:tblStyle w:val="10"/>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67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企业名称</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潍坊市政金控股集团有限公司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有限责任公司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住所</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山东省潍坊高新区新城街道玉清社区玉清东街13155号1-2层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法定代表人</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于新华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注册资本</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361,478.57万元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登记状态</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在营（开业）企业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营业期限</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2005-06-25至无固定期限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pct"/>
            <w:noWrap w:val="0"/>
            <w:vAlign w:val="center"/>
          </w:tcPr>
          <w:p>
            <w:pPr>
              <w:adjustRightInd w:val="0"/>
              <w:snapToGri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经营范围</w:t>
            </w:r>
          </w:p>
        </w:tc>
        <w:tc>
          <w:tcPr>
            <w:tcW w:w="3937" w:type="pct"/>
            <w:noWrap w:val="0"/>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一般项目：控股公司服务；以自有资金从事投资活动；股权投资；创业投资；自有资金投资的资产管理服务；融资咨询服务；社会经济咨询服务（除依法须经批准的项目外，凭营业执照依法自主开展经营活动）</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穿透后的股权结构如下：</w:t>
      </w:r>
    </w:p>
    <w:tbl>
      <w:tblPr>
        <w:tblStyle w:val="10"/>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4488"/>
        <w:gridCol w:w="1556"/>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63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持股比例</w:t>
            </w:r>
          </w:p>
        </w:tc>
        <w:tc>
          <w:tcPr>
            <w:tcW w:w="913" w:type="pct"/>
            <w:noWrap w:val="0"/>
            <w:vAlign w:val="center"/>
          </w:tcPr>
          <w:p>
            <w:pPr>
              <w:widowControl/>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穿透层级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潍坊市政府投融资管理中心</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78.98%</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一级股东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pct"/>
            <w:noWrap w:val="0"/>
            <w:vAlign w:val="center"/>
          </w:tcPr>
          <w:p>
            <w:pPr>
              <w:widowControl/>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63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潍坊市国有资产监督管理委员会</w:t>
            </w:r>
          </w:p>
        </w:tc>
        <w:tc>
          <w:tcPr>
            <w:tcW w:w="913" w:type="pct"/>
            <w:noWrap w:val="0"/>
            <w:vAlign w:val="top"/>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21.02%</w:t>
            </w:r>
          </w:p>
        </w:tc>
        <w:tc>
          <w:tcPr>
            <w:tcW w:w="913" w:type="pct"/>
            <w:noWrap w:val="0"/>
            <w:vAlign w:val="center"/>
          </w:tcPr>
          <w:p>
            <w:pPr>
              <w:adjustRightInd w:val="0"/>
              <w:snapToGrid w:val="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一级股东</w:t>
            </w:r>
          </w:p>
        </w:tc>
      </w:tr>
    </w:tbl>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上述投资者均为</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登记在册的法人股东，其拟认购数量仍在洽谈过程中，尚未确定具体认购数量。</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2" w:firstLineChars="200"/>
        <w:jc w:val="both"/>
        <w:textAlignment w:val="auto"/>
        <w:outlineLvl w:val="9"/>
        <w:rPr>
          <w:rFonts w:hint="eastAsia" w:ascii="Times New Roman" w:hAnsi="Times New Roman" w:eastAsia="仿宋_GB2312" w:cs="Times New Roman"/>
          <w:b/>
          <w:bCs/>
          <w:sz w:val="30"/>
          <w:szCs w:val="30"/>
          <w:highlight w:val="none"/>
          <w:lang w:eastAsia="zh-CN"/>
        </w:rPr>
      </w:pPr>
      <w:r>
        <w:rPr>
          <w:rFonts w:hint="default" w:eastAsia="仿宋_GB2312" w:cs="Times New Roman"/>
          <w:b/>
          <w:bCs/>
          <w:sz w:val="30"/>
          <w:szCs w:val="30"/>
          <w:highlight w:val="none"/>
          <w:lang w:eastAsia="zh-CN"/>
        </w:rPr>
        <w:t>3.</w:t>
      </w:r>
      <w:r>
        <w:rPr>
          <w:rFonts w:hint="eastAsia" w:ascii="Times New Roman" w:hAnsi="Times New Roman" w:eastAsia="仿宋_GB2312" w:cs="Times New Roman"/>
          <w:b/>
          <w:bCs/>
          <w:sz w:val="30"/>
          <w:szCs w:val="30"/>
          <w:highlight w:val="none"/>
          <w:lang w:eastAsia="zh-CN"/>
        </w:rPr>
        <w:t>本次定向发行完成后对公司股权结构的影响，是否导致对控股股东及实际控制人认定的变化</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截至反馈意见回复出具日，</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股份总数为37.73亿股，股东户数共1,921户。</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无控股股东，实际控制人系潍坊市人民政府。根据本次发行方案，发行股份数量上限为8.3亿股，本次发行完成后，</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股份总数不超过46.03亿股。</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本次定向发行完成后，</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将关注合格投资者对公司股权结构的影响，</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董事会对投资者单一或联合其关联方、一致行动人合并持股比例超过5%以上的入股申请，将根据相关法律法规的规定严格履行向银行保险监督管理机构的报批程序。</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根据经</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东大会审议通过的增资扩股方案，本次增资扩股的认购对象须符合《关于加强中小商业银行主要股东资格审核的通知》等法规的相关要求，其中该通知明确要求“主要股东包括战略投资者持股比例一般不超过20%”，因此本次发行完成后，</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预计将不存在单一股东持有、股东通过签署一致行动协议、股权代持等其他安排持有或者控制</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股份超过20%的情况；各主要股东及其关联方合计所持有股份表决权均不足以单方面审议通过或不予通过股东大会决议；不存在股东依其可实际支配的</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股份表决权足以对</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股东大会决议产生重大影响的情形；不存在能够决定</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董事会半数以上成员选任的股东。因此，本次发行完成后，</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仍不存在控股股东。</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截至反馈意见回复出具日，已向</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提出认购意向申请的7名股东均系潍坊市人民政府实际控制企业。因此，本次发行完成后，</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实际控制人仍为潍坊市人民政府。</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综上，本次定向发行不会导致</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对控股股东及实际控制人认定的变化。</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已于《定向发行说明书》“第四节 本次定向发行对申请人的影响”之“一、本次定向发行对</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经营管理的影响”中补充披露上述情况。</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2" w:firstLineChars="200"/>
        <w:jc w:val="both"/>
        <w:textAlignment w:val="auto"/>
        <w:outlineLvl w:val="9"/>
        <w:rPr>
          <w:rFonts w:hint="default" w:ascii="Times New Roman" w:hAnsi="Times New Roman" w:eastAsia="仿宋_GB2312" w:cs="Times New Roman"/>
          <w:b/>
          <w:bCs/>
          <w:sz w:val="30"/>
          <w:szCs w:val="30"/>
          <w:highlight w:val="none"/>
          <w:lang w:eastAsia="zh-CN"/>
        </w:rPr>
      </w:pPr>
      <w:r>
        <w:rPr>
          <w:rFonts w:hint="default" w:ascii="Times New Roman" w:hAnsi="Times New Roman" w:eastAsia="仿宋_GB2312" w:cs="Times New Roman"/>
          <w:b/>
          <w:bCs/>
          <w:sz w:val="30"/>
          <w:szCs w:val="30"/>
          <w:highlight w:val="none"/>
          <w:lang w:eastAsia="zh-CN"/>
        </w:rPr>
        <w:t>申请人</w:t>
      </w:r>
      <w:r>
        <w:rPr>
          <w:rFonts w:hint="eastAsia" w:ascii="Times New Roman" w:hAnsi="Times New Roman" w:eastAsia="仿宋_GB2312" w:cs="Times New Roman"/>
          <w:b/>
          <w:bCs/>
          <w:sz w:val="30"/>
          <w:szCs w:val="30"/>
          <w:highlight w:val="none"/>
          <w:lang w:eastAsia="zh-CN"/>
        </w:rPr>
        <w:t>律师</w:t>
      </w:r>
      <w:r>
        <w:rPr>
          <w:rFonts w:hint="default" w:ascii="Times New Roman" w:hAnsi="Times New Roman" w:eastAsia="仿宋_GB2312" w:cs="Times New Roman"/>
          <w:b/>
          <w:bCs/>
          <w:sz w:val="30"/>
          <w:szCs w:val="30"/>
          <w:highlight w:val="none"/>
          <w:lang w:eastAsia="zh-CN"/>
        </w:rPr>
        <w:t>认为：</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default" w:ascii="Times New Roman" w:hAnsi="Times New Roman" w:eastAsia="仿宋_GB2312" w:cs="Times New Roman"/>
          <w:b w:val="0"/>
          <w:bCs w:val="0"/>
          <w:sz w:val="30"/>
          <w:szCs w:val="30"/>
          <w:highlight w:val="none"/>
          <w:lang w:eastAsia="zh-CN"/>
        </w:rPr>
        <w:t>申请人</w:t>
      </w:r>
      <w:r>
        <w:rPr>
          <w:rFonts w:hint="eastAsia" w:ascii="Times New Roman" w:hAnsi="Times New Roman" w:eastAsia="仿宋_GB2312" w:cs="Times New Roman"/>
          <w:b w:val="0"/>
          <w:bCs w:val="0"/>
          <w:sz w:val="30"/>
          <w:szCs w:val="30"/>
          <w:highlight w:val="none"/>
          <w:lang w:eastAsia="zh-CN"/>
        </w:rPr>
        <w:t>无控股股东，实际控制人系潍坊市人民政府，</w:t>
      </w:r>
      <w:r>
        <w:rPr>
          <w:rFonts w:hint="default" w:ascii="Times New Roman" w:hAnsi="Times New Roman" w:eastAsia="仿宋_GB2312" w:cs="Times New Roman"/>
          <w:b w:val="0"/>
          <w:bCs w:val="0"/>
          <w:sz w:val="30"/>
          <w:szCs w:val="30"/>
          <w:highlight w:val="none"/>
          <w:lang w:eastAsia="zh-CN"/>
        </w:rPr>
        <w:t>申请人</w:t>
      </w:r>
      <w:r>
        <w:rPr>
          <w:rFonts w:hint="eastAsia" w:ascii="Times New Roman" w:hAnsi="Times New Roman" w:eastAsia="仿宋_GB2312" w:cs="Times New Roman"/>
          <w:b w:val="0"/>
          <w:bCs w:val="0"/>
          <w:sz w:val="30"/>
          <w:szCs w:val="30"/>
          <w:highlight w:val="none"/>
          <w:lang w:eastAsia="zh-CN"/>
        </w:rPr>
        <w:t xml:space="preserve">已于《定向发行说明书》“第一节 </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基本信息”之“二、</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股权及股本变化情况”之“（三）</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的控股股东及实际控制人”补充披露其控股股东及实际控制人的认定情况；</w:t>
      </w:r>
      <w:r>
        <w:rPr>
          <w:rFonts w:hint="default" w:ascii="Times New Roman" w:hAnsi="Times New Roman" w:eastAsia="仿宋_GB2312" w:cs="Times New Roman"/>
          <w:b w:val="0"/>
          <w:bCs w:val="0"/>
          <w:sz w:val="30"/>
          <w:szCs w:val="30"/>
          <w:highlight w:val="none"/>
          <w:lang w:eastAsia="zh-CN"/>
        </w:rPr>
        <w:t>申请人</w:t>
      </w:r>
      <w:r>
        <w:rPr>
          <w:rFonts w:hint="eastAsia" w:ascii="Times New Roman" w:hAnsi="Times New Roman" w:eastAsia="仿宋_GB2312" w:cs="Times New Roman"/>
          <w:b w:val="0"/>
          <w:bCs w:val="0"/>
          <w:sz w:val="30"/>
          <w:szCs w:val="30"/>
          <w:highlight w:val="none"/>
          <w:lang w:eastAsia="zh-CN"/>
        </w:rPr>
        <w:t>尚无已确定认购意向的合格投资者及拟认购数量；本次定向发行不会导致</w:t>
      </w:r>
      <w:r>
        <w:rPr>
          <w:rFonts w:hint="default" w:ascii="Times New Roman" w:hAnsi="Times New Roman" w:eastAsia="仿宋_GB2312" w:cs="Times New Roman"/>
          <w:b w:val="0"/>
          <w:bCs w:val="0"/>
          <w:sz w:val="30"/>
          <w:szCs w:val="30"/>
          <w:highlight w:val="none"/>
          <w:lang w:eastAsia="zh-CN"/>
        </w:rPr>
        <w:t>申请人</w:t>
      </w:r>
      <w:r>
        <w:rPr>
          <w:rFonts w:hint="eastAsia" w:ascii="Times New Roman" w:hAnsi="Times New Roman" w:eastAsia="仿宋_GB2312" w:cs="Times New Roman"/>
          <w:b w:val="0"/>
          <w:bCs w:val="0"/>
          <w:sz w:val="30"/>
          <w:szCs w:val="30"/>
          <w:highlight w:val="none"/>
          <w:lang w:eastAsia="zh-CN"/>
        </w:rPr>
        <w:t>对控股股东及实际控制人认定的变化，</w:t>
      </w:r>
      <w:r>
        <w:rPr>
          <w:rFonts w:hint="default" w:ascii="Times New Roman" w:hAnsi="Times New Roman" w:eastAsia="仿宋_GB2312" w:cs="Times New Roman"/>
          <w:b w:val="0"/>
          <w:bCs w:val="0"/>
          <w:sz w:val="30"/>
          <w:szCs w:val="30"/>
          <w:highlight w:val="none"/>
          <w:lang w:eastAsia="zh-CN"/>
        </w:rPr>
        <w:t>申请人</w:t>
      </w:r>
      <w:r>
        <w:rPr>
          <w:rFonts w:hint="eastAsia" w:ascii="Times New Roman" w:hAnsi="Times New Roman" w:eastAsia="仿宋_GB2312" w:cs="Times New Roman"/>
          <w:b w:val="0"/>
          <w:bCs w:val="0"/>
          <w:sz w:val="30"/>
          <w:szCs w:val="30"/>
          <w:highlight w:val="none"/>
          <w:lang w:eastAsia="zh-CN"/>
        </w:rPr>
        <w:t>已于《定向发行说明书》“第四节 本次定向发行对申请人的影响”之“一、本次定向发行对</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经营管理的影响”中补充披露上述情况。</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Chars="200" w:right="0" w:rightChars="0"/>
        <w:jc w:val="both"/>
        <w:textAlignment w:val="auto"/>
        <w:outlineLvl w:val="1"/>
        <w:rPr>
          <w:rFonts w:hint="default" w:ascii="楷体_GB2312" w:hAnsi="楷体_GB2312" w:eastAsia="楷体_GB2312" w:cs="楷体_GB2312"/>
          <w:b/>
          <w:bCs w:val="0"/>
          <w:color w:val="auto"/>
          <w:sz w:val="30"/>
          <w:szCs w:val="30"/>
          <w:highlight w:val="none"/>
          <w:lang w:eastAsia="zh-CN"/>
        </w:rPr>
      </w:pPr>
      <w:r>
        <w:rPr>
          <w:rFonts w:hint="default" w:ascii="楷体_GB2312" w:hAnsi="楷体_GB2312" w:eastAsia="楷体_GB2312" w:cs="楷体_GB2312"/>
          <w:b/>
          <w:bCs w:val="0"/>
          <w:color w:val="auto"/>
          <w:sz w:val="30"/>
          <w:szCs w:val="30"/>
          <w:highlight w:val="none"/>
          <w:lang w:eastAsia="zh-CN"/>
        </w:rPr>
        <w:t>（二）</w:t>
      </w:r>
      <w:r>
        <w:rPr>
          <w:rFonts w:hint="default" w:ascii="楷体_GB2312" w:hAnsi="楷体_GB2312" w:eastAsia="楷体_GB2312" w:cs="楷体_GB2312"/>
          <w:b/>
          <w:bCs w:val="0"/>
          <w:color w:val="auto"/>
          <w:sz w:val="30"/>
          <w:szCs w:val="30"/>
          <w:highlight w:val="none"/>
          <w:lang w:eastAsia="zh-CN"/>
        </w:rPr>
        <w:t>关于认购合同</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val="en-US" w:eastAsia="zh-CN"/>
        </w:rPr>
      </w:pPr>
      <w:r>
        <w:rPr>
          <w:rFonts w:hint="eastAsia" w:ascii="Times New Roman" w:hAnsi="Times New Roman" w:eastAsia="仿宋_GB2312" w:cs="Times New Roman"/>
          <w:b w:val="0"/>
          <w:bCs w:val="0"/>
          <w:sz w:val="30"/>
          <w:szCs w:val="30"/>
          <w:highlight w:val="none"/>
          <w:lang w:val="en-US" w:eastAsia="zh-CN"/>
        </w:rPr>
        <w:t>根据申请材料，本次附生效条件的股票认购合同的生效条款为“本次定向发行已取得山东银保监局的批准”。请</w:t>
      </w:r>
      <w:r>
        <w:rPr>
          <w:rFonts w:hint="default" w:ascii="Times New Roman" w:hAnsi="Times New Roman" w:eastAsia="仿宋_GB2312" w:cs="Times New Roman"/>
          <w:b w:val="0"/>
          <w:bCs w:val="0"/>
          <w:sz w:val="30"/>
          <w:szCs w:val="30"/>
          <w:highlight w:val="none"/>
          <w:lang w:eastAsia="zh-CN"/>
        </w:rPr>
        <w:t>申请人</w:t>
      </w:r>
      <w:r>
        <w:rPr>
          <w:rFonts w:hint="eastAsia" w:ascii="Times New Roman" w:hAnsi="Times New Roman" w:eastAsia="仿宋_GB2312" w:cs="Times New Roman"/>
          <w:b w:val="0"/>
          <w:bCs w:val="0"/>
          <w:sz w:val="30"/>
          <w:szCs w:val="30"/>
          <w:highlight w:val="none"/>
          <w:lang w:val="en-US" w:eastAsia="zh-CN"/>
        </w:rPr>
        <w:t>补充说明本次定向发行股票认购合同是否已经生效并执行，是否符合《非上市公众公司信息披露内容与格式准则第3号——定向发行说明书和发行情况报告书》相关规定，是否构成本次发行的实质障碍。</w:t>
      </w:r>
    </w:p>
    <w:p>
      <w:pPr>
        <w:keepNext w:val="0"/>
        <w:keepLines w:val="0"/>
        <w:pageBreakBefore w:val="0"/>
        <w:widowControl/>
        <w:kinsoku/>
        <w:wordWrap/>
        <w:overflowPunct/>
        <w:topLinePunct w:val="0"/>
        <w:autoSpaceDE/>
        <w:autoSpaceDN/>
        <w:bidi w:val="0"/>
        <w:adjustRightInd w:val="0"/>
        <w:spacing w:line="240" w:lineRule="auto"/>
        <w:ind w:left="0" w:leftChars="0" w:firstLine="602" w:firstLineChars="200"/>
        <w:jc w:val="left"/>
        <w:textAlignment w:val="center"/>
        <w:outlineLvl w:val="9"/>
        <w:rPr>
          <w:rFonts w:hint="default" w:ascii="Times New Roman" w:hAnsi="Times New Roman" w:eastAsia="仿宋_GB2312" w:cs="Times New Roman"/>
          <w:b/>
          <w:bCs/>
          <w:color w:val="auto"/>
          <w:sz w:val="30"/>
          <w:szCs w:val="30"/>
          <w:lang w:eastAsia="zh-CN"/>
        </w:rPr>
      </w:pPr>
      <w:r>
        <w:rPr>
          <w:rFonts w:hint="default" w:ascii="Times New Roman" w:hAnsi="Times New Roman" w:eastAsia="仿宋_GB2312" w:cs="Times New Roman"/>
          <w:b/>
          <w:bCs/>
          <w:color w:val="auto"/>
          <w:sz w:val="30"/>
          <w:szCs w:val="30"/>
          <w:lang w:eastAsia="zh-CN"/>
        </w:rPr>
        <w:t>申请人回复称：</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本次定向发行股票认购合同的生效条件包括：“（一）经甲乙双方法定代表人（或其授权代表）签字或盖章，并经甲乙双方加盖公章；（二）本次定向发行已经甲方董事会及股东大会审议并批准；（三）本次定向发行的相关资产评估机构出具的资产评估报告已经主管机构审阅并经主管机构核准，且本次定向发行已取得主管机构的批准；（四）本次定向发行已取得山东银保监局的批准”，截至本反馈意见回复出具日，</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尚未最终确定本次定向发行的合格投资方，故尚未签署股份认购协议，不满足上述第一款生效条件，本次定向发行股票认购合同暂未生效并执行。</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本次定向发行股票认购合同内容包括：（一）合同主体及签订时间；（二）认购方式、认购价格及支付方式；（三）合同的生效条件和生效时间；（四）合同附带的保留条款、前置条件；（五）违约责任条款；（六）相关股票限售安排；（七）纠纷解决机制。</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已按照《非上市公众公司信息披露内容与格式准则第3号——定向发行说明书和发行情况报告书》第十三条规定在《定向发行说明书》“第三节 附生效条件的股份认购协议内容摘要”中对上述内容摘要进行了披露。</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经核查，本次定向发行股票认购合同在形式和内容上均符合上述相关规定，不构成本次定向发行的实质障碍。</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同时，鉴于</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尚未最终确定本次定向发行的合格投资方，且尚未签署股份认购合同，</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对本次定向发行股票认购合同生效条件进行了补充，并经</w:t>
      </w:r>
      <w:r>
        <w:rPr>
          <w:rFonts w:hint="default" w:ascii="Times New Roman" w:hAnsi="Times New Roman" w:eastAsia="仿宋_GB2312" w:cs="Times New Roman"/>
          <w:b w:val="0"/>
          <w:bCs w:val="0"/>
          <w:sz w:val="30"/>
          <w:szCs w:val="30"/>
          <w:highlight w:val="none"/>
          <w:lang w:eastAsia="zh-CN"/>
        </w:rPr>
        <w:t>公司</w:t>
      </w:r>
      <w:r>
        <w:rPr>
          <w:rFonts w:hint="eastAsia" w:ascii="Times New Roman" w:hAnsi="Times New Roman" w:eastAsia="仿宋_GB2312" w:cs="Times New Roman"/>
          <w:b w:val="0"/>
          <w:bCs w:val="0"/>
          <w:sz w:val="30"/>
          <w:szCs w:val="30"/>
          <w:highlight w:val="none"/>
          <w:lang w:eastAsia="zh-CN"/>
        </w:rPr>
        <w:t>董事会审议通过，履行了必要的内部审批流程。在《定向发行说明书》“第三节 附生效条件的股份认购协议内容摘要”之“三、合同的生效条件和生效时间”进行了补充披露。补充后的合同生效条件包括：“（一）经甲乙双方法定代表人（或其授权代表）签字或盖章，并经甲乙双方加盖公章；（二）本次定向发行已经甲方董事会及股东大会审议并批准；（三）本次定向发行的相关资产评估机构出具的资产评估报告已经主管机构审阅并经主管机构核准，且本次定向发行已取得主管机构的批准；（四）本次定向发行已取得山东银保监局的批准；（五）本次定向发行已取得中国证监会的批准”。</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2" w:firstLineChars="200"/>
        <w:jc w:val="both"/>
        <w:textAlignment w:val="auto"/>
        <w:outlineLvl w:val="9"/>
        <w:rPr>
          <w:rFonts w:hint="default" w:ascii="Times New Roman" w:hAnsi="Times New Roman" w:eastAsia="仿宋_GB2312" w:cs="Times New Roman"/>
          <w:b/>
          <w:bCs/>
          <w:sz w:val="30"/>
          <w:szCs w:val="30"/>
          <w:highlight w:val="none"/>
          <w:lang w:eastAsia="zh-CN"/>
        </w:rPr>
      </w:pPr>
      <w:r>
        <w:rPr>
          <w:rFonts w:hint="default" w:ascii="Times New Roman" w:hAnsi="Times New Roman" w:eastAsia="仿宋_GB2312" w:cs="Times New Roman"/>
          <w:b/>
          <w:bCs/>
          <w:sz w:val="30"/>
          <w:szCs w:val="30"/>
          <w:highlight w:val="none"/>
          <w:lang w:eastAsia="zh-CN"/>
        </w:rPr>
        <w:t>申请人</w:t>
      </w:r>
      <w:r>
        <w:rPr>
          <w:rFonts w:hint="eastAsia" w:ascii="Times New Roman" w:hAnsi="Times New Roman" w:eastAsia="仿宋_GB2312" w:cs="Times New Roman"/>
          <w:b/>
          <w:bCs/>
          <w:sz w:val="30"/>
          <w:szCs w:val="30"/>
          <w:highlight w:val="none"/>
          <w:lang w:eastAsia="zh-CN"/>
        </w:rPr>
        <w:t>律师</w:t>
      </w:r>
      <w:r>
        <w:rPr>
          <w:rFonts w:hint="default" w:ascii="Times New Roman" w:hAnsi="Times New Roman" w:eastAsia="仿宋_GB2312" w:cs="Times New Roman"/>
          <w:b/>
          <w:bCs/>
          <w:sz w:val="30"/>
          <w:szCs w:val="30"/>
          <w:highlight w:val="none"/>
          <w:lang w:eastAsia="zh-CN"/>
        </w:rPr>
        <w:t>认为：</w:t>
      </w:r>
    </w:p>
    <w:p>
      <w:pPr>
        <w:keepNext w:val="0"/>
        <w:keepLines w:val="0"/>
        <w:pageBreakBefore w:val="0"/>
        <w:widowControl/>
        <w:numPr>
          <w:ilvl w:val="0"/>
          <w:numId w:val="0"/>
        </w:numPr>
        <w:tabs>
          <w:tab w:val="left" w:pos="811"/>
        </w:tabs>
        <w:kinsoku/>
        <w:wordWrap/>
        <w:overflowPunct/>
        <w:topLinePunct w:val="0"/>
        <w:autoSpaceDE/>
        <w:autoSpaceDN/>
        <w:bidi w:val="0"/>
        <w:spacing w:line="240" w:lineRule="auto"/>
        <w:ind w:left="0" w:leftChars="0" w:firstLine="600" w:firstLineChars="200"/>
        <w:jc w:val="both"/>
        <w:textAlignment w:val="auto"/>
        <w:outlineLvl w:val="9"/>
        <w:rPr>
          <w:rFonts w:hint="eastAsia" w:ascii="Times New Roman" w:hAnsi="Times New Roman" w:eastAsia="仿宋_GB2312" w:cs="Times New Roman"/>
          <w:b w:val="0"/>
          <w:bCs w:val="0"/>
          <w:sz w:val="30"/>
          <w:szCs w:val="30"/>
          <w:highlight w:val="none"/>
          <w:lang w:eastAsia="zh-CN"/>
        </w:rPr>
      </w:pPr>
      <w:r>
        <w:rPr>
          <w:rFonts w:hint="eastAsia" w:ascii="Times New Roman" w:hAnsi="Times New Roman" w:eastAsia="仿宋_GB2312" w:cs="Times New Roman"/>
          <w:b w:val="0"/>
          <w:bCs w:val="0"/>
          <w:sz w:val="30"/>
          <w:szCs w:val="30"/>
          <w:highlight w:val="none"/>
          <w:lang w:eastAsia="zh-CN"/>
        </w:rPr>
        <w:t>本次定向发行股票认购合同暂未生效并执行，合同在形式和内容上均符合《非上市公众公司信息披露内容与格式准则第3号——定向发行说明书和发行情况报告书》相关规定，不构成本次定向发行的实质障碍。</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Chars="200" w:right="0" w:rightChars="0"/>
        <w:jc w:val="both"/>
        <w:textAlignment w:val="auto"/>
        <w:outlineLvl w:val="1"/>
        <w:rPr>
          <w:rFonts w:hint="default" w:ascii="楷体_GB2312" w:hAnsi="楷体_GB2312" w:eastAsia="楷体_GB2312" w:cs="楷体_GB2312"/>
          <w:b/>
          <w:bCs w:val="0"/>
          <w:color w:val="auto"/>
          <w:sz w:val="30"/>
          <w:szCs w:val="30"/>
          <w:highlight w:val="none"/>
          <w:lang w:val="en-US" w:eastAsia="zh-CN"/>
        </w:rPr>
      </w:pPr>
      <w:r>
        <w:rPr>
          <w:rFonts w:hint="default" w:ascii="楷体_GB2312" w:hAnsi="楷体_GB2312" w:eastAsia="楷体_GB2312" w:cs="楷体_GB2312"/>
          <w:b/>
          <w:bCs w:val="0"/>
          <w:color w:val="auto"/>
          <w:sz w:val="30"/>
          <w:szCs w:val="30"/>
          <w:highlight w:val="none"/>
          <w:lang w:eastAsia="zh-CN"/>
        </w:rPr>
        <w:t>（三）</w:t>
      </w:r>
      <w:r>
        <w:rPr>
          <w:rFonts w:hint="default" w:ascii="楷体_GB2312" w:hAnsi="楷体_GB2312" w:eastAsia="楷体_GB2312" w:cs="楷体_GB2312"/>
          <w:b/>
          <w:bCs w:val="0"/>
          <w:color w:val="auto"/>
          <w:sz w:val="30"/>
          <w:szCs w:val="30"/>
          <w:highlight w:val="none"/>
          <w:lang w:val="en-US" w:eastAsia="zh-CN"/>
        </w:rPr>
        <w:t>关于补充发表法律意见</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eastAsia" w:ascii="Times New Roman" w:hAnsi="Times New Roman" w:eastAsia="仿宋_GB2312" w:cs="Times New Roman"/>
          <w:b w:val="0"/>
          <w:bCs w:val="0"/>
          <w:color w:val="auto"/>
          <w:sz w:val="30"/>
          <w:szCs w:val="30"/>
          <w:lang w:val="en-US" w:eastAsia="zh-CN"/>
        </w:rPr>
      </w:pPr>
      <w:r>
        <w:rPr>
          <w:rFonts w:hint="default" w:ascii="Times New Roman" w:hAnsi="Times New Roman" w:eastAsia="仿宋_GB2312" w:cs="Times New Roman"/>
          <w:b w:val="0"/>
          <w:bCs w:val="0"/>
          <w:color w:val="auto"/>
          <w:sz w:val="30"/>
          <w:szCs w:val="30"/>
          <w:lang w:val="en-US" w:eastAsia="zh-CN"/>
        </w:rPr>
        <w:t>请律师围绕《非上市公众公司信息披露内容与格式准则第</w:t>
      </w:r>
      <w:r>
        <w:rPr>
          <w:rFonts w:hint="eastAsia" w:ascii="Times New Roman" w:hAnsi="Times New Roman" w:eastAsia="仿宋_GB2312" w:cs="Times New Roman"/>
          <w:b w:val="0"/>
          <w:bCs w:val="0"/>
          <w:color w:val="auto"/>
          <w:sz w:val="30"/>
          <w:szCs w:val="30"/>
          <w:lang w:val="en-US" w:eastAsia="zh-CN"/>
        </w:rPr>
        <w:t>3号——定向发行说明书和发行情况报告书》逐条进行核查并发表明确意见。</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2" w:firstLineChars="200"/>
        <w:jc w:val="both"/>
        <w:textAlignment w:val="auto"/>
        <w:outlineLvl w:val="9"/>
        <w:rPr>
          <w:rFonts w:hint="default" w:ascii="Times New Roman" w:hAnsi="Times New Roman" w:eastAsia="仿宋_GB2312" w:cs="Times New Roman"/>
          <w:b/>
          <w:bCs/>
          <w:color w:val="auto"/>
          <w:sz w:val="30"/>
          <w:szCs w:val="30"/>
          <w:lang w:eastAsia="zh-CN"/>
        </w:rPr>
      </w:pPr>
      <w:r>
        <w:rPr>
          <w:rFonts w:hint="default" w:ascii="Times New Roman" w:hAnsi="Times New Roman" w:eastAsia="仿宋_GB2312" w:cs="Times New Roman"/>
          <w:b/>
          <w:bCs/>
          <w:color w:val="auto"/>
          <w:sz w:val="30"/>
          <w:szCs w:val="30"/>
          <w:lang w:eastAsia="zh-CN"/>
        </w:rPr>
        <w:t>申请人律师回复：</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val="en-US" w:eastAsia="zh-CN"/>
        </w:rPr>
      </w:pPr>
      <w:r>
        <w:rPr>
          <w:rFonts w:hint="eastAsia" w:ascii="Times New Roman" w:hAnsi="Times New Roman" w:eastAsia="仿宋_GB2312" w:cs="Times New Roman"/>
          <w:b w:val="0"/>
          <w:bCs w:val="0"/>
          <w:color w:val="auto"/>
          <w:sz w:val="30"/>
          <w:szCs w:val="30"/>
          <w:lang w:val="en-US" w:eastAsia="zh-CN"/>
        </w:rPr>
        <w:t>申请人律师已围绕《非上市公众公司信息披露内容与格式准则第3号——定向发行说明书和发行情况报告书》逐条进行核查，并已逐项发表明确意见。</w:t>
      </w:r>
      <w:r>
        <w:rPr>
          <w:rFonts w:hint="default" w:ascii="Times New Roman" w:hAnsi="Times New Roman" w:eastAsia="仿宋_GB2312" w:cs="Times New Roman"/>
          <w:b w:val="0"/>
          <w:bCs w:val="0"/>
          <w:color w:val="auto"/>
          <w:sz w:val="30"/>
          <w:szCs w:val="30"/>
          <w:lang w:eastAsia="zh-CN"/>
        </w:rPr>
        <w:t>其中，对资金占用、股权质押、冻结及对外担保等</w:t>
      </w:r>
      <w:r>
        <w:rPr>
          <w:rFonts w:hint="eastAsia" w:ascii="Times New Roman" w:hAnsi="Times New Roman" w:eastAsia="仿宋_GB2312" w:cs="Times New Roman"/>
          <w:b w:val="0"/>
          <w:bCs w:val="0"/>
          <w:color w:val="auto"/>
          <w:sz w:val="30"/>
          <w:szCs w:val="30"/>
          <w:lang w:val="en-US" w:eastAsia="zh-CN"/>
        </w:rPr>
        <w:t>事项发表补充法律意见：</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val="en-US" w:eastAsia="zh-CN"/>
        </w:rPr>
      </w:pPr>
      <w:r>
        <w:rPr>
          <w:rFonts w:hint="eastAsia" w:ascii="Times New Roman" w:hAnsi="Times New Roman" w:eastAsia="仿宋_GB2312" w:cs="Times New Roman"/>
          <w:b w:val="0"/>
          <w:bCs w:val="0"/>
          <w:color w:val="auto"/>
          <w:sz w:val="30"/>
          <w:szCs w:val="30"/>
          <w:lang w:val="en-US" w:eastAsia="zh-CN"/>
        </w:rPr>
        <w:t>1</w:t>
      </w:r>
      <w:r>
        <w:rPr>
          <w:rFonts w:hint="default" w:ascii="Times New Roman" w:hAnsi="Times New Roman" w:eastAsia="仿宋_GB2312" w:cs="Times New Roman"/>
          <w:b w:val="0"/>
          <w:bCs w:val="0"/>
          <w:color w:val="auto"/>
          <w:sz w:val="30"/>
          <w:szCs w:val="30"/>
          <w:lang w:eastAsia="zh-CN"/>
        </w:rPr>
        <w:t>.</w:t>
      </w:r>
      <w:r>
        <w:rPr>
          <w:rFonts w:hint="eastAsia" w:ascii="Times New Roman" w:hAnsi="Times New Roman" w:eastAsia="仿宋_GB2312" w:cs="Times New Roman"/>
          <w:b w:val="0"/>
          <w:bCs w:val="0"/>
          <w:color w:val="auto"/>
          <w:sz w:val="30"/>
          <w:szCs w:val="30"/>
          <w:lang w:val="en-US" w:eastAsia="zh-CN"/>
        </w:rPr>
        <w:t>资金占用情况</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val="en-US" w:eastAsia="zh-CN"/>
        </w:rPr>
      </w:pPr>
      <w:r>
        <w:rPr>
          <w:rFonts w:hint="default" w:ascii="Times New Roman" w:hAnsi="Times New Roman" w:eastAsia="仿宋_GB2312" w:cs="Times New Roman"/>
          <w:b w:val="0"/>
          <w:bCs w:val="0"/>
          <w:color w:val="auto"/>
          <w:sz w:val="30"/>
          <w:szCs w:val="30"/>
          <w:lang w:val="en-US" w:eastAsia="zh-CN"/>
        </w:rPr>
        <w:t>根据《审计报告》及</w:t>
      </w:r>
      <w:r>
        <w:rPr>
          <w:rFonts w:hint="default" w:ascii="Times New Roman" w:hAnsi="Times New Roman" w:eastAsia="仿宋_GB2312" w:cs="Times New Roman"/>
          <w:b w:val="0"/>
          <w:bCs w:val="0"/>
          <w:color w:val="auto"/>
          <w:sz w:val="30"/>
          <w:szCs w:val="30"/>
          <w:lang w:eastAsia="zh-CN"/>
        </w:rPr>
        <w:t>申请人</w:t>
      </w:r>
      <w:r>
        <w:rPr>
          <w:rFonts w:hint="default" w:ascii="Times New Roman" w:hAnsi="Times New Roman" w:eastAsia="仿宋_GB2312" w:cs="Times New Roman"/>
          <w:b w:val="0"/>
          <w:bCs w:val="0"/>
          <w:color w:val="auto"/>
          <w:sz w:val="30"/>
          <w:szCs w:val="30"/>
          <w:lang w:val="en-US" w:eastAsia="zh-CN"/>
        </w:rPr>
        <w:t>出具的书面承诺并经</w:t>
      </w:r>
      <w:r>
        <w:rPr>
          <w:rFonts w:hint="default" w:ascii="Times New Roman" w:hAnsi="Times New Roman" w:eastAsia="仿宋_GB2312" w:cs="Times New Roman"/>
          <w:b w:val="0"/>
          <w:bCs w:val="0"/>
          <w:color w:val="auto"/>
          <w:sz w:val="30"/>
          <w:szCs w:val="30"/>
          <w:lang w:eastAsia="zh-CN"/>
        </w:rPr>
        <w:t>申请人</w:t>
      </w:r>
      <w:r>
        <w:rPr>
          <w:rFonts w:hint="default" w:ascii="Times New Roman" w:hAnsi="Times New Roman" w:eastAsia="仿宋_GB2312" w:cs="Times New Roman"/>
          <w:b w:val="0"/>
          <w:bCs w:val="0"/>
          <w:color w:val="auto"/>
          <w:sz w:val="30"/>
          <w:szCs w:val="30"/>
          <w:lang w:val="en-US" w:eastAsia="zh-CN"/>
        </w:rPr>
        <w:t>律师核查，</w:t>
      </w:r>
      <w:r>
        <w:rPr>
          <w:rFonts w:hint="eastAsia" w:ascii="Times New Roman" w:hAnsi="Times New Roman" w:eastAsia="仿宋_GB2312" w:cs="Times New Roman"/>
          <w:b w:val="0"/>
          <w:bCs w:val="0"/>
          <w:color w:val="auto"/>
          <w:sz w:val="30"/>
          <w:szCs w:val="30"/>
          <w:lang w:val="en-US" w:eastAsia="zh-CN"/>
        </w:rPr>
        <w:t>报告期内，</w:t>
      </w:r>
      <w:r>
        <w:rPr>
          <w:rFonts w:hint="default" w:ascii="Times New Roman" w:hAnsi="Times New Roman" w:eastAsia="仿宋_GB2312" w:cs="Times New Roman"/>
          <w:b w:val="0"/>
          <w:bCs w:val="0"/>
          <w:color w:val="auto"/>
          <w:sz w:val="30"/>
          <w:szCs w:val="30"/>
          <w:lang w:val="en-US" w:eastAsia="zh-CN"/>
        </w:rPr>
        <w:t>除正常经营的银行业务外，</w:t>
      </w:r>
      <w:r>
        <w:rPr>
          <w:rFonts w:hint="default" w:ascii="Times New Roman" w:hAnsi="Times New Roman" w:eastAsia="仿宋_GB2312" w:cs="Times New Roman"/>
          <w:b w:val="0"/>
          <w:bCs w:val="0"/>
          <w:color w:val="auto"/>
          <w:sz w:val="30"/>
          <w:szCs w:val="30"/>
          <w:lang w:eastAsia="zh-CN"/>
        </w:rPr>
        <w:t>申请人</w:t>
      </w:r>
      <w:r>
        <w:rPr>
          <w:rFonts w:hint="default" w:ascii="Times New Roman" w:hAnsi="Times New Roman" w:eastAsia="仿宋_GB2312" w:cs="Times New Roman"/>
          <w:b w:val="0"/>
          <w:bCs w:val="0"/>
          <w:color w:val="auto"/>
          <w:sz w:val="30"/>
          <w:szCs w:val="30"/>
          <w:lang w:val="en-US" w:eastAsia="zh-CN"/>
        </w:rPr>
        <w:t>不存在资金被</w:t>
      </w:r>
      <w:r>
        <w:rPr>
          <w:rFonts w:hint="eastAsia" w:ascii="Times New Roman" w:hAnsi="Times New Roman" w:eastAsia="仿宋_GB2312" w:cs="Times New Roman"/>
          <w:b w:val="0"/>
          <w:bCs w:val="0"/>
          <w:color w:val="auto"/>
          <w:sz w:val="30"/>
          <w:szCs w:val="30"/>
          <w:lang w:val="en-US" w:eastAsia="zh-CN"/>
        </w:rPr>
        <w:t>关联方</w:t>
      </w:r>
      <w:r>
        <w:rPr>
          <w:rFonts w:hint="default" w:ascii="Times New Roman" w:hAnsi="Times New Roman" w:eastAsia="仿宋_GB2312" w:cs="Times New Roman"/>
          <w:b w:val="0"/>
          <w:bCs w:val="0"/>
          <w:color w:val="auto"/>
          <w:sz w:val="30"/>
          <w:szCs w:val="30"/>
          <w:lang w:val="en-US" w:eastAsia="zh-CN"/>
        </w:rPr>
        <w:t>以借款、代偿债务、代垫款项或者其他方式占用的情形</w:t>
      </w:r>
      <w:r>
        <w:rPr>
          <w:rFonts w:hint="eastAsia" w:ascii="Times New Roman" w:hAnsi="Times New Roman" w:eastAsia="仿宋_GB2312" w:cs="Times New Roman"/>
          <w:b w:val="0"/>
          <w:bCs w:val="0"/>
          <w:color w:val="auto"/>
          <w:sz w:val="30"/>
          <w:szCs w:val="30"/>
          <w:lang w:val="en-US" w:eastAsia="zh-CN"/>
        </w:rPr>
        <w:t>；</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val="en-US" w:eastAsia="zh-CN"/>
        </w:rPr>
        <w:t>已制定《公司章程》《潍坊银行股份有限公司关联交易管理办法》等公司治理制度，为防范资金被关联方占用提供了制度保障。</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val="en-US" w:eastAsia="zh-CN"/>
        </w:rPr>
      </w:pPr>
      <w:r>
        <w:rPr>
          <w:rFonts w:hint="eastAsia" w:ascii="Times New Roman" w:hAnsi="Times New Roman" w:eastAsia="仿宋_GB2312" w:cs="Times New Roman"/>
          <w:b w:val="0"/>
          <w:bCs w:val="0"/>
          <w:color w:val="auto"/>
          <w:sz w:val="30"/>
          <w:szCs w:val="30"/>
          <w:lang w:val="en-US" w:eastAsia="zh-CN"/>
        </w:rPr>
        <w:t>2</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val="en-US" w:eastAsia="zh-CN"/>
        </w:rPr>
        <w:t>股权质押、冻结情况</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val="en-US" w:eastAsia="zh-CN"/>
        </w:rPr>
      </w:pPr>
      <w:r>
        <w:rPr>
          <w:rFonts w:hint="eastAsia" w:ascii="Times New Roman" w:hAnsi="Times New Roman" w:eastAsia="仿宋_GB2312" w:cs="Times New Roman"/>
          <w:b w:val="0"/>
          <w:bCs w:val="0"/>
          <w:color w:val="auto"/>
          <w:sz w:val="30"/>
          <w:szCs w:val="30"/>
          <w:lang w:val="en-US" w:eastAsia="zh-CN"/>
        </w:rPr>
        <w:t>（1）股权质押情况</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val="en-US" w:eastAsia="zh-CN"/>
        </w:rPr>
      </w:pPr>
      <w:r>
        <w:rPr>
          <w:rFonts w:hint="eastAsia" w:ascii="Times New Roman" w:hAnsi="Times New Roman" w:eastAsia="仿宋_GB2312" w:cs="Times New Roman"/>
          <w:b w:val="0"/>
          <w:bCs w:val="0"/>
          <w:color w:val="auto"/>
          <w:sz w:val="30"/>
          <w:szCs w:val="30"/>
          <w:lang w:val="en-US" w:eastAsia="zh-CN"/>
        </w:rPr>
        <w:t>根据</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val="en-US" w:eastAsia="zh-CN"/>
        </w:rPr>
        <w:t>提供的质押协议等相关文件并经</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val="en-US" w:eastAsia="zh-CN"/>
        </w:rPr>
        <w:t>律师登录国家企业信用信息公示系统（http://gsxt.saic.gov.cn/）查询，截至2</w:t>
      </w:r>
      <w:r>
        <w:rPr>
          <w:rFonts w:hint="default" w:ascii="Times New Roman" w:hAnsi="Times New Roman" w:eastAsia="仿宋_GB2312" w:cs="Times New Roman"/>
          <w:b w:val="0"/>
          <w:bCs w:val="0"/>
          <w:color w:val="auto"/>
          <w:sz w:val="30"/>
          <w:szCs w:val="30"/>
          <w:lang w:val="en-US" w:eastAsia="zh-CN"/>
        </w:rPr>
        <w:t>0</w:t>
      </w:r>
      <w:r>
        <w:rPr>
          <w:rFonts w:hint="eastAsia" w:ascii="Times New Roman" w:hAnsi="Times New Roman" w:eastAsia="仿宋_GB2312" w:cs="Times New Roman"/>
          <w:b w:val="0"/>
          <w:bCs w:val="0"/>
          <w:color w:val="auto"/>
          <w:sz w:val="30"/>
          <w:szCs w:val="30"/>
          <w:lang w:val="en-US" w:eastAsia="zh-CN"/>
        </w:rPr>
        <w:t>22年6月30日，</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val="en-US" w:eastAsia="zh-CN"/>
        </w:rPr>
        <w:t>的股权质押情况如下：</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2"/>
        <w:gridCol w:w="3416"/>
        <w:gridCol w:w="1850"/>
        <w:gridCol w:w="2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658"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2003"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股东名称</w:t>
            </w:r>
          </w:p>
        </w:tc>
        <w:tc>
          <w:tcPr>
            <w:tcW w:w="108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质押股份数（股）</w:t>
            </w:r>
          </w:p>
        </w:tc>
        <w:tc>
          <w:tcPr>
            <w:tcW w:w="1252"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占总股本比例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8" w:type="pct"/>
            <w:vAlign w:val="center"/>
          </w:tcPr>
          <w:p>
            <w:pPr>
              <w:numPr>
                <w:ilvl w:val="0"/>
                <w:numId w:val="1"/>
              </w:numPr>
              <w:adjustRightInd w:val="0"/>
              <w:snapToGrid w:val="0"/>
              <w:spacing w:before="62" w:beforeLines="20" w:after="62" w:afterLines="20"/>
              <w:jc w:val="center"/>
              <w:rPr>
                <w:rFonts w:hint="eastAsia" w:asciiTheme="minorEastAsia" w:hAnsiTheme="minorEastAsia" w:eastAsiaTheme="minorEastAsia" w:cstheme="minorEastAsia"/>
                <w:sz w:val="21"/>
                <w:szCs w:val="21"/>
              </w:rPr>
            </w:pPr>
          </w:p>
        </w:tc>
        <w:tc>
          <w:tcPr>
            <w:tcW w:w="2003"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潍坊市投资集团有限公司</w:t>
            </w:r>
          </w:p>
        </w:tc>
        <w:tc>
          <w:tcPr>
            <w:tcW w:w="108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90,450,000</w:t>
            </w:r>
          </w:p>
        </w:tc>
        <w:tc>
          <w:tcPr>
            <w:tcW w:w="1252"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8" w:type="pct"/>
            <w:vAlign w:val="center"/>
          </w:tcPr>
          <w:p>
            <w:pPr>
              <w:numPr>
                <w:ilvl w:val="0"/>
                <w:numId w:val="1"/>
              </w:numPr>
              <w:adjustRightInd w:val="0"/>
              <w:snapToGrid w:val="0"/>
              <w:spacing w:before="62" w:beforeLines="20" w:after="62" w:afterLines="20"/>
              <w:jc w:val="center"/>
              <w:rPr>
                <w:rFonts w:hint="eastAsia" w:asciiTheme="minorEastAsia" w:hAnsiTheme="minorEastAsia" w:eastAsiaTheme="minorEastAsia" w:cstheme="minorEastAsia"/>
                <w:sz w:val="21"/>
                <w:szCs w:val="21"/>
              </w:rPr>
            </w:pPr>
          </w:p>
        </w:tc>
        <w:tc>
          <w:tcPr>
            <w:tcW w:w="2003"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山东恒联投资集团有限公司</w:t>
            </w:r>
          </w:p>
        </w:tc>
        <w:tc>
          <w:tcPr>
            <w:tcW w:w="108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62,100,000</w:t>
            </w:r>
          </w:p>
        </w:tc>
        <w:tc>
          <w:tcPr>
            <w:tcW w:w="1252"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8" w:type="pct"/>
            <w:vAlign w:val="center"/>
          </w:tcPr>
          <w:p>
            <w:pPr>
              <w:numPr>
                <w:ilvl w:val="0"/>
                <w:numId w:val="1"/>
              </w:numPr>
              <w:adjustRightInd w:val="0"/>
              <w:snapToGrid w:val="0"/>
              <w:spacing w:before="62" w:beforeLines="20" w:after="62" w:afterLines="20"/>
              <w:jc w:val="center"/>
              <w:rPr>
                <w:rFonts w:hint="eastAsia" w:asciiTheme="minorEastAsia" w:hAnsiTheme="minorEastAsia" w:eastAsiaTheme="minorEastAsia" w:cstheme="minorEastAsia"/>
                <w:sz w:val="21"/>
                <w:szCs w:val="21"/>
              </w:rPr>
            </w:pPr>
          </w:p>
        </w:tc>
        <w:tc>
          <w:tcPr>
            <w:tcW w:w="2003"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山东中晨房地产开发有限公司</w:t>
            </w:r>
          </w:p>
        </w:tc>
        <w:tc>
          <w:tcPr>
            <w:tcW w:w="108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17,675,473</w:t>
            </w:r>
          </w:p>
        </w:tc>
        <w:tc>
          <w:tcPr>
            <w:tcW w:w="1252"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8" w:type="pct"/>
            <w:vAlign w:val="center"/>
          </w:tcPr>
          <w:p>
            <w:pPr>
              <w:numPr>
                <w:ilvl w:val="0"/>
                <w:numId w:val="1"/>
              </w:numPr>
              <w:adjustRightInd w:val="0"/>
              <w:snapToGrid w:val="0"/>
              <w:spacing w:before="62" w:beforeLines="20" w:after="62" w:afterLines="20"/>
              <w:jc w:val="center"/>
              <w:rPr>
                <w:rFonts w:hint="eastAsia" w:asciiTheme="minorEastAsia" w:hAnsiTheme="minorEastAsia" w:eastAsiaTheme="minorEastAsia" w:cstheme="minorEastAsia"/>
                <w:sz w:val="21"/>
                <w:szCs w:val="21"/>
              </w:rPr>
            </w:pPr>
          </w:p>
        </w:tc>
        <w:tc>
          <w:tcPr>
            <w:tcW w:w="2003"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诸城科翔机械有限公司</w:t>
            </w:r>
          </w:p>
        </w:tc>
        <w:tc>
          <w:tcPr>
            <w:tcW w:w="108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10,000,000</w:t>
            </w:r>
          </w:p>
        </w:tc>
        <w:tc>
          <w:tcPr>
            <w:tcW w:w="1252"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8" w:type="pct"/>
            <w:vAlign w:val="center"/>
          </w:tcPr>
          <w:p>
            <w:pPr>
              <w:numPr>
                <w:ilvl w:val="0"/>
                <w:numId w:val="1"/>
              </w:numPr>
              <w:adjustRightInd w:val="0"/>
              <w:snapToGrid w:val="0"/>
              <w:spacing w:before="62" w:beforeLines="20" w:after="62" w:afterLines="20"/>
              <w:jc w:val="center"/>
              <w:rPr>
                <w:rFonts w:hint="eastAsia" w:asciiTheme="minorEastAsia" w:hAnsiTheme="minorEastAsia" w:eastAsiaTheme="minorEastAsia" w:cstheme="minorEastAsia"/>
                <w:sz w:val="21"/>
                <w:szCs w:val="21"/>
              </w:rPr>
            </w:pPr>
          </w:p>
        </w:tc>
        <w:tc>
          <w:tcPr>
            <w:tcW w:w="2003"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安丘市财政局</w:t>
            </w:r>
          </w:p>
        </w:tc>
        <w:tc>
          <w:tcPr>
            <w:tcW w:w="108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15,781,672</w:t>
            </w:r>
          </w:p>
        </w:tc>
        <w:tc>
          <w:tcPr>
            <w:tcW w:w="1252"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8" w:type="pct"/>
            <w:vAlign w:val="center"/>
          </w:tcPr>
          <w:p>
            <w:pPr>
              <w:numPr>
                <w:ilvl w:val="0"/>
                <w:numId w:val="1"/>
              </w:numPr>
              <w:adjustRightInd w:val="0"/>
              <w:snapToGrid w:val="0"/>
              <w:spacing w:before="62" w:beforeLines="20" w:after="62" w:afterLines="20"/>
              <w:jc w:val="center"/>
              <w:rPr>
                <w:rFonts w:hint="eastAsia" w:asciiTheme="minorEastAsia" w:hAnsiTheme="minorEastAsia" w:eastAsiaTheme="minorEastAsia" w:cstheme="minorEastAsia"/>
                <w:sz w:val="21"/>
                <w:szCs w:val="21"/>
              </w:rPr>
            </w:pPr>
          </w:p>
        </w:tc>
        <w:tc>
          <w:tcPr>
            <w:tcW w:w="2003"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潍坊市再担保集团股份有限公司</w:t>
            </w:r>
          </w:p>
        </w:tc>
        <w:tc>
          <w:tcPr>
            <w:tcW w:w="108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47,000,000</w:t>
            </w:r>
          </w:p>
        </w:tc>
        <w:tc>
          <w:tcPr>
            <w:tcW w:w="1252"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8" w:type="pct"/>
            <w:vAlign w:val="center"/>
          </w:tcPr>
          <w:p>
            <w:pPr>
              <w:numPr>
                <w:ilvl w:val="0"/>
                <w:numId w:val="1"/>
              </w:numPr>
              <w:adjustRightInd w:val="0"/>
              <w:snapToGrid w:val="0"/>
              <w:spacing w:before="62" w:beforeLines="20" w:after="62" w:afterLines="20"/>
              <w:jc w:val="center"/>
              <w:rPr>
                <w:rFonts w:hint="eastAsia" w:asciiTheme="minorEastAsia" w:hAnsiTheme="minorEastAsia" w:eastAsiaTheme="minorEastAsia" w:cstheme="minorEastAsia"/>
                <w:sz w:val="21"/>
                <w:szCs w:val="21"/>
              </w:rPr>
            </w:pPr>
          </w:p>
        </w:tc>
        <w:tc>
          <w:tcPr>
            <w:tcW w:w="2003"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山东蓝天首饰有限公司</w:t>
            </w:r>
          </w:p>
        </w:tc>
        <w:tc>
          <w:tcPr>
            <w:tcW w:w="108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25,928,860</w:t>
            </w:r>
          </w:p>
        </w:tc>
        <w:tc>
          <w:tcPr>
            <w:tcW w:w="1252"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8" w:type="pct"/>
            <w:vAlign w:val="center"/>
          </w:tcPr>
          <w:p>
            <w:pPr>
              <w:numPr>
                <w:ilvl w:val="0"/>
                <w:numId w:val="1"/>
              </w:numPr>
              <w:adjustRightInd w:val="0"/>
              <w:snapToGrid w:val="0"/>
              <w:spacing w:before="62" w:beforeLines="20" w:after="62" w:afterLines="20"/>
              <w:jc w:val="center"/>
              <w:rPr>
                <w:rFonts w:hint="eastAsia" w:asciiTheme="minorEastAsia" w:hAnsiTheme="minorEastAsia" w:eastAsiaTheme="minorEastAsia" w:cstheme="minorEastAsia"/>
                <w:sz w:val="21"/>
                <w:szCs w:val="21"/>
              </w:rPr>
            </w:pPr>
          </w:p>
        </w:tc>
        <w:tc>
          <w:tcPr>
            <w:tcW w:w="2003"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高密市国有资产经营投资有限公司</w:t>
            </w:r>
          </w:p>
        </w:tc>
        <w:tc>
          <w:tcPr>
            <w:tcW w:w="108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1,56,456,533</w:t>
            </w:r>
          </w:p>
        </w:tc>
        <w:tc>
          <w:tcPr>
            <w:tcW w:w="1252"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8" w:type="pct"/>
            <w:vAlign w:val="center"/>
          </w:tcPr>
          <w:p>
            <w:pPr>
              <w:numPr>
                <w:ilvl w:val="0"/>
                <w:numId w:val="1"/>
              </w:numPr>
              <w:adjustRightInd w:val="0"/>
              <w:snapToGrid w:val="0"/>
              <w:spacing w:before="62" w:beforeLines="20" w:after="62" w:afterLines="20"/>
              <w:jc w:val="center"/>
              <w:rPr>
                <w:rFonts w:hint="eastAsia" w:asciiTheme="minorEastAsia" w:hAnsiTheme="minorEastAsia" w:eastAsiaTheme="minorEastAsia" w:cstheme="minorEastAsia"/>
                <w:sz w:val="21"/>
                <w:szCs w:val="21"/>
              </w:rPr>
            </w:pPr>
          </w:p>
        </w:tc>
        <w:tc>
          <w:tcPr>
            <w:tcW w:w="2003"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潍坊市财金投资集团有限公司</w:t>
            </w:r>
          </w:p>
        </w:tc>
        <w:tc>
          <w:tcPr>
            <w:tcW w:w="108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62,761,016</w:t>
            </w:r>
          </w:p>
        </w:tc>
        <w:tc>
          <w:tcPr>
            <w:tcW w:w="1252"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662" w:type="pct"/>
            <w:gridSpan w:val="2"/>
            <w:vAlign w:val="center"/>
          </w:tcPr>
          <w:p>
            <w:pPr>
              <w:adjustRightInd w:val="0"/>
              <w:snapToGrid w:val="0"/>
              <w:spacing w:before="62" w:beforeLines="20" w:after="62" w:afterLines="2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合计</w:t>
            </w:r>
          </w:p>
        </w:tc>
        <w:tc>
          <w:tcPr>
            <w:tcW w:w="1085"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488,153,554</w:t>
            </w:r>
          </w:p>
        </w:tc>
        <w:tc>
          <w:tcPr>
            <w:tcW w:w="1252"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12.94%</w:t>
            </w:r>
          </w:p>
        </w:tc>
      </w:tr>
    </w:tbl>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eastAsia="zh-CN"/>
        </w:rPr>
      </w:pPr>
      <w:r>
        <w:rPr>
          <w:rFonts w:hint="eastAsia" w:ascii="Times New Roman" w:hAnsi="Times New Roman" w:eastAsia="仿宋_GB2312" w:cs="Times New Roman"/>
          <w:b w:val="0"/>
          <w:bCs w:val="0"/>
          <w:color w:val="auto"/>
          <w:sz w:val="30"/>
          <w:szCs w:val="30"/>
          <w:lang w:eastAsia="zh-CN"/>
        </w:rPr>
        <w:t>经核查，上述股权质押已在工商行政管理部门办理了股权出质登记手续，</w:t>
      </w:r>
      <w:r>
        <w:rPr>
          <w:rFonts w:hint="default" w:ascii="Times New Roman" w:hAnsi="Times New Roman" w:eastAsia="仿宋_GB2312" w:cs="Times New Roman"/>
          <w:b w:val="0"/>
          <w:bCs w:val="0"/>
          <w:color w:val="auto"/>
          <w:sz w:val="30"/>
          <w:szCs w:val="30"/>
          <w:lang w:eastAsia="zh-CN"/>
        </w:rPr>
        <w:t>该等质权依法设立</w:t>
      </w:r>
      <w:r>
        <w:rPr>
          <w:rFonts w:hint="eastAsia" w:ascii="Times New Roman" w:hAnsi="Times New Roman" w:eastAsia="仿宋_GB2312" w:cs="Times New Roman"/>
          <w:b w:val="0"/>
          <w:bCs w:val="0"/>
          <w:color w:val="auto"/>
          <w:sz w:val="30"/>
          <w:szCs w:val="30"/>
          <w:lang w:eastAsia="zh-CN"/>
        </w:rPr>
        <w:t>，且不存在将股权质押给</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的情况。</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default" w:ascii="Times New Roman" w:hAnsi="Times New Roman" w:eastAsia="仿宋_GB2312" w:cs="Times New Roman"/>
          <w:b w:val="0"/>
          <w:bCs w:val="0"/>
          <w:color w:val="auto"/>
          <w:sz w:val="30"/>
          <w:szCs w:val="30"/>
          <w:lang w:eastAsia="zh-CN"/>
        </w:rPr>
      </w:pPr>
      <w:r>
        <w:rPr>
          <w:rFonts w:hint="eastAsia" w:ascii="Times New Roman" w:hAnsi="Times New Roman" w:eastAsia="仿宋_GB2312" w:cs="Times New Roman"/>
          <w:b w:val="0"/>
          <w:bCs w:val="0"/>
          <w:color w:val="auto"/>
          <w:sz w:val="30"/>
          <w:szCs w:val="30"/>
          <w:lang w:eastAsia="zh-CN"/>
        </w:rPr>
        <w:t>经</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律师登陆国家企业信用信息公示系统（http://gsxt.saic.gov.cn/）、信用中国（</w:t>
      </w:r>
      <w:r>
        <w:rPr>
          <w:rFonts w:hint="default" w:ascii="Times New Roman" w:hAnsi="Times New Roman" w:eastAsia="仿宋_GB2312" w:cs="Times New Roman"/>
          <w:b w:val="0"/>
          <w:bCs w:val="0"/>
          <w:color w:val="auto"/>
          <w:sz w:val="30"/>
          <w:szCs w:val="30"/>
          <w:lang w:eastAsia="zh-CN"/>
        </w:rPr>
        <w:t>https://www.creditchina.gov.cn/</w:t>
      </w:r>
      <w:r>
        <w:rPr>
          <w:rFonts w:hint="eastAsia" w:ascii="Times New Roman" w:hAnsi="Times New Roman" w:eastAsia="仿宋_GB2312" w:cs="Times New Roman"/>
          <w:b w:val="0"/>
          <w:bCs w:val="0"/>
          <w:color w:val="auto"/>
          <w:sz w:val="30"/>
          <w:szCs w:val="30"/>
          <w:lang w:eastAsia="zh-CN"/>
        </w:rPr>
        <w:t>）、中国执行信息公开网（</w:t>
      </w:r>
      <w:r>
        <w:rPr>
          <w:rFonts w:hint="default" w:ascii="Times New Roman" w:hAnsi="Times New Roman" w:eastAsia="仿宋_GB2312" w:cs="Times New Roman"/>
          <w:b w:val="0"/>
          <w:bCs w:val="0"/>
          <w:color w:val="auto"/>
          <w:sz w:val="30"/>
          <w:szCs w:val="30"/>
          <w:lang w:eastAsia="zh-CN"/>
        </w:rPr>
        <w:t>http://zxgk.court.gov.cn/zhzxgk/</w:t>
      </w:r>
      <w:r>
        <w:rPr>
          <w:rFonts w:hint="eastAsia" w:ascii="Times New Roman" w:hAnsi="Times New Roman" w:eastAsia="仿宋_GB2312" w:cs="Times New Roman"/>
          <w:b w:val="0"/>
          <w:bCs w:val="0"/>
          <w:color w:val="auto"/>
          <w:sz w:val="30"/>
          <w:szCs w:val="30"/>
          <w:lang w:eastAsia="zh-CN"/>
        </w:rPr>
        <w:t>）及国家税务总局（</w:t>
      </w:r>
      <w:r>
        <w:rPr>
          <w:rFonts w:hint="default" w:ascii="Times New Roman" w:hAnsi="Times New Roman" w:eastAsia="仿宋_GB2312" w:cs="Times New Roman"/>
          <w:b w:val="0"/>
          <w:bCs w:val="0"/>
          <w:color w:val="auto"/>
          <w:sz w:val="30"/>
          <w:szCs w:val="30"/>
          <w:lang w:eastAsia="zh-CN"/>
        </w:rPr>
        <w:t>http://www.chinatax.gov.cn/</w:t>
      </w:r>
      <w:r>
        <w:rPr>
          <w:rFonts w:hint="eastAsia" w:ascii="Times New Roman" w:hAnsi="Times New Roman" w:eastAsia="仿宋_GB2312" w:cs="Times New Roman"/>
          <w:b w:val="0"/>
          <w:bCs w:val="0"/>
          <w:color w:val="auto"/>
          <w:sz w:val="30"/>
          <w:szCs w:val="30"/>
          <w:lang w:eastAsia="zh-CN"/>
        </w:rPr>
        <w:t>）等网站查询，上述股东不存在不良信用记录或其他在生产经营方面的重大不利情况。综上，</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律师认为，上述股权质押情况不会对</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股权结构的稳定性造成重大影响。</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eastAsia="zh-CN"/>
        </w:rPr>
      </w:pPr>
      <w:r>
        <w:rPr>
          <w:rFonts w:hint="eastAsia" w:ascii="Times New Roman" w:hAnsi="Times New Roman" w:eastAsia="仿宋_GB2312" w:cs="Times New Roman"/>
          <w:b w:val="0"/>
          <w:bCs w:val="0"/>
          <w:color w:val="auto"/>
          <w:sz w:val="30"/>
          <w:szCs w:val="30"/>
          <w:lang w:eastAsia="zh-CN"/>
        </w:rPr>
        <w:t>（2）股权冻结情况</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eastAsia="zh-CN"/>
        </w:rPr>
      </w:pPr>
      <w:r>
        <w:rPr>
          <w:rFonts w:hint="eastAsia" w:ascii="Times New Roman" w:hAnsi="Times New Roman" w:eastAsia="仿宋_GB2312" w:cs="Times New Roman"/>
          <w:b w:val="0"/>
          <w:bCs w:val="0"/>
          <w:color w:val="auto"/>
          <w:sz w:val="30"/>
          <w:szCs w:val="30"/>
          <w:lang w:eastAsia="zh-CN"/>
        </w:rPr>
        <w:t>根据</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提供的法院文书并经</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律师登录国家企业信用信息公示系统（http://gsxt.saic.gov.cn/）查询，截至2022年6月30日，</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的股权冻结情况如下：</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3557"/>
        <w:gridCol w:w="1883"/>
        <w:gridCol w:w="2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88"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2087"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股东名称/姓名</w:t>
            </w:r>
          </w:p>
        </w:tc>
        <w:tc>
          <w:tcPr>
            <w:tcW w:w="110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冻结股份数（股）</w:t>
            </w:r>
          </w:p>
        </w:tc>
        <w:tc>
          <w:tcPr>
            <w:tcW w:w="1419"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占总股本比例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8"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w:t>
            </w:r>
          </w:p>
        </w:tc>
        <w:tc>
          <w:tcPr>
            <w:tcW w:w="2087"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陈晓菲</w:t>
            </w:r>
          </w:p>
        </w:tc>
        <w:tc>
          <w:tcPr>
            <w:tcW w:w="110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41,637</w:t>
            </w:r>
          </w:p>
        </w:tc>
        <w:tc>
          <w:tcPr>
            <w:tcW w:w="1419"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8"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w:t>
            </w:r>
          </w:p>
        </w:tc>
        <w:tc>
          <w:tcPr>
            <w:tcW w:w="2087"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宋磊</w:t>
            </w:r>
          </w:p>
        </w:tc>
        <w:tc>
          <w:tcPr>
            <w:tcW w:w="110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93,474</w:t>
            </w:r>
          </w:p>
        </w:tc>
        <w:tc>
          <w:tcPr>
            <w:tcW w:w="1419"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0.0025%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8"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w:t>
            </w:r>
          </w:p>
        </w:tc>
        <w:tc>
          <w:tcPr>
            <w:tcW w:w="2087"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考玲娣</w:t>
            </w:r>
          </w:p>
        </w:tc>
        <w:tc>
          <w:tcPr>
            <w:tcW w:w="110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64,438</w:t>
            </w:r>
          </w:p>
        </w:tc>
        <w:tc>
          <w:tcPr>
            <w:tcW w:w="1419"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0.0017%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8"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4</w:t>
            </w:r>
          </w:p>
        </w:tc>
        <w:tc>
          <w:tcPr>
            <w:tcW w:w="2087"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谭静</w:t>
            </w:r>
          </w:p>
        </w:tc>
        <w:tc>
          <w:tcPr>
            <w:tcW w:w="110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33,978</w:t>
            </w:r>
          </w:p>
        </w:tc>
        <w:tc>
          <w:tcPr>
            <w:tcW w:w="1419"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0.0009%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8"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w:t>
            </w:r>
          </w:p>
        </w:tc>
        <w:tc>
          <w:tcPr>
            <w:tcW w:w="2087"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刘霞</w:t>
            </w:r>
          </w:p>
        </w:tc>
        <w:tc>
          <w:tcPr>
            <w:tcW w:w="110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47,547</w:t>
            </w:r>
          </w:p>
        </w:tc>
        <w:tc>
          <w:tcPr>
            <w:tcW w:w="1419"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8"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w:t>
            </w:r>
          </w:p>
        </w:tc>
        <w:tc>
          <w:tcPr>
            <w:tcW w:w="2087"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孙鹏</w:t>
            </w:r>
          </w:p>
        </w:tc>
        <w:tc>
          <w:tcPr>
            <w:tcW w:w="110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43,517</w:t>
            </w:r>
          </w:p>
        </w:tc>
        <w:tc>
          <w:tcPr>
            <w:tcW w:w="1419"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8"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7</w:t>
            </w:r>
          </w:p>
        </w:tc>
        <w:tc>
          <w:tcPr>
            <w:tcW w:w="2087"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山东中文实业集团有限公司</w:t>
            </w:r>
          </w:p>
        </w:tc>
        <w:tc>
          <w:tcPr>
            <w:tcW w:w="110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54,861</w:t>
            </w:r>
          </w:p>
        </w:tc>
        <w:tc>
          <w:tcPr>
            <w:tcW w:w="1419"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8"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8</w:t>
            </w:r>
          </w:p>
        </w:tc>
        <w:tc>
          <w:tcPr>
            <w:tcW w:w="2087"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姜永亮</w:t>
            </w:r>
          </w:p>
        </w:tc>
        <w:tc>
          <w:tcPr>
            <w:tcW w:w="1105"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24,367</w:t>
            </w:r>
          </w:p>
        </w:tc>
        <w:tc>
          <w:tcPr>
            <w:tcW w:w="1419"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75" w:type="pct"/>
            <w:gridSpan w:val="2"/>
            <w:vAlign w:val="center"/>
          </w:tcPr>
          <w:p>
            <w:pPr>
              <w:adjustRightInd w:val="0"/>
              <w:snapToGrid w:val="0"/>
              <w:spacing w:before="62" w:beforeLines="20" w:after="62" w:afterLines="2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合计</w:t>
            </w:r>
          </w:p>
        </w:tc>
        <w:tc>
          <w:tcPr>
            <w:tcW w:w="1105" w:type="pct"/>
            <w:vAlign w:val="center"/>
          </w:tcPr>
          <w:p>
            <w:pPr>
              <w:widowControl/>
              <w:adjustRightInd w:val="0"/>
              <w:snapToGrid w:val="0"/>
              <w:spacing w:before="62" w:beforeLines="20" w:after="62" w:afterLines="20"/>
              <w:jc w:val="center"/>
              <w:textAlignment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403,819</w:t>
            </w:r>
          </w:p>
        </w:tc>
        <w:tc>
          <w:tcPr>
            <w:tcW w:w="1419" w:type="pct"/>
            <w:vAlign w:val="center"/>
          </w:tcPr>
          <w:p>
            <w:pPr>
              <w:adjustRightInd w:val="0"/>
              <w:snapToGrid w:val="0"/>
              <w:spacing w:before="62" w:beforeLines="20" w:after="62" w:afterLines="2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0.011%</w:t>
            </w:r>
          </w:p>
        </w:tc>
      </w:tr>
    </w:tbl>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eastAsia="zh-CN"/>
        </w:rPr>
      </w:pPr>
      <w:r>
        <w:rPr>
          <w:rFonts w:hint="eastAsia" w:ascii="Times New Roman" w:hAnsi="Times New Roman" w:eastAsia="仿宋_GB2312" w:cs="Times New Roman"/>
          <w:b w:val="0"/>
          <w:bCs w:val="0"/>
          <w:color w:val="auto"/>
          <w:sz w:val="30"/>
          <w:szCs w:val="30"/>
          <w:lang w:eastAsia="zh-CN"/>
        </w:rPr>
        <w:t>综上，上述冻结的股份数合计403,819股，占</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总股本的0.011%，该等冻结股份占</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总股本的比例较低，不影响</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股权结构的稳定性。</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eastAsia="zh-CN"/>
        </w:rPr>
      </w:pPr>
      <w:r>
        <w:rPr>
          <w:rFonts w:hint="eastAsia" w:ascii="Times New Roman" w:hAnsi="Times New Roman" w:eastAsia="仿宋_GB2312" w:cs="Times New Roman"/>
          <w:b w:val="0"/>
          <w:bCs w:val="0"/>
          <w:color w:val="auto"/>
          <w:sz w:val="30"/>
          <w:szCs w:val="30"/>
          <w:lang w:eastAsia="zh-CN"/>
        </w:rPr>
        <w:t>3</w:t>
      </w:r>
      <w:r>
        <w:rPr>
          <w:rFonts w:hint="default" w:ascii="Times New Roman" w:hAnsi="Times New Roman" w:eastAsia="仿宋_GB2312" w:cs="Times New Roman"/>
          <w:b w:val="0"/>
          <w:bCs w:val="0"/>
          <w:color w:val="auto"/>
          <w:sz w:val="30"/>
          <w:szCs w:val="30"/>
          <w:lang w:eastAsia="zh-CN"/>
        </w:rPr>
        <w:t>.</w:t>
      </w:r>
      <w:r>
        <w:rPr>
          <w:rFonts w:hint="eastAsia" w:ascii="Times New Roman" w:hAnsi="Times New Roman" w:eastAsia="仿宋_GB2312" w:cs="Times New Roman"/>
          <w:b w:val="0"/>
          <w:bCs w:val="0"/>
          <w:color w:val="auto"/>
          <w:sz w:val="30"/>
          <w:szCs w:val="30"/>
          <w:lang w:eastAsia="zh-CN"/>
        </w:rPr>
        <w:t>对外担保情况</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eastAsia="zh-CN"/>
        </w:rPr>
      </w:pPr>
      <w:r>
        <w:rPr>
          <w:rFonts w:hint="eastAsia" w:ascii="Times New Roman" w:hAnsi="Times New Roman" w:eastAsia="仿宋_GB2312" w:cs="Times New Roman"/>
          <w:b w:val="0"/>
          <w:bCs w:val="0"/>
          <w:color w:val="auto"/>
          <w:sz w:val="30"/>
          <w:szCs w:val="30"/>
          <w:lang w:eastAsia="zh-CN"/>
        </w:rPr>
        <w:t>根据</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的说明并经</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律师核查，</w:t>
      </w:r>
      <w:r>
        <w:rPr>
          <w:rFonts w:hint="default" w:ascii="Times New Roman" w:hAnsi="Times New Roman" w:eastAsia="仿宋_GB2312" w:cs="Times New Roman"/>
          <w:b w:val="0"/>
          <w:bCs w:val="0"/>
          <w:color w:val="auto"/>
          <w:sz w:val="30"/>
          <w:szCs w:val="30"/>
          <w:lang w:eastAsia="zh-CN"/>
        </w:rPr>
        <w:t>申请人现行有效的《公司章程》已明确对外担保的审批权限和审议程序</w:t>
      </w:r>
      <w:r>
        <w:rPr>
          <w:rFonts w:hint="eastAsia" w:ascii="Times New Roman" w:hAnsi="Times New Roman" w:eastAsia="仿宋_GB2312" w:cs="Times New Roman"/>
          <w:b w:val="0"/>
          <w:bCs w:val="0"/>
          <w:color w:val="auto"/>
          <w:sz w:val="30"/>
          <w:szCs w:val="30"/>
          <w:lang w:eastAsia="zh-CN"/>
        </w:rPr>
        <w:t>，截至2</w:t>
      </w:r>
      <w:r>
        <w:rPr>
          <w:rFonts w:hint="default" w:ascii="Times New Roman" w:hAnsi="Times New Roman" w:eastAsia="仿宋_GB2312" w:cs="Times New Roman"/>
          <w:b w:val="0"/>
          <w:bCs w:val="0"/>
          <w:color w:val="auto"/>
          <w:sz w:val="30"/>
          <w:szCs w:val="30"/>
          <w:lang w:eastAsia="zh-CN"/>
        </w:rPr>
        <w:t>022</w:t>
      </w:r>
      <w:r>
        <w:rPr>
          <w:rFonts w:hint="eastAsia" w:ascii="Times New Roman" w:hAnsi="Times New Roman" w:eastAsia="仿宋_GB2312" w:cs="Times New Roman"/>
          <w:b w:val="0"/>
          <w:bCs w:val="0"/>
          <w:color w:val="auto"/>
          <w:sz w:val="30"/>
          <w:szCs w:val="30"/>
          <w:lang w:eastAsia="zh-CN"/>
        </w:rPr>
        <w:t>年6月3</w:t>
      </w:r>
      <w:r>
        <w:rPr>
          <w:rFonts w:hint="default" w:ascii="Times New Roman" w:hAnsi="Times New Roman" w:eastAsia="仿宋_GB2312" w:cs="Times New Roman"/>
          <w:b w:val="0"/>
          <w:bCs w:val="0"/>
          <w:color w:val="auto"/>
          <w:sz w:val="30"/>
          <w:szCs w:val="30"/>
          <w:lang w:eastAsia="zh-CN"/>
        </w:rPr>
        <w:t>0</w:t>
      </w:r>
      <w:r>
        <w:rPr>
          <w:rFonts w:hint="eastAsia" w:ascii="Times New Roman" w:hAnsi="Times New Roman" w:eastAsia="仿宋_GB2312" w:cs="Times New Roman"/>
          <w:b w:val="0"/>
          <w:bCs w:val="0"/>
          <w:color w:val="auto"/>
          <w:sz w:val="30"/>
          <w:szCs w:val="30"/>
          <w:lang w:eastAsia="zh-CN"/>
        </w:rPr>
        <w:t>日，</w:t>
      </w:r>
      <w:r>
        <w:rPr>
          <w:rFonts w:hint="default" w:ascii="Times New Roman" w:hAnsi="Times New Roman" w:eastAsia="仿宋_GB2312" w:cs="Times New Roman"/>
          <w:b w:val="0"/>
          <w:bCs w:val="0"/>
          <w:color w:val="auto"/>
          <w:sz w:val="30"/>
          <w:szCs w:val="30"/>
          <w:lang w:eastAsia="zh-CN"/>
        </w:rPr>
        <w:t>申请人</w:t>
      </w:r>
      <w:r>
        <w:rPr>
          <w:rFonts w:hint="eastAsia" w:ascii="Times New Roman" w:hAnsi="Times New Roman" w:eastAsia="仿宋_GB2312" w:cs="Times New Roman"/>
          <w:b w:val="0"/>
          <w:bCs w:val="0"/>
          <w:color w:val="auto"/>
          <w:sz w:val="30"/>
          <w:szCs w:val="30"/>
          <w:lang w:eastAsia="zh-CN"/>
        </w:rPr>
        <w:t>不存在违规对外提供担保的情形。</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0" w:leftChars="0" w:rightChars="0" w:firstLine="600" w:firstLineChars="200"/>
        <w:jc w:val="both"/>
        <w:textAlignment w:val="auto"/>
        <w:outlineLvl w:val="0"/>
        <w:rPr>
          <w:rFonts w:hint="eastAsia" w:ascii="黑体" w:hAnsi="黑体" w:eastAsia="黑体" w:cs="黑体"/>
          <w:b w:val="0"/>
          <w:bCs/>
          <w:color w:val="auto"/>
          <w:sz w:val="30"/>
          <w:szCs w:val="30"/>
          <w:highlight w:val="none"/>
          <w:lang w:val="en-US" w:eastAsia="zh-CN"/>
        </w:rPr>
      </w:pPr>
      <w:r>
        <w:rPr>
          <w:rFonts w:hint="default" w:ascii="黑体" w:hAnsi="黑体" w:eastAsia="黑体" w:cs="黑体"/>
          <w:b w:val="0"/>
          <w:bCs/>
          <w:color w:val="auto"/>
          <w:sz w:val="30"/>
          <w:szCs w:val="30"/>
          <w:highlight w:val="none"/>
          <w:lang w:val="en-US" w:eastAsia="zh-CN"/>
        </w:rPr>
        <w:t>三</w:t>
      </w:r>
      <w:r>
        <w:rPr>
          <w:rFonts w:hint="eastAsia" w:ascii="黑体" w:hAnsi="黑体" w:eastAsia="黑体" w:cs="黑体"/>
          <w:b w:val="0"/>
          <w:bCs/>
          <w:color w:val="auto"/>
          <w:sz w:val="30"/>
          <w:szCs w:val="30"/>
          <w:highlight w:val="none"/>
          <w:lang w:val="en-US" w:eastAsia="zh-CN"/>
        </w:rPr>
        <w:t>、合规性审核意见</w:t>
      </w:r>
      <w:bookmarkStart w:id="1" w:name="_GoBack"/>
      <w:bookmarkEnd w:id="1"/>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0" w:line="240" w:lineRule="auto"/>
        <w:ind w:right="0" w:rightChars="0" w:firstLine="600" w:firstLineChars="200"/>
        <w:jc w:val="both"/>
        <w:textAlignment w:val="auto"/>
        <w:outlineLvl w:val="9"/>
        <w:rPr>
          <w:rFonts w:hint="default" w:ascii="Times New Roman" w:hAnsi="Times New Roman" w:eastAsia="仿宋_GB2312" w:cs="Times New Roman"/>
          <w:color w:val="auto"/>
          <w:sz w:val="30"/>
          <w:lang w:val="en-US" w:eastAsia="zh-CN"/>
        </w:rPr>
      </w:pPr>
      <w:r>
        <w:rPr>
          <w:rFonts w:hint="default" w:ascii="Times New Roman" w:hAnsi="Times New Roman" w:eastAsia="仿宋_GB2312" w:cs="Times New Roman"/>
          <w:color w:val="auto"/>
          <w:sz w:val="30"/>
          <w:lang w:val="en-US" w:eastAsia="zh-CN"/>
        </w:rPr>
        <w:t>我会认为，申请人提交的申请材料和信息披露基本符合《公司法》《证券法》《公众公司办法》《非上市公众公司信息披露内容与格式准则第3号——定向发行说明书和发行情况报告书》《非上市公众公司信息披露内容与格式准则第4号——定向发行申请文件》和《关于股东人数超过200人的未上市商业银行增发股份有关问题的通知》（证监发〔2018〕24号）等法律法规的规定，相关中介机构已就本次申请的相关问题依法发表了明确的意见。据此，我会同意</w:t>
      </w:r>
      <w:r>
        <w:rPr>
          <w:rFonts w:hint="default" w:eastAsia="仿宋_GB2312" w:cs="Times New Roman"/>
          <w:color w:val="auto"/>
          <w:sz w:val="30"/>
          <w:lang w:eastAsia="zh-CN"/>
        </w:rPr>
        <w:t>潍坊银行股份有限公司</w:t>
      </w:r>
      <w:r>
        <w:rPr>
          <w:rFonts w:hint="default" w:ascii="Times New Roman" w:hAnsi="Times New Roman" w:eastAsia="仿宋_GB2312" w:cs="Times New Roman"/>
          <w:color w:val="auto"/>
          <w:sz w:val="30"/>
          <w:lang w:val="en-US" w:eastAsia="zh-CN"/>
        </w:rPr>
        <w:t>向特定对象发行股票的申请。</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汉仪书宋二S">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eastAsia="黑体"/>
        <w:sz w:val="21"/>
        <w:szCs w:val="21"/>
      </w:rPr>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7"/>
                            <w:jc w:val="center"/>
                          </w:pPr>
                          <w:r>
                            <w:rPr>
                              <w:rFonts w:hint="eastAsia" w:ascii="Times New Roman" w:hAnsi="Times New Roman" w:eastAsia="黑体"/>
                              <w:sz w:val="21"/>
                              <w:szCs w:val="21"/>
                              <w:lang w:val="en-US" w:eastAsia="zh-CN"/>
                            </w:rPr>
                            <w:t>3</w:t>
                          </w:r>
                          <w:r>
                            <w:rPr>
                              <w:rFonts w:hint="eastAsia" w:ascii="Times New Roman" w:hAnsi="Times New Roman" w:eastAsia="黑体"/>
                              <w:sz w:val="21"/>
                              <w:szCs w:val="21"/>
                            </w:rPr>
                            <w:t>-</w:t>
                          </w:r>
                          <w:r>
                            <w:rPr>
                              <w:rFonts w:ascii="Times New Roman" w:hAnsi="Times New Roman" w:eastAsia="黑体"/>
                              <w:sz w:val="21"/>
                              <w:szCs w:val="21"/>
                            </w:rPr>
                            <w:fldChar w:fldCharType="begin"/>
                          </w:r>
                          <w:r>
                            <w:rPr>
                              <w:rFonts w:ascii="Times New Roman" w:hAnsi="Times New Roman" w:eastAsia="黑体"/>
                              <w:sz w:val="21"/>
                              <w:szCs w:val="21"/>
                            </w:rPr>
                            <w:instrText xml:space="preserve">PAGE   \* MERGEFORMAT</w:instrText>
                          </w:r>
                          <w:r>
                            <w:rPr>
                              <w:rFonts w:ascii="Times New Roman" w:hAnsi="Times New Roman" w:eastAsia="黑体"/>
                              <w:sz w:val="21"/>
                              <w:szCs w:val="21"/>
                            </w:rPr>
                            <w:fldChar w:fldCharType="separate"/>
                          </w:r>
                          <w:r>
                            <w:rPr>
                              <w:rFonts w:ascii="Times New Roman" w:hAnsi="Times New Roman" w:eastAsia="黑体"/>
                              <w:sz w:val="21"/>
                              <w:szCs w:val="21"/>
                              <w:lang w:val="zh-CN"/>
                            </w:rPr>
                            <w:t>9</w:t>
                          </w:r>
                          <w:r>
                            <w:rPr>
                              <w:rFonts w:ascii="Times New Roman" w:hAnsi="Times New Roman" w:eastAsia="黑体"/>
                              <w:sz w:val="21"/>
                              <w:szCs w:val="21"/>
                            </w:rPr>
                            <w:fldChar w:fldCharType="end"/>
                          </w:r>
                        </w:p>
                      </w:txbxContent>
                    </wps:txbx>
                    <wps:bodyPr vert="horz" wrap="none" lIns="0" tIns="0" rIns="0" bIns="0" upright="false">
                      <a:spAutoFit/>
                    </wps:bodyPr>
                  </wps:wsp>
                </a:graphicData>
              </a:graphic>
            </wp:anchor>
          </w:drawing>
        </mc:Choice>
        <mc:Fallback>
          <w:pict>
            <v:shape id="文本框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M6pebnPAAAABQEAAA8AAAAAAAAAAQAgAAAAOAAAAGRycy9k&#10;b3ducmV2LnhtbFBLAQIUABQAAAAIAIdO4kBF1no9vAEAAF0DAAAOAAAAAAAAAAEAIAAAADQBAABk&#10;cnMvZTJvRG9jLnhtbFBLBQYAAAAABgAGAFkBAABiBQAAAAA=&#10;">
              <v:fill on="f" focussize="0,0"/>
              <v:stroke on="f"/>
              <v:imagedata o:title=""/>
              <o:lock v:ext="edit" aspectratio="f"/>
              <v:textbox inset="0mm,0mm,0mm,0mm" style="mso-fit-shape-to-text:t;">
                <w:txbxContent>
                  <w:p>
                    <w:pPr>
                      <w:pStyle w:val="7"/>
                      <w:jc w:val="center"/>
                    </w:pPr>
                    <w:r>
                      <w:rPr>
                        <w:rFonts w:hint="eastAsia" w:ascii="Times New Roman" w:hAnsi="Times New Roman" w:eastAsia="黑体"/>
                        <w:sz w:val="21"/>
                        <w:szCs w:val="21"/>
                        <w:lang w:val="en-US" w:eastAsia="zh-CN"/>
                      </w:rPr>
                      <w:t>3</w:t>
                    </w:r>
                    <w:r>
                      <w:rPr>
                        <w:rFonts w:hint="eastAsia" w:ascii="Times New Roman" w:hAnsi="Times New Roman" w:eastAsia="黑体"/>
                        <w:sz w:val="21"/>
                        <w:szCs w:val="21"/>
                      </w:rPr>
                      <w:t>-</w:t>
                    </w:r>
                    <w:r>
                      <w:rPr>
                        <w:rFonts w:ascii="Times New Roman" w:hAnsi="Times New Roman" w:eastAsia="黑体"/>
                        <w:sz w:val="21"/>
                        <w:szCs w:val="21"/>
                      </w:rPr>
                      <w:fldChar w:fldCharType="begin"/>
                    </w:r>
                    <w:r>
                      <w:rPr>
                        <w:rFonts w:ascii="Times New Roman" w:hAnsi="Times New Roman" w:eastAsia="黑体"/>
                        <w:sz w:val="21"/>
                        <w:szCs w:val="21"/>
                      </w:rPr>
                      <w:instrText xml:space="preserve">PAGE   \* MERGEFORMAT</w:instrText>
                    </w:r>
                    <w:r>
                      <w:rPr>
                        <w:rFonts w:ascii="Times New Roman" w:hAnsi="Times New Roman" w:eastAsia="黑体"/>
                        <w:sz w:val="21"/>
                        <w:szCs w:val="21"/>
                      </w:rPr>
                      <w:fldChar w:fldCharType="separate"/>
                    </w:r>
                    <w:r>
                      <w:rPr>
                        <w:rFonts w:ascii="Times New Roman" w:hAnsi="Times New Roman" w:eastAsia="黑体"/>
                        <w:sz w:val="21"/>
                        <w:szCs w:val="21"/>
                        <w:lang w:val="zh-CN"/>
                      </w:rPr>
                      <w:t>9</w:t>
                    </w:r>
                    <w:r>
                      <w:rPr>
                        <w:rFonts w:ascii="Times New Roman" w:hAnsi="Times New Roman" w:eastAsia="黑体"/>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3F392C"/>
    <w:multiLevelType w:val="multilevel"/>
    <w:tmpl w:val="7D3F392C"/>
    <w:lvl w:ilvl="0" w:tentative="0">
      <w:start w:val="1"/>
      <w:numFmt w:val="decimal"/>
      <w:suff w:val="nothing"/>
      <w:lvlText w:val="%1"/>
      <w:lvlJc w:val="left"/>
      <w:pPr>
        <w:ind w:left="420" w:hanging="420"/>
      </w:pPr>
      <w:rPr>
        <w:rFonts w:hint="default" w:ascii="Times New Roman" w:hAnsi="Times New Roman"/>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src.gov.cn/resoftCtrl/DownloadController?attachmentId=56104c1a4c004af0ae4f467df1a53d02&amp;fileDirId=defultDirectory"/>
  </w:docVars>
  <w:rsids>
    <w:rsidRoot w:val="00172A27"/>
    <w:rsid w:val="01B5535E"/>
    <w:rsid w:val="046C5632"/>
    <w:rsid w:val="09554BCE"/>
    <w:rsid w:val="0B0D0DC9"/>
    <w:rsid w:val="0B88497C"/>
    <w:rsid w:val="0BE36264"/>
    <w:rsid w:val="0DDB64E1"/>
    <w:rsid w:val="0E79B22A"/>
    <w:rsid w:val="12A607FC"/>
    <w:rsid w:val="146D6B27"/>
    <w:rsid w:val="14BC4085"/>
    <w:rsid w:val="165B60AA"/>
    <w:rsid w:val="187FB78D"/>
    <w:rsid w:val="1C3B3AF3"/>
    <w:rsid w:val="1F170A15"/>
    <w:rsid w:val="1F312335"/>
    <w:rsid w:val="1F692855"/>
    <w:rsid w:val="1FF76332"/>
    <w:rsid w:val="25EE0BA3"/>
    <w:rsid w:val="2DB5B7D1"/>
    <w:rsid w:val="2DD455EB"/>
    <w:rsid w:val="2F931697"/>
    <w:rsid w:val="304779DE"/>
    <w:rsid w:val="32907B96"/>
    <w:rsid w:val="355565EC"/>
    <w:rsid w:val="35F712E5"/>
    <w:rsid w:val="36265E40"/>
    <w:rsid w:val="37FDD243"/>
    <w:rsid w:val="397F469C"/>
    <w:rsid w:val="3B4107F5"/>
    <w:rsid w:val="3EB97EF8"/>
    <w:rsid w:val="3FFF68E0"/>
    <w:rsid w:val="47250657"/>
    <w:rsid w:val="49877221"/>
    <w:rsid w:val="4A7D5E20"/>
    <w:rsid w:val="4C951C17"/>
    <w:rsid w:val="4F65713B"/>
    <w:rsid w:val="4F72738F"/>
    <w:rsid w:val="51F133DF"/>
    <w:rsid w:val="525E5B2F"/>
    <w:rsid w:val="52DB3DB8"/>
    <w:rsid w:val="538E771D"/>
    <w:rsid w:val="54560421"/>
    <w:rsid w:val="55C5F9D9"/>
    <w:rsid w:val="587C37A2"/>
    <w:rsid w:val="59277730"/>
    <w:rsid w:val="5A220852"/>
    <w:rsid w:val="5AFE265D"/>
    <w:rsid w:val="600B773C"/>
    <w:rsid w:val="60971CF4"/>
    <w:rsid w:val="626B53E4"/>
    <w:rsid w:val="65C21CA5"/>
    <w:rsid w:val="69195C40"/>
    <w:rsid w:val="6B117367"/>
    <w:rsid w:val="6BF2BE5C"/>
    <w:rsid w:val="6C7271D0"/>
    <w:rsid w:val="6C946CC4"/>
    <w:rsid w:val="6D0F4235"/>
    <w:rsid w:val="71B77AF0"/>
    <w:rsid w:val="744A5251"/>
    <w:rsid w:val="77C7F603"/>
    <w:rsid w:val="7BB67C51"/>
    <w:rsid w:val="7BBF3025"/>
    <w:rsid w:val="7BF73ED1"/>
    <w:rsid w:val="7BFD969F"/>
    <w:rsid w:val="7DC6E345"/>
    <w:rsid w:val="7E0D36B4"/>
    <w:rsid w:val="7F7F31EE"/>
    <w:rsid w:val="B7EAB901"/>
    <w:rsid w:val="BC7B49C7"/>
    <w:rsid w:val="BD7E3E02"/>
    <w:rsid w:val="C77EFDCB"/>
    <w:rsid w:val="CA5EFC62"/>
    <w:rsid w:val="CAFE7510"/>
    <w:rsid w:val="CFFEF0C2"/>
    <w:rsid w:val="D78FFC36"/>
    <w:rsid w:val="DAFEDAA6"/>
    <w:rsid w:val="E9924C0C"/>
    <w:rsid w:val="EAC95992"/>
    <w:rsid w:val="EBFF1D28"/>
    <w:rsid w:val="F6BB9221"/>
    <w:rsid w:val="FBDF57EF"/>
    <w:rsid w:val="FBF9CA7A"/>
    <w:rsid w:val="FEC965C3"/>
    <w:rsid w:val="FF330F09"/>
    <w:rsid w:val="FFBE3C58"/>
    <w:rsid w:val="FFFB2525"/>
    <w:rsid w:val="FFFB5B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4"/>
    <w:qFormat/>
    <w:uiPriority w:val="9"/>
    <w:pPr>
      <w:keepNext/>
      <w:keepLines/>
      <w:spacing w:before="240" w:beforeLines="0" w:beforeAutospacing="0" w:after="240" w:afterLines="0" w:afterAutospacing="0" w:line="360" w:lineRule="auto"/>
      <w:ind w:firstLine="200" w:firstLineChars="200"/>
      <w:outlineLvl w:val="0"/>
    </w:pPr>
    <w:rPr>
      <w:rFonts w:ascii="Times New Roman" w:hAnsi="Times New Roman" w:eastAsia="黑体"/>
      <w:b/>
      <w:kern w:val="44"/>
      <w:sz w:val="24"/>
    </w:rPr>
  </w:style>
  <w:style w:type="paragraph" w:styleId="4">
    <w:name w:val="heading 2"/>
    <w:basedOn w:val="1"/>
    <w:next w:val="1"/>
    <w:unhideWhenUsed/>
    <w:qFormat/>
    <w:uiPriority w:val="9"/>
    <w:pPr>
      <w:spacing w:line="360" w:lineRule="auto"/>
      <w:jc w:val="left"/>
      <w:outlineLvl w:val="1"/>
    </w:pPr>
    <w:rPr>
      <w:rFonts w:ascii="宋体" w:hAnsi="宋体" w:eastAsia="宋体"/>
      <w:b/>
      <w:sz w:val="24"/>
      <w:szCs w:val="28"/>
    </w:rPr>
  </w:style>
  <w:style w:type="character" w:default="1" w:styleId="12">
    <w:name w:val="Default Paragraph Font"/>
    <w:unhideWhenUsed/>
    <w:qFormat/>
    <w:uiPriority w:val="0"/>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166"/>
      <w:ind w:left="124"/>
    </w:pPr>
    <w:rPr>
      <w:rFonts w:ascii="宋体" w:hAnsi="宋体"/>
      <w:sz w:val="30"/>
      <w:szCs w:val="30"/>
    </w:rPr>
  </w:style>
  <w:style w:type="paragraph" w:styleId="5">
    <w:name w:val="annotation text"/>
    <w:basedOn w:val="1"/>
    <w:unhideWhenUsed/>
    <w:qFormat/>
    <w:uiPriority w:val="99"/>
    <w:pPr>
      <w:jc w:val="left"/>
    </w:pPr>
  </w:style>
  <w:style w:type="paragraph" w:styleId="6">
    <w:name w:val="Plain Text"/>
    <w:basedOn w:val="1"/>
    <w:unhideWhenUsed/>
    <w:qFormat/>
    <w:uiPriority w:val="99"/>
    <w:rPr>
      <w:rFonts w:ascii="宋体" w:hAnsi="Courier New"/>
      <w:kern w:val="0"/>
      <w:sz w:val="20"/>
      <w:szCs w:val="20"/>
    </w:rPr>
  </w:style>
  <w:style w:type="paragraph" w:styleId="7">
    <w:name w:val="footer"/>
    <w:basedOn w:val="1"/>
    <w:unhideWhenUsed/>
    <w:qFormat/>
    <w:uiPriority w:val="0"/>
    <w:pPr>
      <w:tabs>
        <w:tab w:val="center" w:pos="4153"/>
        <w:tab w:val="right" w:pos="8306"/>
      </w:tabs>
      <w:snapToGrid w:val="0"/>
      <w:jc w:val="left"/>
    </w:pPr>
    <w:rPr>
      <w:sz w:val="18"/>
    </w:rPr>
  </w:style>
  <w:style w:type="paragraph" w:styleId="8">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9">
    <w:name w:val="Normal (Web)"/>
    <w:basedOn w:val="1"/>
    <w:unhideWhenUsed/>
    <w:qFormat/>
    <w:uiPriority w:val="99"/>
    <w:pPr>
      <w:widowControl/>
      <w:spacing w:after="150" w:afterLines="0"/>
      <w:jc w:val="left"/>
    </w:pPr>
    <w:rPr>
      <w:rFonts w:ascii="宋体" w:hAnsi="宋体" w:cs="宋体"/>
      <w:kern w:val="0"/>
      <w:sz w:val="24"/>
      <w:szCs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unhideWhenUsed/>
    <w:qFormat/>
    <w:uiPriority w:val="99"/>
  </w:style>
  <w:style w:type="character" w:customStyle="1" w:styleId="14">
    <w:name w:val="标题 1 字符"/>
    <w:link w:val="3"/>
    <w:qFormat/>
    <w:uiPriority w:val="0"/>
    <w:rPr>
      <w:rFonts w:ascii="Times New Roman" w:hAnsi="Times New Roman" w:eastAsia="黑体"/>
      <w:b/>
      <w:kern w:val="44"/>
      <w:sz w:val="24"/>
    </w:rPr>
  </w:style>
  <w:style w:type="character" w:customStyle="1" w:styleId="15">
    <w:name w:val=" Char Char7"/>
    <w:qFormat/>
    <w:uiPriority w:val="0"/>
    <w:rPr>
      <w:sz w:val="24"/>
      <w:lang w:val="en-GB" w:eastAsia="en-US"/>
    </w:rPr>
  </w:style>
  <w:style w:type="character" w:customStyle="1" w:styleId="16">
    <w:name w:val="font31"/>
    <w:qFormat/>
    <w:uiPriority w:val="0"/>
    <w:rPr>
      <w:rFonts w:hint="eastAsia" w:ascii="黑体" w:hAnsi="宋体" w:eastAsia="黑体" w:cs="黑体"/>
      <w:b/>
      <w:color w:val="000000"/>
      <w:sz w:val="22"/>
      <w:szCs w:val="22"/>
      <w:u w:val="none"/>
    </w:rPr>
  </w:style>
  <w:style w:type="paragraph" w:customStyle="1" w:styleId="17">
    <w:name w:val="样式 思美招股书正文 + 首行缩进:  2 字符 段前: 0.5 行 段后: 0.5 行"/>
    <w:basedOn w:val="1"/>
    <w:qFormat/>
    <w:uiPriority w:val="0"/>
    <w:pPr>
      <w:adjustRightInd w:val="0"/>
      <w:snapToGrid w:val="0"/>
      <w:spacing w:before="156" w:beforeLines="50" w:after="156" w:afterLines="50" w:line="360" w:lineRule="auto"/>
      <w:ind w:firstLine="480" w:firstLineChars="200"/>
      <w:textAlignment w:val="center"/>
    </w:pPr>
    <w:rPr>
      <w:rFonts w:ascii="Times New Roman" w:hAnsi="Times New Roman" w:cs="宋体"/>
      <w:sz w:val="24"/>
    </w:rPr>
  </w:style>
  <w:style w:type="paragraph" w:customStyle="1" w:styleId="18">
    <w:name w:val="列出段落1"/>
    <w:basedOn w:val="1"/>
    <w:qFormat/>
    <w:uiPriority w:val="0"/>
    <w:pPr>
      <w:ind w:firstLine="420" w:firstLineChars="200"/>
    </w:pPr>
    <w:rPr>
      <w:rFonts w:ascii="Calibri" w:hAnsi="Calibri" w:eastAsia="宋体"/>
    </w:rPr>
  </w:style>
  <w:style w:type="paragraph" w:customStyle="1" w:styleId="19">
    <w:name w:val="VI 正文格式"/>
    <w:basedOn w:val="1"/>
    <w:qFormat/>
    <w:uiPriority w:val="0"/>
    <w:pPr>
      <w:adjustRightInd w:val="0"/>
      <w:spacing w:before="93" w:beforeLines="30" w:beforeAutospacing="0" w:after="93" w:afterLines="30" w:afterAutospacing="0" w:line="360" w:lineRule="auto"/>
      <w:ind w:firstLine="480" w:firstLineChars="200"/>
      <w:textAlignment w:val="baseline"/>
    </w:pPr>
    <w:rPr>
      <w:rFonts w:ascii="宋体" w:hAnsi="宋体"/>
      <w:sz w:val="24"/>
    </w:rPr>
  </w:style>
  <w:style w:type="paragraph" w:styleId="20">
    <w:name w:val="List Paragraph"/>
    <w:basedOn w:val="1"/>
    <w:qFormat/>
    <w:uiPriority w:val="0"/>
    <w:pPr>
      <w:ind w:firstLine="420" w:firstLineChars="200"/>
    </w:pPr>
  </w:style>
  <w:style w:type="paragraph" w:styleId="21">
    <w:name w:val="No Spacing"/>
    <w:qFormat/>
    <w:uiPriority w:val="0"/>
    <w:pPr>
      <w:jc w:val="center"/>
    </w:pPr>
    <w:rPr>
      <w:rFonts w:ascii="Times New Roman" w:hAnsi="Times New Roman" w:eastAsia="宋体" w:cs="Times New Roman"/>
      <w:kern w:val="2"/>
      <w:sz w:val="21"/>
      <w:szCs w:val="22"/>
      <w:lang w:val="en-US" w:eastAsia="zh-CN" w:bidi="ar-SA"/>
    </w:rPr>
  </w:style>
  <w:style w:type="paragraph" w:customStyle="1" w:styleId="22">
    <w:name w:val="补充披露"/>
    <w:basedOn w:val="1"/>
    <w:qFormat/>
    <w:uiPriority w:val="0"/>
    <w:pPr>
      <w:widowControl w:val="0"/>
      <w:spacing w:before="50" w:beforeLines="0" w:after="50" w:afterLines="0" w:line="360" w:lineRule="auto"/>
      <w:ind w:firstLine="482" w:firstLineChars="200"/>
      <w:jc w:val="both"/>
    </w:pPr>
    <w:rPr>
      <w:rFonts w:ascii="楷体" w:hAnsi="楷体" w:eastAsia="楷体" w:cs="Times New Roman"/>
      <w:b/>
      <w:color w:val="000000"/>
      <w:lang w:val="zh-CN"/>
    </w:rPr>
  </w:style>
  <w:style w:type="paragraph" w:customStyle="1" w:styleId="23">
    <w:name w:val="单位"/>
    <w:basedOn w:val="22"/>
    <w:qFormat/>
    <w:uiPriority w:val="0"/>
    <w:pPr>
      <w:widowControl w:val="0"/>
      <w:ind w:firstLine="422" w:firstLineChars="200"/>
      <w:jc w:val="right"/>
    </w:pPr>
    <w:rPr>
      <w:rFonts w:ascii="楷体" w:hAnsi="楷体" w:cs="Times New Roman"/>
      <w:kern w:val="2"/>
      <w:sz w:val="21"/>
      <w:szCs w:val="21"/>
    </w:rPr>
  </w:style>
  <w:style w:type="paragraph" w:customStyle="1" w:styleId="24">
    <w:name w:val="header"/>
    <w:basedOn w:val="1"/>
    <w:qFormat/>
    <w:uiPriority w:val="0"/>
    <w:pPr>
      <w:pBdr>
        <w:bottom w:val="single" w:color="auto" w:sz="6" w:space="1"/>
      </w:pBdr>
      <w:tabs>
        <w:tab w:val="center" w:pos="4153"/>
        <w:tab w:val="right" w:pos="8306"/>
      </w:tabs>
      <w:snapToGrid w:val="0"/>
      <w:jc w:val="center"/>
    </w:pPr>
    <w:rPr>
      <w:rFonts w:ascii="Calibri" w:hAnsi="Calibri" w:eastAsia="宋体"/>
      <w:kern w:val="2"/>
      <w:sz w:val="18"/>
    </w:rPr>
  </w:style>
  <w:style w:type="paragraph" w:customStyle="1" w:styleId="25">
    <w:name w:val="表格左对齐"/>
    <w:basedOn w:val="1"/>
    <w:qFormat/>
    <w:uiPriority w:val="0"/>
    <w:pPr>
      <w:spacing w:before="0" w:beforeLines="0" w:after="0" w:afterLines="0" w:line="240" w:lineRule="auto"/>
      <w:ind w:firstLine="0" w:firstLineChars="0"/>
      <w:jc w:val="left"/>
    </w:pPr>
    <w:rPr>
      <w:sz w:val="21"/>
    </w:rPr>
  </w:style>
  <w:style w:type="paragraph" w:customStyle="1" w:styleId="26">
    <w:name w:val="Default"/>
    <w:qFormat/>
    <w:uiPriority w:val="0"/>
    <w:pPr>
      <w:widowControl w:val="0"/>
      <w:autoSpaceDE w:val="0"/>
      <w:autoSpaceDN w:val="0"/>
      <w:adjustRightInd w:val="0"/>
    </w:pPr>
    <w:rPr>
      <w:rFonts w:ascii="宋体" w:hAnsi="Calibri" w:eastAsia="宋体" w:cs="Times New Roman"/>
      <w:color w:val="000000"/>
      <w:sz w:val="24"/>
      <w:lang w:val="en-US" w:eastAsia="zh-CN"/>
    </w:rPr>
  </w:style>
  <w:style w:type="paragraph" w:customStyle="1" w:styleId="27">
    <w:name w:val="Normal_1"/>
    <w:qFormat/>
    <w:uiPriority w:val="0"/>
    <w:rPr>
      <w:rFonts w:ascii="Calibri" w:hAnsi="Calibri" w:eastAsia="宋体" w:cs="Times New Roman"/>
      <w:sz w:val="24"/>
      <w:szCs w:val="24"/>
      <w:lang w:val="en-US" w:eastAsia="zh-CN" w:bidi="ar-SA"/>
    </w:rPr>
  </w:style>
  <w:style w:type="paragraph" w:customStyle="1" w:styleId="28">
    <w:name w:val="005正文"/>
    <w:basedOn w:val="1"/>
    <w:qFormat/>
    <w:uiPriority w:val="0"/>
    <w:pPr>
      <w:spacing w:beforeLines="50" w:line="360" w:lineRule="auto"/>
      <w:ind w:firstLine="200" w:firstLineChars="200"/>
    </w:pPr>
    <w:rPr>
      <w:kern w:val="0"/>
      <w:sz w:val="24"/>
      <w:szCs w:val="20"/>
    </w:rPr>
  </w:style>
  <w:style w:type="character" w:customStyle="1" w:styleId="29">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TotalTime>1</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2008-12-29T16:45:00Z</dcterms:created>
  <dc:creator>csrc</dc:creator>
  <cp:lastModifiedBy>赵智林</cp:lastModifiedBy>
  <cp:lastPrinted>2017-07-25T16:21:00Z</cp:lastPrinted>
  <dcterms:modified xsi:type="dcterms:W3CDTF">2022-10-06T17:25:41Z</dcterms:modified>
  <dc:title>关于建议同意昆山鹿城村镇银行股份有限公司向特定对象发行股票的审核意见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