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rightChars="0"/>
        <w:jc w:val="center"/>
        <w:textAlignment w:val="auto"/>
        <w:rPr>
          <w:rFonts w:hint="eastAsia" w:ascii="宋体" w:hAnsi="宋体" w:eastAsia="宋体" w:cs="宋体"/>
          <w:b/>
          <w:bCs w:val="0"/>
          <w:color w:val="auto"/>
          <w:sz w:val="36"/>
          <w:szCs w:val="36"/>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rightChars="0"/>
        <w:jc w:val="center"/>
        <w:textAlignment w:val="auto"/>
        <w:outlineLvl w:val="0"/>
        <w:rPr>
          <w:rFonts w:hint="eastAsia" w:ascii="宋体" w:hAnsi="宋体" w:eastAsia="宋体" w:cs="宋体"/>
          <w:b/>
          <w:bCs w:val="0"/>
          <w:color w:val="auto"/>
          <w:sz w:val="36"/>
          <w:szCs w:val="36"/>
          <w:highlight w:val="none"/>
          <w:lang w:eastAsia="zh-CN"/>
        </w:rPr>
      </w:pPr>
      <w:r>
        <w:rPr>
          <w:rFonts w:hint="eastAsia" w:ascii="宋体" w:hAnsi="宋体" w:eastAsia="宋体" w:cs="宋体"/>
          <w:b/>
          <w:bCs w:val="0"/>
          <w:color w:val="auto"/>
          <w:sz w:val="36"/>
          <w:szCs w:val="36"/>
          <w:highlight w:val="none"/>
        </w:rPr>
        <w:t>关于</w:t>
      </w:r>
      <w:r>
        <w:rPr>
          <w:rFonts w:hint="default" w:ascii="宋体" w:hAnsi="宋体" w:cs="宋体"/>
          <w:b/>
          <w:bCs w:val="0"/>
          <w:color w:val="auto"/>
          <w:sz w:val="36"/>
          <w:szCs w:val="36"/>
          <w:highlight w:val="none"/>
        </w:rPr>
        <w:t>广东力王高新科技股份有限公司</w:t>
      </w:r>
      <w:r>
        <w:rPr>
          <w:rFonts w:hint="eastAsia" w:ascii="宋体" w:hAnsi="宋体" w:eastAsia="宋体" w:cs="宋体"/>
          <w:b/>
          <w:bCs w:val="0"/>
          <w:color w:val="auto"/>
          <w:sz w:val="36"/>
          <w:szCs w:val="36"/>
          <w:highlight w:val="none"/>
          <w:lang w:eastAsia="zh-CN"/>
        </w:rPr>
        <w:t>申请向特定对象发行股票</w:t>
      </w:r>
      <w:r>
        <w:rPr>
          <w:rFonts w:hint="eastAsia" w:ascii="宋体" w:hAnsi="宋体" w:eastAsia="宋体" w:cs="宋体"/>
          <w:b/>
          <w:bCs w:val="0"/>
          <w:color w:val="auto"/>
          <w:sz w:val="36"/>
          <w:szCs w:val="36"/>
          <w:highlight w:val="none"/>
        </w:rPr>
        <w:t>的</w:t>
      </w:r>
      <w:r>
        <w:rPr>
          <w:rFonts w:hint="eastAsia" w:ascii="宋体" w:hAnsi="宋体" w:eastAsia="宋体" w:cs="宋体"/>
          <w:b/>
          <w:bCs w:val="0"/>
          <w:color w:val="auto"/>
          <w:sz w:val="36"/>
          <w:szCs w:val="36"/>
          <w:highlight w:val="none"/>
          <w:lang w:eastAsia="zh-CN"/>
        </w:rPr>
        <w:t>审核意见</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0" w:rightChars="0"/>
        <w:jc w:val="left"/>
        <w:textAlignment w:val="auto"/>
        <w:rPr>
          <w:rFonts w:hint="eastAsia" w:ascii="宋体" w:hAnsi="宋体" w:eastAsia="宋体" w:cs="宋体"/>
          <w:b/>
          <w:bCs w:val="0"/>
          <w:color w:val="auto"/>
          <w:sz w:val="32"/>
          <w:szCs w:val="32"/>
          <w:highlight w:val="none"/>
          <w:lang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Chars="0" w:firstLine="600" w:firstLineChars="200"/>
        <w:jc w:val="left"/>
        <w:textAlignment w:val="auto"/>
        <w:outlineLvl w:val="0"/>
        <w:rPr>
          <w:rFonts w:hint="eastAsia"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eastAsia="zh-CN"/>
        </w:rPr>
        <w:t>一、审核情况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leftChars="200" w:right="0" w:rightChars="0"/>
        <w:jc w:val="both"/>
        <w:textAlignment w:val="auto"/>
        <w:outlineLvl w:val="1"/>
        <w:rPr>
          <w:rFonts w:hint="eastAsia" w:ascii="楷体_GB2312" w:hAnsi="楷体_GB2312" w:eastAsia="楷体_GB2312" w:cs="楷体_GB2312"/>
          <w:b/>
          <w:bCs w:val="0"/>
          <w:color w:val="auto"/>
          <w:sz w:val="30"/>
          <w:szCs w:val="30"/>
          <w:highlight w:val="none"/>
          <w:lang w:eastAsia="zh-CN"/>
        </w:rPr>
      </w:pPr>
      <w:r>
        <w:rPr>
          <w:rFonts w:hint="eastAsia" w:ascii="楷体_GB2312" w:hAnsi="楷体_GB2312" w:eastAsia="楷体_GB2312" w:cs="楷体_GB2312"/>
          <w:b/>
          <w:bCs w:val="0"/>
          <w:color w:val="auto"/>
          <w:sz w:val="30"/>
          <w:szCs w:val="30"/>
          <w:highlight w:val="none"/>
          <w:lang w:eastAsia="zh-CN"/>
        </w:rPr>
        <w:t>（一）申请人基本情况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00" w:firstLineChars="200"/>
        <w:jc w:val="both"/>
        <w:textAlignment w:val="auto"/>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申请人全称为“</w:t>
      </w:r>
      <w:r>
        <w:rPr>
          <w:rFonts w:hint="default" w:ascii="Times New Roman" w:hAnsi="Times New Roman" w:eastAsia="仿宋_GB2312" w:cs="Times New Roman"/>
          <w:sz w:val="30"/>
          <w:szCs w:val="30"/>
          <w:lang w:eastAsia="zh-CN"/>
        </w:rPr>
        <w:t>广东力王高新科技股份有限公司</w:t>
      </w:r>
      <w:r>
        <w:rPr>
          <w:rFonts w:hint="default" w:ascii="Times New Roman" w:hAnsi="Times New Roman" w:eastAsia="仿宋_GB2312" w:cs="Times New Roman"/>
          <w:color w:val="auto"/>
          <w:sz w:val="30"/>
          <w:lang w:eastAsia="zh-CN"/>
        </w:rPr>
        <w:t>”，注册地广东省惠州市，</w:t>
      </w:r>
      <w:r>
        <w:rPr>
          <w:rFonts w:hint="default" w:ascii="Times New Roman" w:hAnsi="Times New Roman" w:eastAsia="仿宋_GB2312" w:cs="Times New Roman"/>
          <w:color w:val="auto"/>
          <w:sz w:val="30"/>
          <w:lang w:val="en-US" w:eastAsia="zh-CN"/>
        </w:rPr>
        <w:t>成立于20</w:t>
      </w:r>
      <w:r>
        <w:rPr>
          <w:rFonts w:hint="default" w:ascii="Times New Roman" w:hAnsi="Times New Roman" w:eastAsia="仿宋_GB2312" w:cs="Times New Roman"/>
          <w:color w:val="auto"/>
          <w:sz w:val="30"/>
          <w:lang w:eastAsia="zh-CN"/>
        </w:rPr>
        <w:t>07</w:t>
      </w:r>
      <w:r>
        <w:rPr>
          <w:rFonts w:hint="default" w:ascii="Times New Roman" w:hAnsi="Times New Roman" w:eastAsia="仿宋_GB2312" w:cs="Times New Roman"/>
          <w:color w:val="auto"/>
          <w:sz w:val="30"/>
          <w:lang w:val="en-US" w:eastAsia="zh-CN"/>
        </w:rPr>
        <w:t>年</w:t>
      </w:r>
      <w:r>
        <w:rPr>
          <w:rFonts w:hint="default" w:ascii="Times New Roman" w:hAnsi="Times New Roman" w:eastAsia="仿宋_GB2312" w:cs="Times New Roman"/>
          <w:color w:val="auto"/>
          <w:sz w:val="30"/>
          <w:lang w:eastAsia="zh-CN"/>
        </w:rPr>
        <w:t>。申请人法定代表人为孙春阳，实际控制人为孙春阳，注册资本为77,332,500元，总股本为77,332,500股。</w:t>
      </w:r>
    </w:p>
    <w:p>
      <w:pPr>
        <w:keepNext w:val="0"/>
        <w:keepLines w:val="0"/>
        <w:pageBreakBefore w:val="0"/>
        <w:widowControl w:val="0"/>
        <w:kinsoku/>
        <w:wordWrap/>
        <w:overflowPunct/>
        <w:topLinePunct w:val="0"/>
        <w:autoSpaceDE/>
        <w:autoSpaceDN/>
        <w:bidi w:val="0"/>
        <w:adjustRightIn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rPr>
        <w:t>申请人</w:t>
      </w:r>
      <w:r>
        <w:rPr>
          <w:rFonts w:hint="default" w:ascii="Times New Roman" w:hAnsi="Times New Roman" w:eastAsia="仿宋_GB2312" w:cs="Times New Roman"/>
          <w:sz w:val="30"/>
          <w:szCs w:val="30"/>
        </w:rPr>
        <w:t>主营业务为变压器、磁环等电子元器件的研发、制造、销售及技术服务。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02" w:firstLineChars="200"/>
        <w:jc w:val="both"/>
        <w:textAlignment w:val="auto"/>
        <w:outlineLvl w:val="1"/>
        <w:rPr>
          <w:rFonts w:hint="eastAsia" w:ascii="楷体_GB2312" w:hAnsi="楷体_GB2312" w:eastAsia="楷体_GB2312" w:cs="楷体_GB2312"/>
          <w:b/>
          <w:bCs/>
          <w:color w:val="auto"/>
          <w:sz w:val="30"/>
          <w:lang w:val="en-US" w:eastAsia="zh-CN"/>
        </w:rPr>
      </w:pPr>
      <w:r>
        <w:rPr>
          <w:rFonts w:hint="eastAsia" w:ascii="楷体_GB2312" w:hAnsi="楷体_GB2312" w:eastAsia="楷体_GB2312" w:cs="楷体_GB2312"/>
          <w:b/>
          <w:bCs/>
          <w:color w:val="auto"/>
          <w:sz w:val="30"/>
          <w:lang w:val="en-US" w:eastAsia="zh-CN"/>
        </w:rPr>
        <w:t>（二）审核过程</w:t>
      </w:r>
    </w:p>
    <w:p>
      <w:pPr>
        <w:keepNext w:val="0"/>
        <w:keepLines w:val="0"/>
        <w:pageBreakBefore w:val="0"/>
        <w:widowControl w:val="0"/>
        <w:kinsoku/>
        <w:wordWrap/>
        <w:overflowPunct/>
        <w:topLinePunct w:val="0"/>
        <w:autoSpaceDE/>
        <w:autoSpaceDN/>
        <w:bidi w:val="0"/>
        <w:adjustRightInd/>
        <w:spacing w:line="240" w:lineRule="auto"/>
        <w:ind w:firstLine="600" w:firstLineChars="200"/>
        <w:textAlignment w:val="auto"/>
        <w:rPr>
          <w:rFonts w:hint="default" w:ascii="Times New Roman" w:hAnsi="Times New Roman" w:eastAsia="仿宋_GB2312" w:cs="仿宋_GB2312"/>
          <w:sz w:val="30"/>
          <w:szCs w:val="30"/>
          <w:lang w:val="en-US" w:eastAsia="zh-CN"/>
        </w:rPr>
      </w:pPr>
      <w:r>
        <w:rPr>
          <w:rFonts w:hint="default" w:ascii="Times New Roman" w:hAnsi="Times New Roman" w:eastAsia="仿宋_GB2312" w:cs="仿宋_GB2312"/>
          <w:sz w:val="30"/>
          <w:szCs w:val="30"/>
          <w:lang w:val="en-US" w:eastAsia="zh-CN"/>
        </w:rPr>
        <w:t>申请人向特定对象发行股票的行政许可申请于202</w:t>
      </w:r>
      <w:r>
        <w:rPr>
          <w:rFonts w:hint="default" w:ascii="Times New Roman" w:hAnsi="Times New Roman" w:eastAsia="仿宋_GB2312" w:cs="仿宋_GB2312"/>
          <w:sz w:val="30"/>
          <w:szCs w:val="30"/>
          <w:lang w:eastAsia="zh-CN"/>
        </w:rPr>
        <w:t>2</w:t>
      </w:r>
      <w:r>
        <w:rPr>
          <w:rFonts w:hint="default" w:ascii="Times New Roman" w:hAnsi="Times New Roman" w:eastAsia="仿宋_GB2312" w:cs="仿宋_GB2312"/>
          <w:sz w:val="30"/>
          <w:szCs w:val="30"/>
          <w:lang w:val="en-US" w:eastAsia="zh-CN"/>
        </w:rPr>
        <w:t>年</w:t>
      </w:r>
      <w:r>
        <w:rPr>
          <w:rFonts w:hint="default" w:ascii="Times New Roman" w:hAnsi="Times New Roman" w:eastAsia="仿宋_GB2312" w:cs="仿宋_GB2312"/>
          <w:sz w:val="30"/>
          <w:szCs w:val="30"/>
          <w:lang w:eastAsia="zh-CN"/>
        </w:rPr>
        <w:t>8</w:t>
      </w:r>
      <w:r>
        <w:rPr>
          <w:rFonts w:hint="default" w:ascii="Times New Roman" w:hAnsi="Times New Roman" w:eastAsia="仿宋_GB2312" w:cs="仿宋_GB2312"/>
          <w:sz w:val="30"/>
          <w:szCs w:val="30"/>
          <w:lang w:val="en-US" w:eastAsia="zh-CN"/>
        </w:rPr>
        <w:t>月</w:t>
      </w:r>
      <w:r>
        <w:rPr>
          <w:rFonts w:hint="default" w:ascii="Times New Roman" w:hAnsi="Times New Roman" w:eastAsia="仿宋_GB2312" w:cs="仿宋_GB2312"/>
          <w:sz w:val="30"/>
          <w:szCs w:val="30"/>
          <w:lang w:eastAsia="zh-CN"/>
        </w:rPr>
        <w:t>19</w:t>
      </w:r>
      <w:r>
        <w:rPr>
          <w:rFonts w:hint="default" w:ascii="Times New Roman" w:hAnsi="Times New Roman" w:eastAsia="仿宋_GB2312" w:cs="仿宋_GB2312"/>
          <w:sz w:val="30"/>
          <w:szCs w:val="30"/>
          <w:lang w:val="en-US" w:eastAsia="zh-CN"/>
        </w:rPr>
        <w:t>日正式受理。依据《公司法》《证券法》《非上市公众公司监督管理办法》（以下简称《公众公司办法》）《非上市公众公司信息披露内容与格式准则第3号——定向发行说明书和发行情况报告书》《非上市公众公司信息披露内容与格式准则第4号——定向发行申请文件》等相关规定，我会对申请人提交的申请文件进行了合规性审核。</w:t>
      </w:r>
    </w:p>
    <w:p>
      <w:pPr>
        <w:keepNext w:val="0"/>
        <w:keepLines w:val="0"/>
        <w:pageBreakBefore w:val="0"/>
        <w:widowControl w:val="0"/>
        <w:kinsoku/>
        <w:wordWrap/>
        <w:overflowPunct/>
        <w:topLinePunct w:val="0"/>
        <w:autoSpaceDE/>
        <w:autoSpaceDN/>
        <w:bidi w:val="0"/>
        <w:adjustRightInd/>
        <w:spacing w:line="240" w:lineRule="auto"/>
        <w:ind w:firstLine="600" w:firstLineChars="200"/>
        <w:textAlignment w:val="auto"/>
        <w:rPr>
          <w:rFonts w:hint="eastAsia" w:ascii="Times New Roman" w:hAnsi="Times New Roman" w:eastAsia="仿宋_GB2312" w:cs="仿宋_GB2312"/>
          <w:sz w:val="30"/>
          <w:szCs w:val="30"/>
          <w:lang w:val="en-US" w:eastAsia="zh-CN"/>
        </w:rPr>
      </w:pPr>
      <w:r>
        <w:rPr>
          <w:rFonts w:hint="eastAsia" w:ascii="Times New Roman" w:hAnsi="Times New Roman" w:eastAsia="仿宋_GB2312" w:cs="仿宋_GB2312"/>
          <w:sz w:val="30"/>
          <w:szCs w:val="30"/>
          <w:lang w:val="en-US" w:eastAsia="zh-CN"/>
        </w:rPr>
        <w:t>全国股转公司就本次发行出具了《关于</w:t>
      </w:r>
      <w:r>
        <w:rPr>
          <w:rFonts w:hint="default" w:ascii="Times New Roman" w:hAnsi="Times New Roman" w:eastAsia="仿宋_GB2312" w:cs="Times New Roman"/>
          <w:sz w:val="30"/>
          <w:szCs w:val="30"/>
          <w:lang w:eastAsia="zh-CN"/>
        </w:rPr>
        <w:t>广东力王高新科技股份有限公司</w:t>
      </w:r>
      <w:r>
        <w:rPr>
          <w:rFonts w:hint="eastAsia" w:ascii="Times New Roman" w:hAnsi="Times New Roman" w:eastAsia="仿宋_GB2312" w:cs="仿宋_GB2312"/>
          <w:sz w:val="30"/>
          <w:szCs w:val="30"/>
          <w:lang w:val="en-US" w:eastAsia="zh-CN"/>
        </w:rPr>
        <w:t>股票定向发行自律审查意见的函》，对申请人本次股票定向发行无异议。</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Chars="0" w:firstLine="600" w:firstLineChars="200"/>
        <w:jc w:val="left"/>
        <w:textAlignment w:val="auto"/>
        <w:outlineLvl w:val="0"/>
        <w:rPr>
          <w:rFonts w:hint="default"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val="en-US" w:eastAsia="zh-CN"/>
        </w:rPr>
        <w:t>二、</w:t>
      </w:r>
      <w:r>
        <w:rPr>
          <w:rFonts w:hint="default" w:ascii="黑体" w:hAnsi="黑体" w:eastAsia="黑体" w:cs="黑体"/>
          <w:b w:val="0"/>
          <w:bCs/>
          <w:color w:val="auto"/>
          <w:sz w:val="30"/>
          <w:szCs w:val="30"/>
          <w:highlight w:val="none"/>
          <w:lang w:eastAsia="zh-CN"/>
        </w:rPr>
        <w:t>审核中关注的问题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02" w:firstLineChars="200"/>
        <w:jc w:val="both"/>
        <w:textAlignment w:val="auto"/>
        <w:outlineLvl w:val="1"/>
        <w:rPr>
          <w:rFonts w:hint="default" w:ascii="楷体_GB2312" w:hAnsi="楷体_GB2312" w:eastAsia="楷体_GB2312" w:cs="楷体_GB2312"/>
          <w:b/>
          <w:bCs/>
          <w:color w:val="auto"/>
          <w:sz w:val="30"/>
          <w:lang w:eastAsia="zh-CN"/>
        </w:rPr>
      </w:pPr>
      <w:r>
        <w:rPr>
          <w:rFonts w:hint="default" w:ascii="楷体_GB2312" w:hAnsi="楷体_GB2312" w:eastAsia="楷体_GB2312" w:cs="楷体_GB2312"/>
          <w:b/>
          <w:bCs/>
          <w:color w:val="auto"/>
          <w:sz w:val="30"/>
          <w:lang w:eastAsia="zh-CN"/>
        </w:rPr>
        <w:t>（一）</w:t>
      </w:r>
      <w:r>
        <w:rPr>
          <w:rFonts w:hint="default" w:ascii="楷体_GB2312" w:hAnsi="楷体_GB2312" w:eastAsia="楷体_GB2312" w:cs="楷体_GB2312"/>
          <w:b/>
          <w:bCs/>
          <w:color w:val="auto"/>
          <w:sz w:val="30"/>
          <w:lang w:val="en-US" w:eastAsia="zh-CN"/>
        </w:rPr>
        <w:t>关于</w:t>
      </w:r>
      <w:r>
        <w:rPr>
          <w:rFonts w:hint="default" w:ascii="楷体_GB2312" w:hAnsi="楷体_GB2312" w:eastAsia="楷体_GB2312" w:cs="楷体_GB2312"/>
          <w:b/>
          <w:bCs/>
          <w:color w:val="auto"/>
          <w:sz w:val="30"/>
          <w:lang w:eastAsia="zh-CN"/>
        </w:rPr>
        <w:t>收入变动合理性</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after="0" w:line="240" w:lineRule="auto"/>
        <w:ind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根据申报材料，申请人业务主要分为变压器、电感器及其他三类。2020年至2022年一季度，申请人变压器业务收入分别为2.81亿元、4.20亿元和0.82亿元；电感器业务收入分别为4,090.39万元、2,629.65万元和907.60万元。请申请人按照各个细分业务，（1）补充披露对应的市场空间、行业周期、竞争格局、发行人及可比公司的市场地位等情况；（2）说明公司收入增长变动情况与下游行业是否一致，以及存在差异的原因及合理性；（3）说明公司收入增长变动情况与可比公司是否一致，以及存在差异的原因及合理性；（4）补充披露公司期后业绩、在手订单情况，并充分披露业绩变动相关风险。请主办券商、会计师核查并发表明确意见。</w:t>
      </w:r>
    </w:p>
    <w:p>
      <w:pPr>
        <w:keepNext w:val="0"/>
        <w:keepLines w:val="0"/>
        <w:pageBreakBefore w:val="0"/>
        <w:widowControl w:val="0"/>
        <w:kinsoku/>
        <w:wordWrap/>
        <w:overflowPunct/>
        <w:topLinePunct w:val="0"/>
        <w:autoSpaceDE/>
        <w:autoSpaceDN/>
        <w:bidi w:val="0"/>
        <w:adjustRightInd/>
        <w:spacing w:line="240" w:lineRule="auto"/>
        <w:ind w:firstLine="602" w:firstLineChars="200"/>
        <w:textAlignment w:val="auto"/>
        <w:rPr>
          <w:rFonts w:hint="default" w:ascii="Times New Roman" w:hAnsi="Times New Roman" w:eastAsia="仿宋_GB2312" w:cs="仿宋_GB2312"/>
          <w:b/>
          <w:bCs/>
          <w:sz w:val="30"/>
          <w:szCs w:val="30"/>
          <w:lang w:eastAsia="zh-CN"/>
        </w:rPr>
      </w:pPr>
      <w:r>
        <w:rPr>
          <w:rFonts w:hint="default" w:ascii="Times New Roman" w:hAnsi="Times New Roman" w:eastAsia="仿宋_GB2312" w:cs="仿宋_GB2312"/>
          <w:b/>
          <w:bCs/>
          <w:sz w:val="30"/>
          <w:szCs w:val="30"/>
          <w:lang w:eastAsia="zh-CN"/>
        </w:rPr>
        <w:t>申请人回复称：</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2" w:firstLineChars="200"/>
        <w:jc w:val="both"/>
        <w:textAlignment w:val="auto"/>
        <w:outlineLvl w:val="9"/>
        <w:rPr>
          <w:rFonts w:hint="default" w:ascii="Times New Roman" w:hAnsi="Times New Roman" w:eastAsia="仿宋_GB2312" w:cs="Times New Roman"/>
          <w:b/>
          <w:bCs/>
          <w:color w:val="auto"/>
          <w:sz w:val="30"/>
          <w:lang w:eastAsia="zh-CN"/>
        </w:rPr>
      </w:pPr>
      <w:r>
        <w:rPr>
          <w:rFonts w:hint="default" w:ascii="Times New Roman" w:hAnsi="Times New Roman" w:eastAsia="仿宋_GB2312" w:cs="Times New Roman"/>
          <w:b/>
          <w:bCs/>
          <w:color w:val="auto"/>
          <w:sz w:val="30"/>
          <w:lang w:eastAsia="zh-CN"/>
        </w:rPr>
        <w:t>1.补充披露对应的市场空间、行业周期、竞争格局、发行人及可比公司的市场地位等情况</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目前世界主要的电子变压器、电感器等磁性元件的生产和消费企业为中国企业（含中国台湾地区）、日本、美国、欧洲和东南亚国家。近年来，我国磁性元件企业也开始向研发、规模化生产、销售一体化过渡，出现了一批具有一定规模和研发技术实力的磁性元件制造企业，越来越多的中国磁性元件生产企业正在向国际化、高端化、智能化方向迈进。磁性元件被广泛应用于汽车电子、充电桩、光伏、储能、风能、医疗、UPS电源、消费类电子、工业电源等领域，市场规模巨大。随着下游需求的更新，磁性元件行业正处在不断更新迭代的成长期。</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根据中国电子元件行业协会数据，2021年全球电子变压器市场规模达到668.4亿，同比增长8.5%，预计到2025年全球电子变压器市场规模将达到786.8亿，2020年至2025年平均增长率约为5.0%。全球电子变压器制造商主要集中在中国、中国台湾及日本，骨干企业包括台达、光宝、TDK、胜美达、海光、京泉华、可立克等。其中，中国大陆企业约占全球47%的市场份额、中国台湾企业约占18%的市场份额，日本制造商约占全球14%的市场份额。</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据GIR调研，2021年全球电感器市场规模大约268亿元人民币，《中国电子元器件行业“十四五”发展规划》提出，到2025年，电感器行业销售额达到410亿元人民币，“十四五”期间年复合增长率目标为8%。而目前的电感器市场，以日本为主导，以村田、TDK等为代表的日系电感器企业占全球近一半的市场份额，国产替代空间广阔。随着传统变压器的升级改造，新能源汽车、储能、光伏逆变器、汽车充电桩等新兴应用领域不断兴起，5G、电子设备等产品的不断普及和升级，未来磁性元件的市场需求将保持增长态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公司在消费电子特别是高端智能手机快充细分领域深耕多年，经过终端厂商严格的考核、评审和认证，目前已进入</w:t>
      </w:r>
      <w:bookmarkStart w:id="0" w:name="_Hlk113541908"/>
      <w:r>
        <w:rPr>
          <w:rFonts w:hint="default" w:ascii="Times New Roman" w:hAnsi="Times New Roman" w:eastAsia="仿宋_GB2312" w:cs="Times New Roman"/>
          <w:color w:val="auto"/>
          <w:sz w:val="30"/>
          <w:lang w:eastAsia="zh-CN"/>
        </w:rPr>
        <w:t>OPPO、小米、华为、荣耀的供应链资源池</w:t>
      </w:r>
      <w:bookmarkEnd w:id="0"/>
      <w:r>
        <w:rPr>
          <w:rFonts w:hint="default" w:ascii="Times New Roman" w:hAnsi="Times New Roman" w:eastAsia="仿宋_GB2312" w:cs="Times New Roman"/>
          <w:color w:val="auto"/>
          <w:sz w:val="30"/>
          <w:lang w:eastAsia="zh-CN"/>
        </w:rPr>
        <w:t>，公司具备产品质量的稳定性、一致性以及规模化的量产供货能力，制造能力和服务客户能力优越，属于细分领域的头部制造商，有望持续受益行业集中趋势。公司在拓展现有手机业务市场份额的同时，积极开拓新能源领域的市场，从而增加公司整体的竞争力，目前新能源领域客户有洛阳嘉盛新能源科技有限公司、致瞻科技（上海）有限公司、深圳市首航新能源股份有限公司、特变电工西安电气科技有限公司等。</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可比公司深圳宝晖科技股份有限公司（证券简称：宝晖科技，证券代码：873037）主营电子变压器、电感器、滤波器的研发、生产和销售，主要客户包括深圳市航嘉源控股（集团）有限公司、东莞市奥海科技股份有限公司、TEN PAO ELECTRONIC CO.,LTD等行业内头部制造厂；可比公司深圳可立克科技股份有限公司（证券简称：可立克，证券代码：002782）主营电子变压器和电感等磁性元件以及电源适配器、动力电池充电器和定制电源等电源产品的开发、生产和销售，致力于成为磁性元件及电源解决方案的引领者，公司产品广泛应用于消费电子、光伏储能、充电桩等领域，客户大多数为国内外上市公司及其子公司或细分行业龙头，综合实力强；可比公司深圳市京泉华科技股份有限公司（证券简称：京泉华，证券代码：002885）主营磁性元件、电源、特种变压器类产品的生产及组件灌封、组装，是国内外高端电子设备厂商的供应商，产品广泛应用于消费电子、新能源汽车及充电桩、5G通信、光伏储能等领域，综合实力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2" w:firstLineChars="200"/>
        <w:jc w:val="both"/>
        <w:textAlignment w:val="auto"/>
        <w:outlineLvl w:val="9"/>
        <w:rPr>
          <w:rFonts w:hint="default" w:ascii="Times New Roman" w:hAnsi="Times New Roman" w:eastAsia="仿宋_GB2312" w:cs="Times New Roman"/>
          <w:b/>
          <w:bCs/>
          <w:color w:val="auto"/>
          <w:sz w:val="30"/>
          <w:lang w:eastAsia="zh-CN"/>
        </w:rPr>
      </w:pPr>
      <w:r>
        <w:rPr>
          <w:rFonts w:hint="default" w:ascii="Times New Roman" w:hAnsi="Times New Roman" w:eastAsia="仿宋_GB2312" w:cs="Times New Roman"/>
          <w:b/>
          <w:bCs/>
          <w:color w:val="auto"/>
          <w:sz w:val="30"/>
          <w:lang w:eastAsia="zh-CN"/>
        </w:rPr>
        <w:t>2.说明公司收入增长变动情况与下游行业是否一致，以及存在差异的原因及合理性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公司产品按照客户领域明细收入情况如下：</w:t>
      </w:r>
    </w:p>
    <w:p>
      <w:pPr>
        <w:spacing w:before="156" w:beforeLines="50"/>
        <w:ind w:firstLine="420" w:firstLineChars="200"/>
        <w:jc w:val="right"/>
        <w:rPr>
          <w:rFonts w:cs="Times New Roman"/>
          <w:sz w:val="21"/>
          <w:szCs w:val="20"/>
        </w:rPr>
      </w:pPr>
      <w:r>
        <w:rPr>
          <w:rFonts w:cs="Times New Roman"/>
          <w:sz w:val="21"/>
          <w:szCs w:val="20"/>
        </w:rPr>
        <w:t>单位：万元</w:t>
      </w:r>
    </w:p>
    <w:tbl>
      <w:tblPr>
        <w:tblStyle w:val="11"/>
        <w:tblW w:w="46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4"/>
        <w:gridCol w:w="2383"/>
        <w:gridCol w:w="2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b/>
                <w:sz w:val="21"/>
                <w:szCs w:val="21"/>
              </w:rPr>
            </w:pPr>
            <w:r>
              <w:rPr>
                <w:rFonts w:hint="default" w:ascii="Times New Roman" w:hAnsi="Times New Roman" w:cs="Times New Roman"/>
                <w:b/>
                <w:color w:val="000000" w:themeColor="text1"/>
                <w:kern w:val="0"/>
                <w:sz w:val="21"/>
                <w:szCs w:val="21"/>
                <w14:textFill>
                  <w14:solidFill>
                    <w14:schemeClr w14:val="tx1"/>
                  </w14:solidFill>
                </w14:textFill>
              </w:rPr>
              <w:t>项目</w:t>
            </w:r>
          </w:p>
        </w:tc>
        <w:tc>
          <w:tcPr>
            <w:tcW w:w="1493" w:type="pct"/>
            <w:shd w:val="clear" w:color="auto" w:fill="auto"/>
            <w:vAlign w:val="center"/>
          </w:tcPr>
          <w:p>
            <w:pPr>
              <w:autoSpaceDE w:val="0"/>
              <w:autoSpaceDN w:val="0"/>
              <w:adjustRightInd w:val="0"/>
              <w:jc w:val="center"/>
              <w:textAlignment w:val="center"/>
              <w:rPr>
                <w:rFonts w:hint="default" w:ascii="Times New Roman" w:hAnsi="Times New Roman" w:cs="Times New Roman"/>
                <w:b/>
                <w:sz w:val="21"/>
                <w:szCs w:val="21"/>
              </w:rPr>
            </w:pPr>
            <w:r>
              <w:rPr>
                <w:rFonts w:hint="default" w:ascii="Times New Roman" w:hAnsi="Times New Roman" w:cs="Times New Roman"/>
                <w:b/>
                <w:color w:val="000000" w:themeColor="text1"/>
                <w:kern w:val="0"/>
                <w:sz w:val="21"/>
                <w:szCs w:val="21"/>
                <w14:textFill>
                  <w14:solidFill>
                    <w14:schemeClr w14:val="tx1"/>
                  </w14:solidFill>
                </w14:textFill>
              </w:rPr>
              <w:t>2020年度</w:t>
            </w:r>
          </w:p>
        </w:tc>
        <w:tc>
          <w:tcPr>
            <w:tcW w:w="1493" w:type="pct"/>
            <w:shd w:val="clear" w:color="auto" w:fill="auto"/>
            <w:vAlign w:val="center"/>
          </w:tcPr>
          <w:p>
            <w:pPr>
              <w:autoSpaceDE w:val="0"/>
              <w:autoSpaceDN w:val="0"/>
              <w:adjustRightInd w:val="0"/>
              <w:jc w:val="center"/>
              <w:textAlignment w:val="center"/>
              <w:rPr>
                <w:rFonts w:hint="default" w:ascii="Times New Roman" w:hAnsi="Times New Roman" w:cs="Times New Roman"/>
                <w:b/>
                <w:sz w:val="21"/>
                <w:szCs w:val="21"/>
              </w:rPr>
            </w:pPr>
            <w:r>
              <w:rPr>
                <w:rFonts w:hint="default" w:ascii="Times New Roman" w:hAnsi="Times New Roman" w:cs="Times New Roman"/>
                <w:b/>
                <w:color w:val="000000" w:themeColor="text1"/>
                <w:kern w:val="0"/>
                <w:sz w:val="21"/>
                <w:szCs w:val="21"/>
                <w14:textFill>
                  <w14:solidFill>
                    <w14:schemeClr w14:val="tx1"/>
                  </w14:solidFill>
                </w14:textFill>
              </w:rPr>
              <w:t>2021年度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left"/>
              <w:textAlignment w:val="center"/>
              <w:rPr>
                <w:rFonts w:hint="default" w:ascii="Times New Roman" w:hAnsi="Times New Roman" w:cs="Times New Roman"/>
                <w:b/>
                <w:bCs/>
                <w:sz w:val="21"/>
                <w:szCs w:val="21"/>
              </w:rPr>
            </w:pPr>
            <w:r>
              <w:rPr>
                <w:rFonts w:hint="default" w:ascii="Times New Roman" w:hAnsi="Times New Roman" w:cs="Times New Roman"/>
                <w:b/>
                <w:bCs/>
                <w:color w:val="000000" w:themeColor="text1"/>
                <w:kern w:val="0"/>
                <w:sz w:val="20"/>
                <w:szCs w:val="20"/>
                <w14:textFill>
                  <w14:solidFill>
                    <w14:schemeClr w14:val="tx1"/>
                  </w14:solidFill>
                </w14:textFill>
              </w:rPr>
              <w:t>消费电子领域</w:t>
            </w:r>
          </w:p>
        </w:tc>
        <w:tc>
          <w:tcPr>
            <w:tcW w:w="1493" w:type="pct"/>
            <w:shd w:val="clear" w:color="auto" w:fill="auto"/>
            <w:vAlign w:val="center"/>
          </w:tcPr>
          <w:p>
            <w:pPr>
              <w:jc w:val="center"/>
              <w:rPr>
                <w:rFonts w:hint="default" w:ascii="Times New Roman" w:hAnsi="Times New Roman" w:cs="Times New Roman"/>
                <w:b/>
                <w:bCs/>
                <w:sz w:val="21"/>
                <w:szCs w:val="20"/>
              </w:rPr>
            </w:pPr>
            <w:r>
              <w:rPr>
                <w:rFonts w:hint="default" w:ascii="Times New Roman" w:hAnsi="Times New Roman" w:cs="Times New Roman"/>
                <w:b/>
                <w:bCs/>
                <w:color w:val="000000"/>
                <w:sz w:val="21"/>
                <w:szCs w:val="21"/>
              </w:rPr>
              <w:t>33,713.19</w:t>
            </w:r>
          </w:p>
        </w:tc>
        <w:tc>
          <w:tcPr>
            <w:tcW w:w="1493" w:type="pct"/>
            <w:shd w:val="clear" w:color="auto" w:fill="auto"/>
            <w:vAlign w:val="center"/>
          </w:tcPr>
          <w:p>
            <w:pPr>
              <w:jc w:val="center"/>
              <w:rPr>
                <w:rFonts w:hint="default" w:ascii="Times New Roman" w:hAnsi="Times New Roman" w:cs="Times New Roman"/>
                <w:b/>
                <w:bCs/>
                <w:sz w:val="21"/>
                <w:szCs w:val="20"/>
              </w:rPr>
            </w:pPr>
            <w:r>
              <w:rPr>
                <w:rFonts w:hint="default" w:ascii="Times New Roman" w:hAnsi="Times New Roman" w:cs="Times New Roman"/>
                <w:b/>
                <w:bCs/>
                <w:color w:val="000000"/>
                <w:sz w:val="21"/>
                <w:szCs w:val="21"/>
              </w:rPr>
              <w:t>43,730.57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变压器类</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28,061.81</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40,410.81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电感器类</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4,061.07</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2,477.76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其他类</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 xml:space="preserve">1,590.31 </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842.00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left"/>
              <w:textAlignment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0"/>
                <w:szCs w:val="20"/>
                <w14:textFill>
                  <w14:solidFill>
                    <w14:schemeClr w14:val="tx1"/>
                  </w14:solidFill>
                </w14:textFill>
              </w:rPr>
              <w:t>新能源领域</w:t>
            </w:r>
          </w:p>
        </w:tc>
        <w:tc>
          <w:tcPr>
            <w:tcW w:w="1493" w:type="pct"/>
            <w:shd w:val="clear" w:color="auto" w:fill="auto"/>
            <w:vAlign w:val="center"/>
          </w:tcPr>
          <w:p>
            <w:pPr>
              <w:jc w:val="center"/>
              <w:rPr>
                <w:rFonts w:hint="default" w:ascii="Times New Roman" w:hAnsi="Times New Roman" w:cs="Times New Roman"/>
                <w:b/>
                <w:bCs/>
                <w:sz w:val="21"/>
                <w:szCs w:val="20"/>
              </w:rPr>
            </w:pPr>
            <w:r>
              <w:rPr>
                <w:rFonts w:hint="default" w:ascii="Times New Roman" w:hAnsi="Times New Roman" w:cs="Times New Roman"/>
                <w:b/>
                <w:bCs/>
                <w:color w:val="000000"/>
                <w:sz w:val="21"/>
                <w:szCs w:val="21"/>
              </w:rPr>
              <w:t>81.77</w:t>
            </w:r>
          </w:p>
        </w:tc>
        <w:tc>
          <w:tcPr>
            <w:tcW w:w="1493" w:type="pct"/>
            <w:shd w:val="clear" w:color="auto" w:fill="auto"/>
            <w:vAlign w:val="center"/>
          </w:tcPr>
          <w:p>
            <w:pPr>
              <w:jc w:val="center"/>
              <w:rPr>
                <w:rFonts w:hint="default" w:ascii="Times New Roman" w:hAnsi="Times New Roman" w:cs="Times New Roman"/>
                <w:b/>
                <w:bCs/>
                <w:sz w:val="21"/>
                <w:szCs w:val="20"/>
              </w:rPr>
            </w:pPr>
            <w:r>
              <w:rPr>
                <w:rFonts w:hint="default" w:ascii="Times New Roman" w:hAnsi="Times New Roman" w:cs="Times New Roman"/>
                <w:b/>
                <w:bCs/>
                <w:color w:val="000000"/>
                <w:sz w:val="21"/>
                <w:szCs w:val="21"/>
              </w:rPr>
              <w:t>1,749.42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变压器类</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52.45</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1,597.54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电感器类</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29.32</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151.88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pct"/>
            <w:shd w:val="clear" w:color="auto" w:fill="auto"/>
            <w:vAlign w:val="center"/>
          </w:tcPr>
          <w:p>
            <w:pPr>
              <w:autoSpaceDE w:val="0"/>
              <w:autoSpaceDN w:val="0"/>
              <w:adjustRightInd w:val="0"/>
              <w:jc w:val="center"/>
              <w:textAlignment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其他类</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0.00</w:t>
            </w:r>
          </w:p>
        </w:tc>
        <w:tc>
          <w:tcPr>
            <w:tcW w:w="1493"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sz w:val="21"/>
                <w:szCs w:val="21"/>
              </w:rPr>
              <w:t>0.00</w:t>
            </w:r>
          </w:p>
        </w:tc>
      </w:tr>
    </w:tbl>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公司属于产业链上游制造企业，公司根据发展计划与下游需求情况配置不同产品的生产线，根据客户订单进行生产排期，公司按照实际交付的订单实现收入。公司业务集中于消费电子领域，生产的产品以变压器类产品为主，变压器类产品收入增长较大，主要由于下游手机出货量增加，充电器产品需求较大，一方面，变压器在充电器制造成本中占比较高，达30%左右，另一方面，充电器迭代升级主要为变压器不断升级，价值也提升，变压器类</w:t>
      </w:r>
      <w:r>
        <w:rPr>
          <w:rFonts w:hint="eastAsia" w:ascii="Times New Roman" w:hAnsi="Times New Roman" w:eastAsia="仿宋_GB2312" w:cs="Times New Roman"/>
          <w:color w:val="auto"/>
          <w:sz w:val="30"/>
          <w:lang w:eastAsia="zh-CN"/>
        </w:rPr>
        <w:t>收入持续</w:t>
      </w:r>
      <w:r>
        <w:rPr>
          <w:rFonts w:hint="default" w:ascii="Times New Roman" w:hAnsi="Times New Roman" w:eastAsia="仿宋_GB2312" w:cs="Times New Roman"/>
          <w:color w:val="auto"/>
          <w:sz w:val="30"/>
          <w:lang w:eastAsia="zh-CN"/>
        </w:rPr>
        <w:t>增加</w:t>
      </w:r>
      <w:r>
        <w:rPr>
          <w:rFonts w:hint="eastAsia" w:ascii="Times New Roman" w:hAnsi="Times New Roman" w:eastAsia="仿宋_GB2312" w:cs="Times New Roman"/>
          <w:color w:val="auto"/>
          <w:sz w:val="30"/>
          <w:lang w:eastAsia="zh-CN"/>
        </w:rPr>
        <w:t>；公司电感类产品2</w:t>
      </w:r>
      <w:r>
        <w:rPr>
          <w:rFonts w:hint="default" w:ascii="Times New Roman" w:hAnsi="Times New Roman" w:eastAsia="仿宋_GB2312" w:cs="Times New Roman"/>
          <w:color w:val="auto"/>
          <w:sz w:val="30"/>
          <w:lang w:eastAsia="zh-CN"/>
        </w:rPr>
        <w:t>021</w:t>
      </w:r>
      <w:r>
        <w:rPr>
          <w:rFonts w:hint="eastAsia" w:ascii="Times New Roman" w:hAnsi="Times New Roman" w:eastAsia="仿宋_GB2312" w:cs="Times New Roman"/>
          <w:color w:val="auto"/>
          <w:sz w:val="30"/>
          <w:lang w:eastAsia="zh-CN"/>
        </w:rPr>
        <w:t>年度收入下降，主要是公司调整产品结构，放弃部分低端电感器产品，2</w:t>
      </w:r>
      <w:r>
        <w:rPr>
          <w:rFonts w:hint="default" w:ascii="Times New Roman" w:hAnsi="Times New Roman" w:eastAsia="仿宋_GB2312" w:cs="Times New Roman"/>
          <w:color w:val="auto"/>
          <w:sz w:val="30"/>
          <w:lang w:eastAsia="zh-CN"/>
        </w:rPr>
        <w:t>021</w:t>
      </w:r>
      <w:r>
        <w:rPr>
          <w:rFonts w:hint="eastAsia" w:ascii="Times New Roman" w:hAnsi="Times New Roman" w:eastAsia="仿宋_GB2312" w:cs="Times New Roman"/>
          <w:color w:val="auto"/>
          <w:sz w:val="30"/>
          <w:lang w:eastAsia="zh-CN"/>
        </w:rPr>
        <w:t>年度公司订单集中于价值较高的电感器产品及需求较大的变压器产品</w:t>
      </w:r>
      <w:r>
        <w:rPr>
          <w:rFonts w:hint="default" w:ascii="Times New Roman" w:hAnsi="Times New Roman" w:eastAsia="仿宋_GB2312" w:cs="Times New Roman"/>
          <w:color w:val="auto"/>
          <w:sz w:val="30"/>
          <w:lang w:eastAsia="zh-CN"/>
        </w:rPr>
        <w:t>。在新能源领域，公司业务主要在2021年下半年</w:t>
      </w:r>
      <w:r>
        <w:rPr>
          <w:rFonts w:hint="eastAsia" w:ascii="Times New Roman" w:hAnsi="Times New Roman" w:eastAsia="仿宋_GB2312" w:cs="Times New Roman"/>
          <w:color w:val="auto"/>
          <w:sz w:val="30"/>
          <w:lang w:eastAsia="zh-CN"/>
        </w:rPr>
        <w:t>实现大幅提升</w:t>
      </w:r>
      <w:r>
        <w:rPr>
          <w:rFonts w:hint="default" w:ascii="Times New Roman" w:hAnsi="Times New Roman" w:eastAsia="仿宋_GB2312" w:cs="Times New Roman"/>
          <w:color w:val="auto"/>
          <w:sz w:val="30"/>
          <w:lang w:eastAsia="zh-CN"/>
        </w:rPr>
        <w:t>，2021年度收入合计为1,749.42万元</w:t>
      </w:r>
      <w:r>
        <w:rPr>
          <w:rFonts w:hint="eastAsia" w:ascii="Times New Roman" w:hAnsi="Times New Roman" w:eastAsia="仿宋_GB2312" w:cs="Times New Roman"/>
          <w:color w:val="auto"/>
          <w:sz w:val="30"/>
          <w:lang w:eastAsia="zh-CN"/>
        </w:rPr>
        <w:t>，其中，以变压器产品收入为主</w:t>
      </w:r>
      <w:r>
        <w:rPr>
          <w:rFonts w:hint="default" w:ascii="Times New Roman" w:hAnsi="Times New Roman" w:eastAsia="仿宋_GB2312" w:cs="Times New Roman"/>
          <w:color w:val="auto"/>
          <w:sz w:val="30"/>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公司产品的下游应用主要在消费电子领域，为充电器生产企业，该行业主要的公司有领益智造（002600）、奥海科技（002993）等上市公司；在新能源领域，公司下游为光伏储能逆变器等电力转换设备制造企业，该行业主要的公司有禾迈股份（688032）、阳光电源（300274）等上市公司，2020及2021年度，上述代表性公司财务数据情况如下：</w:t>
      </w:r>
    </w:p>
    <w:p>
      <w:pPr>
        <w:spacing w:before="156" w:beforeLines="50"/>
        <w:ind w:firstLine="420" w:firstLineChars="200"/>
        <w:jc w:val="right"/>
        <w:rPr>
          <w:rFonts w:cs="Times New Roman"/>
          <w:sz w:val="21"/>
          <w:szCs w:val="20"/>
        </w:rPr>
      </w:pPr>
      <w:r>
        <w:rPr>
          <w:rFonts w:cs="Times New Roman"/>
          <w:sz w:val="21"/>
          <w:szCs w:val="20"/>
        </w:rPr>
        <w:t>单位：万元</w:t>
      </w:r>
    </w:p>
    <w:tbl>
      <w:tblPr>
        <w:tblStyle w:val="11"/>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2322"/>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Align w:val="center"/>
          </w:tcPr>
          <w:p>
            <w:pPr>
              <w:autoSpaceDE w:val="0"/>
              <w:autoSpaceDN w:val="0"/>
              <w:adjustRightInd w:val="0"/>
              <w:jc w:val="center"/>
              <w:textAlignment w:val="center"/>
              <w:rPr>
                <w:rFonts w:hint="default" w:ascii="Times New Roman" w:hAnsi="Times New Roman" w:cs="Times New Roman"/>
                <w:b/>
                <w:color w:val="000000" w:themeColor="text1"/>
                <w:kern w:val="0"/>
                <w:sz w:val="21"/>
                <w:szCs w:val="21"/>
                <w14:textFill>
                  <w14:solidFill>
                    <w14:schemeClr w14:val="tx1"/>
                  </w14:solidFill>
                </w14:textFill>
              </w:rPr>
            </w:pPr>
            <w:r>
              <w:rPr>
                <w:rFonts w:hint="default" w:ascii="Times New Roman" w:hAnsi="Times New Roman" w:cs="Times New Roman"/>
                <w:b/>
                <w:color w:val="000000" w:themeColor="text1"/>
                <w:kern w:val="0"/>
                <w:sz w:val="21"/>
                <w:szCs w:val="21"/>
                <w14:textFill>
                  <w14:solidFill>
                    <w14:schemeClr w14:val="tx1"/>
                  </w14:solidFill>
                </w14:textFill>
              </w:rPr>
              <w:t>公司</w:t>
            </w:r>
          </w:p>
        </w:tc>
        <w:tc>
          <w:tcPr>
            <w:tcW w:w="1387" w:type="pct"/>
            <w:vAlign w:val="center"/>
          </w:tcPr>
          <w:p>
            <w:pPr>
              <w:autoSpaceDE w:val="0"/>
              <w:autoSpaceDN w:val="0"/>
              <w:adjustRightInd w:val="0"/>
              <w:jc w:val="center"/>
              <w:textAlignment w:val="center"/>
              <w:rPr>
                <w:rFonts w:hint="default" w:ascii="Times New Roman" w:hAnsi="Times New Roman" w:cs="Times New Roman"/>
                <w:b/>
                <w:color w:val="000000" w:themeColor="text1"/>
                <w:kern w:val="0"/>
                <w:sz w:val="21"/>
                <w:szCs w:val="21"/>
                <w14:textFill>
                  <w14:solidFill>
                    <w14:schemeClr w14:val="tx1"/>
                  </w14:solidFill>
                </w14:textFill>
              </w:rPr>
            </w:pPr>
            <w:r>
              <w:rPr>
                <w:rFonts w:hint="default" w:ascii="Times New Roman" w:hAnsi="Times New Roman" w:cs="Times New Roman"/>
                <w:b/>
                <w:color w:val="000000" w:themeColor="text1"/>
                <w:kern w:val="0"/>
                <w:sz w:val="21"/>
                <w:szCs w:val="21"/>
                <w14:textFill>
                  <w14:solidFill>
                    <w14:schemeClr w14:val="tx1"/>
                  </w14:solidFill>
                </w14:textFill>
              </w:rPr>
              <w:t>项目</w:t>
            </w:r>
          </w:p>
        </w:tc>
        <w:tc>
          <w:tcPr>
            <w:tcW w:w="1308" w:type="pct"/>
            <w:shd w:val="clear" w:color="auto" w:fill="auto"/>
            <w:vAlign w:val="center"/>
          </w:tcPr>
          <w:p>
            <w:pPr>
              <w:autoSpaceDE w:val="0"/>
              <w:autoSpaceDN w:val="0"/>
              <w:adjustRightInd w:val="0"/>
              <w:jc w:val="center"/>
              <w:textAlignment w:val="center"/>
              <w:rPr>
                <w:rFonts w:hint="default" w:ascii="Times New Roman" w:hAnsi="Times New Roman" w:cs="Times New Roman"/>
                <w:b/>
                <w:sz w:val="21"/>
                <w:szCs w:val="21"/>
              </w:rPr>
            </w:pPr>
            <w:r>
              <w:rPr>
                <w:rFonts w:hint="default" w:ascii="Times New Roman" w:hAnsi="Times New Roman" w:cs="Times New Roman"/>
                <w:b/>
                <w:color w:val="000000" w:themeColor="text1"/>
                <w:kern w:val="0"/>
                <w:sz w:val="21"/>
                <w:szCs w:val="21"/>
                <w14:textFill>
                  <w14:solidFill>
                    <w14:schemeClr w14:val="tx1"/>
                  </w14:solidFill>
                </w14:textFill>
              </w:rPr>
              <w:t>2020年</w:t>
            </w:r>
          </w:p>
        </w:tc>
        <w:tc>
          <w:tcPr>
            <w:tcW w:w="1308" w:type="pct"/>
            <w:vAlign w:val="center"/>
          </w:tcPr>
          <w:p>
            <w:pPr>
              <w:autoSpaceDE w:val="0"/>
              <w:autoSpaceDN w:val="0"/>
              <w:adjustRightInd w:val="0"/>
              <w:jc w:val="center"/>
              <w:textAlignment w:val="center"/>
              <w:rPr>
                <w:rFonts w:hint="default" w:ascii="Times New Roman" w:hAnsi="Times New Roman" w:cs="Times New Roman"/>
                <w:b/>
                <w:color w:val="000000" w:themeColor="text1"/>
                <w:kern w:val="0"/>
                <w:sz w:val="21"/>
                <w:szCs w:val="21"/>
                <w14:textFill>
                  <w14:solidFill>
                    <w14:schemeClr w14:val="tx1"/>
                  </w14:solidFill>
                </w14:textFill>
              </w:rPr>
            </w:pPr>
            <w:r>
              <w:rPr>
                <w:rFonts w:hint="default" w:ascii="Times New Roman" w:hAnsi="Times New Roman" w:cs="Times New Roman"/>
                <w:b/>
                <w:color w:val="000000" w:themeColor="text1"/>
                <w:kern w:val="0"/>
                <w:sz w:val="21"/>
                <w:szCs w:val="21"/>
                <w14:textFill>
                  <w14:solidFill>
                    <w14:schemeClr w14:val="tx1"/>
                  </w14:solidFill>
                </w14:textFill>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restart"/>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领益智造（002600）</w:t>
            </w:r>
          </w:p>
        </w:tc>
        <w:tc>
          <w:tcPr>
            <w:tcW w:w="1387" w:type="pct"/>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themeColor="text1"/>
                <w:kern w:val="0"/>
                <w:sz w:val="21"/>
                <w:szCs w:val="21"/>
                <w14:textFill>
                  <w14:solidFill>
                    <w14:schemeClr w14:val="tx1"/>
                  </w14:solidFill>
                </w14:textFill>
              </w:rPr>
              <w:t>充电器产品营业收入</w:t>
            </w:r>
          </w:p>
        </w:tc>
        <w:tc>
          <w:tcPr>
            <w:tcW w:w="1308"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389,678.52</w:t>
            </w:r>
          </w:p>
        </w:tc>
        <w:tc>
          <w:tcPr>
            <w:tcW w:w="1308" w:type="pc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560,528.74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continue"/>
            <w:vAlign w:val="center"/>
          </w:tcPr>
          <w:p>
            <w:pPr>
              <w:jc w:val="center"/>
              <w:rPr>
                <w:rFonts w:hint="default" w:ascii="Times New Roman" w:hAnsi="Times New Roman" w:cs="Times New Roman"/>
                <w:sz w:val="21"/>
                <w:szCs w:val="21"/>
              </w:rPr>
            </w:pPr>
          </w:p>
        </w:tc>
        <w:tc>
          <w:tcPr>
            <w:tcW w:w="1387" w:type="pct"/>
            <w:vAlign w:val="center"/>
          </w:tcPr>
          <w:p>
            <w:pPr>
              <w:jc w:val="center"/>
              <w:rPr>
                <w:rFonts w:hint="default" w:ascii="Times New Roman" w:hAnsi="Times New Roman" w:cs="Times New Roman"/>
                <w:sz w:val="21"/>
                <w:szCs w:val="20"/>
              </w:rPr>
            </w:pPr>
            <w:r>
              <w:rPr>
                <w:rFonts w:hint="default" w:ascii="Times New Roman" w:hAnsi="Times New Roman" w:cs="Times New Roman"/>
                <w:color w:val="000000" w:themeColor="text1"/>
                <w:kern w:val="0"/>
                <w:sz w:val="21"/>
                <w:szCs w:val="21"/>
                <w14:textFill>
                  <w14:solidFill>
                    <w14:schemeClr w14:val="tx1"/>
                  </w14:solidFill>
                </w14:textFill>
              </w:rPr>
              <w:t>增长率</w:t>
            </w:r>
          </w:p>
        </w:tc>
        <w:tc>
          <w:tcPr>
            <w:tcW w:w="1308"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150.28%</w:t>
            </w:r>
          </w:p>
        </w:tc>
        <w:tc>
          <w:tcPr>
            <w:tcW w:w="1308" w:type="pc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43.84%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restart"/>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奥海科技（002993）</w:t>
            </w:r>
          </w:p>
        </w:tc>
        <w:tc>
          <w:tcPr>
            <w:tcW w:w="1387" w:type="pct"/>
            <w:vAlign w:val="center"/>
          </w:tcPr>
          <w:p>
            <w:pPr>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充电器产品营业收入</w:t>
            </w:r>
          </w:p>
        </w:tc>
        <w:tc>
          <w:tcPr>
            <w:tcW w:w="1308"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278,578.25</w:t>
            </w:r>
          </w:p>
        </w:tc>
        <w:tc>
          <w:tcPr>
            <w:tcW w:w="1308" w:type="pc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391,266.43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continue"/>
            <w:vAlign w:val="center"/>
          </w:tcPr>
          <w:p>
            <w:pPr>
              <w:jc w:val="center"/>
              <w:rPr>
                <w:rFonts w:hint="default" w:ascii="Times New Roman" w:hAnsi="Times New Roman" w:cs="Times New Roman"/>
                <w:sz w:val="21"/>
                <w:szCs w:val="21"/>
              </w:rPr>
            </w:pPr>
          </w:p>
        </w:tc>
        <w:tc>
          <w:tcPr>
            <w:tcW w:w="1387" w:type="pct"/>
            <w:vAlign w:val="center"/>
          </w:tcPr>
          <w:p>
            <w:pPr>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增长率</w:t>
            </w:r>
          </w:p>
        </w:tc>
        <w:tc>
          <w:tcPr>
            <w:tcW w:w="1308"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32.88%</w:t>
            </w:r>
          </w:p>
        </w:tc>
        <w:tc>
          <w:tcPr>
            <w:tcW w:w="1308" w:type="pc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40.45%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restar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禾迈股份（688032）</w:t>
            </w:r>
          </w:p>
        </w:tc>
        <w:tc>
          <w:tcPr>
            <w:tcW w:w="1387" w:type="pct"/>
            <w:vAlign w:val="center"/>
          </w:tcPr>
          <w:p>
            <w:pPr>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逆变器类产品营业收入</w:t>
            </w:r>
          </w:p>
        </w:tc>
        <w:tc>
          <w:tcPr>
            <w:tcW w:w="1308"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19,578.46</w:t>
            </w:r>
          </w:p>
        </w:tc>
        <w:tc>
          <w:tcPr>
            <w:tcW w:w="1308" w:type="pc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45,167.61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continue"/>
            <w:vAlign w:val="center"/>
          </w:tcPr>
          <w:p>
            <w:pPr>
              <w:jc w:val="center"/>
              <w:rPr>
                <w:rFonts w:hint="default" w:ascii="Times New Roman" w:hAnsi="Times New Roman" w:cs="Times New Roman"/>
                <w:sz w:val="21"/>
                <w:szCs w:val="20"/>
              </w:rPr>
            </w:pPr>
          </w:p>
        </w:tc>
        <w:tc>
          <w:tcPr>
            <w:tcW w:w="1387" w:type="pct"/>
            <w:vAlign w:val="center"/>
          </w:tcPr>
          <w:p>
            <w:pPr>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增长率</w:t>
            </w:r>
          </w:p>
        </w:tc>
        <w:tc>
          <w:tcPr>
            <w:tcW w:w="1308" w:type="pct"/>
            <w:shd w:val="clear" w:color="auto" w:fill="auto"/>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64.96%</w:t>
            </w:r>
          </w:p>
        </w:tc>
        <w:tc>
          <w:tcPr>
            <w:tcW w:w="1308" w:type="pc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130.70%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restart"/>
            <w:vAlign w:val="center"/>
          </w:tcPr>
          <w:p>
            <w:pPr>
              <w:jc w:val="center"/>
              <w:rPr>
                <w:rFonts w:hint="default" w:ascii="Times New Roman" w:hAnsi="Times New Roman" w:cs="Times New Roman"/>
                <w:sz w:val="21"/>
                <w:szCs w:val="20"/>
              </w:rPr>
            </w:pPr>
            <w:r>
              <w:rPr>
                <w:rFonts w:hint="default" w:ascii="Times New Roman" w:hAnsi="Times New Roman" w:cs="Times New Roman"/>
                <w:sz w:val="21"/>
                <w:szCs w:val="20"/>
              </w:rPr>
              <w:t>阳光电源（300274）</w:t>
            </w:r>
          </w:p>
        </w:tc>
        <w:tc>
          <w:tcPr>
            <w:tcW w:w="1387" w:type="pct"/>
            <w:vAlign w:val="center"/>
          </w:tcPr>
          <w:p>
            <w:pPr>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逆变器类产品营业收入</w:t>
            </w:r>
          </w:p>
        </w:tc>
        <w:tc>
          <w:tcPr>
            <w:tcW w:w="1308" w:type="pct"/>
            <w:shd w:val="clear" w:color="auto" w:fill="auto"/>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751,480.37</w:t>
            </w:r>
          </w:p>
        </w:tc>
        <w:tc>
          <w:tcPr>
            <w:tcW w:w="1308" w:type="pct"/>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905,077.36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7" w:type="pct"/>
            <w:vMerge w:val="continue"/>
            <w:vAlign w:val="center"/>
          </w:tcPr>
          <w:p>
            <w:pPr>
              <w:jc w:val="center"/>
              <w:rPr>
                <w:rFonts w:hint="default" w:ascii="Times New Roman" w:hAnsi="Times New Roman" w:cs="Times New Roman"/>
                <w:sz w:val="21"/>
                <w:szCs w:val="20"/>
              </w:rPr>
            </w:pPr>
          </w:p>
        </w:tc>
        <w:tc>
          <w:tcPr>
            <w:tcW w:w="1387" w:type="pct"/>
            <w:vAlign w:val="center"/>
          </w:tcPr>
          <w:p>
            <w:pPr>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增长率</w:t>
            </w:r>
          </w:p>
        </w:tc>
        <w:tc>
          <w:tcPr>
            <w:tcW w:w="1308" w:type="pct"/>
            <w:shd w:val="clear" w:color="auto" w:fill="auto"/>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90.64%</w:t>
            </w:r>
          </w:p>
        </w:tc>
        <w:tc>
          <w:tcPr>
            <w:tcW w:w="1308" w:type="pct"/>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20.44%</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cs="Times New Roman"/>
          <w:sz w:val="21"/>
          <w:szCs w:val="20"/>
        </w:rPr>
      </w:pPr>
      <w:r>
        <w:rPr>
          <w:rFonts w:cs="Times New Roman"/>
          <w:sz w:val="21"/>
          <w:szCs w:val="20"/>
        </w:rPr>
        <w:t>注：因上市公司季报未披露按照细分产品的收入情况，此处比较年度数据；此表列示上市公司与公司业务相关的最小细分产品，即消费电子领域的充电器类产品及新能源领域的逆变器类产品。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在消费电子领域，根据中国信通院数据，2020年国内手机市场总体出货量累计3.08亿部，智能手机出货量2.96亿部；2021年国内市场手机总体出货量累计3.51亿部，同比增长13.9%，智能手机出货量3.43亿部，同比增长15.9%，随着近两年手机更新迭代速度加快，手机快充迭代速度提升，在快充成为智能手机标配的同时，不断升级的充电器价格也快速攀升，华为官方商城25W超级快充充电器价格为99元，40W型号为149元，66W型号为199元，65W GaN氮化镓双口充电器为249元。由于行业产品迭代价格攀升以及下游需求增加，充电器生产企业业绩也显著提升，领益智造在2020年完成对知名充电器代工企业赛尔康的收购后，充电器产品收入增长150.28%，2021年领益智造与奥海科技充电器产品收入增长率均在40%以上。公司近几年陆续进入OPPO、小米、华为、荣耀的供应链资源池，正处于快速发展阶段，市场份额不断扩大，</w:t>
      </w:r>
      <w:r>
        <w:rPr>
          <w:rFonts w:hint="eastAsia" w:ascii="Times New Roman" w:hAnsi="Times New Roman" w:eastAsia="仿宋_GB2312" w:cs="Times New Roman"/>
          <w:color w:val="auto"/>
          <w:sz w:val="30"/>
          <w:lang w:eastAsia="zh-CN"/>
        </w:rPr>
        <w:t>尤其是主要产品变压器类产品的收入大幅增加，虽然公司在2</w:t>
      </w:r>
      <w:r>
        <w:rPr>
          <w:rFonts w:hint="default" w:ascii="Times New Roman" w:hAnsi="Times New Roman" w:eastAsia="仿宋_GB2312" w:cs="Times New Roman"/>
          <w:color w:val="auto"/>
          <w:sz w:val="30"/>
          <w:lang w:eastAsia="zh-CN"/>
        </w:rPr>
        <w:t>021</w:t>
      </w:r>
      <w:r>
        <w:rPr>
          <w:rFonts w:hint="eastAsia" w:ascii="Times New Roman" w:hAnsi="Times New Roman" w:eastAsia="仿宋_GB2312" w:cs="Times New Roman"/>
          <w:color w:val="auto"/>
          <w:sz w:val="30"/>
          <w:lang w:eastAsia="zh-CN"/>
        </w:rPr>
        <w:t>年度放弃部分低端电感器产品导致电感类收入下降，但</w:t>
      </w:r>
      <w:r>
        <w:rPr>
          <w:rFonts w:hint="default" w:ascii="Times New Roman" w:hAnsi="Times New Roman" w:eastAsia="仿宋_GB2312" w:cs="Times New Roman"/>
          <w:color w:val="auto"/>
          <w:sz w:val="30"/>
          <w:lang w:eastAsia="zh-CN"/>
        </w:rPr>
        <w:t>2020年、2021年</w:t>
      </w:r>
      <w:r>
        <w:rPr>
          <w:rFonts w:hint="eastAsia" w:ascii="Times New Roman" w:hAnsi="Times New Roman" w:eastAsia="仿宋_GB2312" w:cs="Times New Roman"/>
          <w:color w:val="auto"/>
          <w:sz w:val="30"/>
          <w:lang w:eastAsia="zh-CN"/>
        </w:rPr>
        <w:t>整体</w:t>
      </w:r>
      <w:r>
        <w:rPr>
          <w:rFonts w:hint="default" w:ascii="Times New Roman" w:hAnsi="Times New Roman" w:eastAsia="仿宋_GB2312" w:cs="Times New Roman"/>
          <w:color w:val="auto"/>
          <w:sz w:val="30"/>
          <w:lang w:eastAsia="zh-CN"/>
        </w:rPr>
        <w:t>业绩</w:t>
      </w:r>
      <w:r>
        <w:rPr>
          <w:rFonts w:hint="eastAsia" w:ascii="Times New Roman" w:hAnsi="Times New Roman" w:eastAsia="仿宋_GB2312" w:cs="Times New Roman"/>
          <w:color w:val="auto"/>
          <w:sz w:val="30"/>
          <w:lang w:eastAsia="zh-CN"/>
        </w:rPr>
        <w:t>还是实现</w:t>
      </w:r>
      <w:r>
        <w:rPr>
          <w:rFonts w:hint="default" w:ascii="Times New Roman" w:hAnsi="Times New Roman" w:eastAsia="仿宋_GB2312" w:cs="Times New Roman"/>
          <w:color w:val="auto"/>
          <w:sz w:val="30"/>
          <w:lang w:eastAsia="zh-CN"/>
        </w:rPr>
        <w:t>大幅增加，公司在消费电子领域收入增长变动趋势与下游行业发展状况相近，并且符合公司成长期快速发展的情况，业绩变动合理。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在新能源领域，根据国家能源局数据，2020年我国光伏新增装机48.20GW，2021年我国光伏新增装机54.88GW，同比增长13.9%。根据中国光伏行业协会数据，2021年我国光伏制造端规模仍保持迅速扩大态势，多晶硅产量达50.5万吨，同比增长27.5%，硅片产量约为227GW，同比增长40.6%，电池片产量为198GW，同比增长46.9%，组件产量为182GW，同比增长46.1%。近几年，光伏下游行业需求持续增加，光伏产业链业绩不断攀升，光伏逆变器作为将电池组件产生的直流电转化为交流电、并入电网或供负载使用的核心，其生产企业业绩也大幅增加，根据2021年年报，阳光电源光伏逆变器出货量全球市占率30%以上，随其产品新增装机持续增长，其全球市场地位进一步提升，收入大幅增加，禾迈股份在微型逆变器细分领域具有优势，2021年度收入增幅较大。公司新能源领域的业务在2021年下半年进行扩展，相关收入增长较快，但是总体规模较小，客户较少。</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2" w:firstLineChars="200"/>
        <w:jc w:val="both"/>
        <w:textAlignment w:val="auto"/>
        <w:outlineLvl w:val="9"/>
        <w:rPr>
          <w:rFonts w:hint="default" w:ascii="Times New Roman" w:hAnsi="Times New Roman" w:eastAsia="仿宋_GB2312" w:cs="Times New Roman"/>
          <w:b/>
          <w:bCs/>
          <w:color w:val="auto"/>
          <w:sz w:val="30"/>
          <w:lang w:eastAsia="zh-CN"/>
        </w:rPr>
      </w:pPr>
      <w:r>
        <w:rPr>
          <w:rFonts w:hint="default" w:ascii="Times New Roman" w:hAnsi="Times New Roman" w:eastAsia="仿宋_GB2312" w:cs="Times New Roman"/>
          <w:b/>
          <w:bCs/>
          <w:color w:val="auto"/>
          <w:sz w:val="30"/>
          <w:lang w:eastAsia="zh-CN"/>
        </w:rPr>
        <w:t>3.说明公司收入增长变动情况与可比公司是否一致，以及存在差异的原因及合理性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2020年度、2021年度可比公司收入情况如下：</w:t>
      </w:r>
    </w:p>
    <w:p>
      <w:pPr>
        <w:spacing w:before="156" w:beforeLines="50"/>
        <w:ind w:firstLine="420" w:firstLineChars="200"/>
        <w:jc w:val="right"/>
        <w:rPr>
          <w:rFonts w:cs="Times New Roman"/>
          <w:sz w:val="21"/>
          <w:szCs w:val="20"/>
        </w:rPr>
      </w:pPr>
      <w:r>
        <w:rPr>
          <w:rFonts w:cs="Times New Roman"/>
          <w:sz w:val="21"/>
          <w:szCs w:val="20"/>
        </w:rPr>
        <w:t>单位：万元</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2264"/>
        <w:gridCol w:w="1337"/>
        <w:gridCol w:w="1337"/>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shd w:val="clear" w:color="auto" w:fill="auto"/>
            <w:vAlign w:val="center"/>
          </w:tcPr>
          <w:p>
            <w:pPr>
              <w:jc w:val="center"/>
              <w:rPr>
                <w:rFonts w:ascii="Times New Roman" w:hAnsi="Times New Roman" w:eastAsia="宋体" w:cs="Times New Roman"/>
                <w:b/>
                <w:bCs/>
                <w:sz w:val="21"/>
              </w:rPr>
            </w:pPr>
            <w:bookmarkStart w:id="1" w:name="_Hlk107791021"/>
            <w:r>
              <w:rPr>
                <w:rFonts w:ascii="Times New Roman" w:hAnsi="Times New Roman" w:eastAsia="宋体" w:cs="Times New Roman"/>
                <w:b/>
                <w:bCs/>
                <w:sz w:val="21"/>
              </w:rPr>
              <w:t>公司</w:t>
            </w:r>
          </w:p>
        </w:tc>
        <w:tc>
          <w:tcPr>
            <w:tcW w:w="1328" w:type="pct"/>
            <w:shd w:val="clear" w:color="auto" w:fill="auto"/>
            <w:vAlign w:val="center"/>
          </w:tcPr>
          <w:p>
            <w:pPr>
              <w:jc w:val="center"/>
              <w:rPr>
                <w:rFonts w:ascii="Times New Roman" w:hAnsi="Times New Roman" w:eastAsia="宋体" w:cs="Times New Roman"/>
                <w:b/>
                <w:bCs/>
                <w:sz w:val="21"/>
              </w:rPr>
            </w:pPr>
            <w:r>
              <w:rPr>
                <w:rFonts w:ascii="Times New Roman" w:hAnsi="Times New Roman" w:eastAsia="宋体" w:cs="Times New Roman"/>
                <w:b/>
                <w:bCs/>
                <w:sz w:val="21"/>
              </w:rPr>
              <w:t>项目</w:t>
            </w:r>
          </w:p>
        </w:tc>
        <w:tc>
          <w:tcPr>
            <w:tcW w:w="784" w:type="pct"/>
            <w:shd w:val="clear" w:color="auto" w:fill="auto"/>
            <w:vAlign w:val="center"/>
          </w:tcPr>
          <w:p>
            <w:pPr>
              <w:jc w:val="center"/>
              <w:rPr>
                <w:rFonts w:ascii="Times New Roman" w:hAnsi="Times New Roman" w:eastAsia="宋体" w:cs="Times New Roman"/>
                <w:b/>
                <w:bCs/>
                <w:sz w:val="21"/>
              </w:rPr>
            </w:pPr>
            <w:r>
              <w:rPr>
                <w:rFonts w:ascii="Times New Roman" w:hAnsi="Times New Roman" w:eastAsia="宋体" w:cs="Times New Roman"/>
                <w:b/>
                <w:bCs/>
                <w:sz w:val="21"/>
              </w:rPr>
              <w:t>2020年</w:t>
            </w:r>
          </w:p>
        </w:tc>
        <w:tc>
          <w:tcPr>
            <w:tcW w:w="784" w:type="pct"/>
            <w:vAlign w:val="center"/>
          </w:tcPr>
          <w:p>
            <w:pPr>
              <w:jc w:val="center"/>
              <w:rPr>
                <w:rFonts w:ascii="Times New Roman" w:hAnsi="Times New Roman" w:cs="Times New Roman" w:eastAsiaTheme="minorEastAsia"/>
                <w:b/>
                <w:bCs/>
                <w:sz w:val="21"/>
              </w:rPr>
            </w:pPr>
            <w:r>
              <w:rPr>
                <w:rFonts w:ascii="Times New Roman" w:hAnsi="Times New Roman" w:eastAsia="宋体" w:cs="Times New Roman"/>
                <w:b/>
                <w:bCs/>
                <w:sz w:val="21"/>
              </w:rPr>
              <w:t>2021年</w:t>
            </w:r>
          </w:p>
        </w:tc>
        <w:tc>
          <w:tcPr>
            <w:tcW w:w="678" w:type="pct"/>
            <w:vAlign w:val="center"/>
          </w:tcPr>
          <w:p>
            <w:pPr>
              <w:jc w:val="center"/>
              <w:rPr>
                <w:rFonts w:ascii="Times New Roman" w:hAnsi="Times New Roman" w:eastAsia="宋体" w:cs="Times New Roman"/>
                <w:b/>
                <w:bCs/>
                <w:sz w:val="21"/>
              </w:rPr>
            </w:pPr>
            <w:r>
              <w:rPr>
                <w:rFonts w:ascii="Times New Roman" w:hAnsi="Times New Roman" w:eastAsia="宋体" w:cs="Times New Roman"/>
                <w:b/>
                <w:bCs/>
                <w:sz w:val="21"/>
              </w:rPr>
              <w:t>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restar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宝晖科技（873037）</w:t>
            </w:r>
          </w:p>
        </w:tc>
        <w:tc>
          <w:tcPr>
            <w:tcW w:w="1328" w:type="pct"/>
            <w:shd w:val="clear" w:color="auto" w:fill="auto"/>
            <w:vAlign w:val="center"/>
          </w:tcPr>
          <w:p>
            <w:pPr>
              <w:jc w:val="left"/>
              <w:rPr>
                <w:rFonts w:ascii="Times New Roman" w:hAnsi="Times New Roman" w:eastAsia="宋体" w:cs="Times New Roman"/>
                <w:sz w:val="21"/>
              </w:rPr>
            </w:pPr>
            <w:r>
              <w:rPr>
                <w:rFonts w:ascii="Times New Roman" w:hAnsi="Times New Roman" w:eastAsia="宋体" w:cs="Times New Roman"/>
                <w:sz w:val="21"/>
              </w:rPr>
              <w:t>营业收入</w:t>
            </w:r>
          </w:p>
        </w:tc>
        <w:tc>
          <w:tcPr>
            <w:tcW w:w="784"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4,664.80</w:t>
            </w:r>
          </w:p>
        </w:tc>
        <w:tc>
          <w:tcPr>
            <w:tcW w:w="784" w:type="pct"/>
            <w:vAlign w:val="center"/>
          </w:tcPr>
          <w:p>
            <w:pPr>
              <w:jc w:val="center"/>
              <w:rPr>
                <w:rFonts w:ascii="Times New Roman" w:hAnsi="Times New Roman" w:cs="Times New Roman" w:eastAsiaTheme="minorEastAsia"/>
                <w:sz w:val="21"/>
              </w:rPr>
            </w:pPr>
            <w:r>
              <w:rPr>
                <w:rFonts w:ascii="Times New Roman" w:hAnsi="Times New Roman" w:eastAsia="宋体" w:cs="Times New Roman"/>
                <w:sz w:val="21"/>
              </w:rPr>
              <w:t>5,176.21</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10.96%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分产品-变压器</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4,275.78</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4,374.72</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分产品-电感</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376.96</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733.78</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94.66%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分产品-其他</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6.52</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67.71</w:t>
            </w:r>
          </w:p>
        </w:tc>
        <w:tc>
          <w:tcPr>
            <w:tcW w:w="678" w:type="pct"/>
            <w:vAlign w:val="center"/>
          </w:tcPr>
          <w:p>
            <w:pPr>
              <w:jc w:val="center"/>
              <w:rPr>
                <w:rFonts w:ascii="Times New Roman" w:hAnsi="Times New Roman" w:cs="Times New Roman" w:eastAsiaTheme="minorEastAsia"/>
                <w:color w:val="000000"/>
                <w:sz w:val="22"/>
              </w:rPr>
            </w:pPr>
            <w:r>
              <w:rPr>
                <w:rFonts w:ascii="Times New Roman" w:hAnsi="Times New Roman" w:cs="Times New Roman" w:eastAsiaTheme="minorEastAsia"/>
                <w:color w:val="000000"/>
                <w:sz w:val="22"/>
              </w:rPr>
              <w:t>938.50%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restar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可立克（002782）</w:t>
            </w:r>
          </w:p>
        </w:tc>
        <w:tc>
          <w:tcPr>
            <w:tcW w:w="1328" w:type="pct"/>
            <w:shd w:val="clear" w:color="auto" w:fill="auto"/>
            <w:vAlign w:val="center"/>
          </w:tcPr>
          <w:p>
            <w:pPr>
              <w:jc w:val="left"/>
              <w:rPr>
                <w:rFonts w:ascii="Times New Roman" w:hAnsi="Times New Roman" w:eastAsia="宋体" w:cs="Times New Roman"/>
                <w:sz w:val="21"/>
              </w:rPr>
            </w:pPr>
            <w:r>
              <w:rPr>
                <w:rFonts w:ascii="Times New Roman" w:hAnsi="Times New Roman" w:eastAsia="宋体" w:cs="Times New Roman"/>
                <w:sz w:val="21"/>
              </w:rPr>
              <w:t>营业收入</w:t>
            </w:r>
          </w:p>
        </w:tc>
        <w:tc>
          <w:tcPr>
            <w:tcW w:w="784"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127,989.07</w:t>
            </w:r>
          </w:p>
        </w:tc>
        <w:tc>
          <w:tcPr>
            <w:tcW w:w="784" w:type="pct"/>
            <w:vAlign w:val="center"/>
          </w:tcPr>
          <w:p>
            <w:pPr>
              <w:jc w:val="center"/>
              <w:rPr>
                <w:rFonts w:ascii="Times New Roman" w:hAnsi="Times New Roman" w:cs="Times New Roman" w:eastAsiaTheme="minorEastAsia"/>
                <w:sz w:val="21"/>
              </w:rPr>
            </w:pPr>
            <w:r>
              <w:rPr>
                <w:rFonts w:ascii="Times New Roman" w:hAnsi="Times New Roman" w:eastAsia="宋体" w:cs="Times New Roman"/>
                <w:sz w:val="21"/>
              </w:rPr>
              <w:t>164,892.17</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28.83%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分产品-磁性元件</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70,302.04</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91,640.54</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30.35%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分产品-开关电源</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54,209.01</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64,399.13</w:t>
            </w:r>
          </w:p>
        </w:tc>
        <w:tc>
          <w:tcPr>
            <w:tcW w:w="678" w:type="pct"/>
            <w:vAlign w:val="center"/>
          </w:tcPr>
          <w:p>
            <w:pPr>
              <w:jc w:val="center"/>
              <w:rPr>
                <w:rFonts w:ascii="Times New Roman" w:hAnsi="Times New Roman" w:cs="Times New Roman" w:eastAsiaTheme="minorEastAsia"/>
                <w:color w:val="000000"/>
                <w:sz w:val="22"/>
              </w:rPr>
            </w:pPr>
            <w:r>
              <w:rPr>
                <w:rFonts w:ascii="Times New Roman" w:hAnsi="Times New Roman" w:cs="Times New Roman" w:eastAsiaTheme="minorEastAsia"/>
                <w:color w:val="000000"/>
                <w:sz w:val="22"/>
              </w:rPr>
              <w:t>18.80%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分产品-其他</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3,478.01</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8,852.50</w:t>
            </w:r>
          </w:p>
        </w:tc>
        <w:tc>
          <w:tcPr>
            <w:tcW w:w="678" w:type="pct"/>
            <w:vAlign w:val="center"/>
          </w:tcPr>
          <w:p>
            <w:pPr>
              <w:jc w:val="center"/>
              <w:rPr>
                <w:rFonts w:ascii="Times New Roman" w:hAnsi="Times New Roman" w:cs="Times New Roman" w:eastAsiaTheme="minorEastAsia"/>
                <w:color w:val="000000"/>
                <w:sz w:val="22"/>
              </w:rPr>
            </w:pPr>
            <w:r>
              <w:rPr>
                <w:rFonts w:ascii="Times New Roman" w:hAnsi="Times New Roman" w:cs="Times New Roman" w:eastAsiaTheme="minorEastAsia"/>
                <w:color w:val="000000"/>
                <w:sz w:val="22"/>
              </w:rPr>
              <w:t>154.53%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restar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京泉华（002885）</w:t>
            </w:r>
          </w:p>
        </w:tc>
        <w:tc>
          <w:tcPr>
            <w:tcW w:w="1328" w:type="pct"/>
            <w:shd w:val="clear" w:color="auto" w:fill="auto"/>
            <w:vAlign w:val="center"/>
          </w:tcPr>
          <w:p>
            <w:pPr>
              <w:jc w:val="left"/>
              <w:rPr>
                <w:rFonts w:ascii="Times New Roman" w:hAnsi="Times New Roman" w:eastAsia="宋体" w:cs="Times New Roman"/>
                <w:sz w:val="21"/>
              </w:rPr>
            </w:pPr>
            <w:r>
              <w:rPr>
                <w:rFonts w:ascii="Times New Roman" w:hAnsi="Times New Roman" w:eastAsia="宋体" w:cs="Times New Roman"/>
                <w:sz w:val="21"/>
              </w:rPr>
              <w:t>营业收入</w:t>
            </w:r>
          </w:p>
        </w:tc>
        <w:tc>
          <w:tcPr>
            <w:tcW w:w="784"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131,375.06</w:t>
            </w:r>
          </w:p>
        </w:tc>
        <w:tc>
          <w:tcPr>
            <w:tcW w:w="784" w:type="pct"/>
            <w:vAlign w:val="center"/>
          </w:tcPr>
          <w:p>
            <w:pPr>
              <w:jc w:val="center"/>
              <w:rPr>
                <w:rFonts w:ascii="Times New Roman" w:hAnsi="Times New Roman" w:cs="Times New Roman" w:eastAsiaTheme="minorEastAsia"/>
                <w:sz w:val="21"/>
              </w:rPr>
            </w:pPr>
            <w:r>
              <w:rPr>
                <w:rFonts w:ascii="Times New Roman" w:hAnsi="Times New Roman" w:eastAsia="宋体" w:cs="Times New Roman"/>
                <w:sz w:val="21"/>
              </w:rPr>
              <w:t>190,957.42</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45.35%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分产品-磁性元件</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55,699.14</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70,708.44</w:t>
            </w:r>
          </w:p>
        </w:tc>
        <w:tc>
          <w:tcPr>
            <w:tcW w:w="678" w:type="pct"/>
            <w:vAlign w:val="center"/>
          </w:tcPr>
          <w:p>
            <w:pPr>
              <w:jc w:val="center"/>
              <w:rPr>
                <w:rFonts w:ascii="Times New Roman" w:hAnsi="Times New Roman" w:eastAsia="宋体" w:cs="Times New Roman"/>
                <w:b/>
                <w:bCs/>
                <w:sz w:val="21"/>
              </w:rPr>
            </w:pPr>
            <w:r>
              <w:rPr>
                <w:rFonts w:ascii="Times New Roman" w:hAnsi="Times New Roman" w:cs="Times New Roman" w:eastAsiaTheme="minorEastAsia"/>
                <w:color w:val="000000"/>
                <w:sz w:val="22"/>
              </w:rPr>
              <w:t>26.95%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分产品-电源</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48,561.08</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54,264.52</w:t>
            </w:r>
          </w:p>
        </w:tc>
        <w:tc>
          <w:tcPr>
            <w:tcW w:w="678" w:type="pct"/>
            <w:vAlign w:val="center"/>
          </w:tcPr>
          <w:p>
            <w:pPr>
              <w:jc w:val="center"/>
              <w:rPr>
                <w:rFonts w:ascii="Times New Roman" w:hAnsi="Times New Roman" w:cs="Times New Roman" w:eastAsiaTheme="minorEastAsia"/>
                <w:color w:val="000000"/>
                <w:sz w:val="22"/>
              </w:rPr>
            </w:pPr>
            <w:r>
              <w:rPr>
                <w:rFonts w:ascii="Times New Roman" w:hAnsi="Times New Roman" w:cs="Times New Roman" w:eastAsiaTheme="minorEastAsia"/>
                <w:color w:val="000000"/>
                <w:sz w:val="22"/>
              </w:rPr>
              <w:t>11.74%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分产品-特种变压器</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23,369.93</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58,224.76</w:t>
            </w:r>
          </w:p>
        </w:tc>
        <w:tc>
          <w:tcPr>
            <w:tcW w:w="678" w:type="pct"/>
            <w:vAlign w:val="center"/>
          </w:tcPr>
          <w:p>
            <w:pPr>
              <w:jc w:val="center"/>
              <w:rPr>
                <w:rFonts w:ascii="Times New Roman" w:hAnsi="Times New Roman" w:cs="Times New Roman" w:eastAsiaTheme="minorEastAsia"/>
                <w:color w:val="000000"/>
                <w:sz w:val="22"/>
              </w:rPr>
            </w:pPr>
            <w:r>
              <w:rPr>
                <w:rFonts w:ascii="Times New Roman" w:hAnsi="Times New Roman" w:cs="Times New Roman" w:eastAsiaTheme="minorEastAsia"/>
                <w:color w:val="000000"/>
                <w:sz w:val="22"/>
              </w:rPr>
              <w:t>149.14%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3" w:type="pct"/>
            <w:vMerge w:val="continue"/>
            <w:shd w:val="clear" w:color="auto" w:fill="auto"/>
            <w:vAlign w:val="center"/>
          </w:tcPr>
          <w:p>
            <w:pPr>
              <w:jc w:val="center"/>
              <w:rPr>
                <w:rFonts w:ascii="Times New Roman" w:hAnsi="Times New Roman" w:cs="Times New Roman" w:eastAsiaTheme="minorEastAsia"/>
                <w:sz w:val="21"/>
              </w:rPr>
            </w:pPr>
          </w:p>
        </w:tc>
        <w:tc>
          <w:tcPr>
            <w:tcW w:w="1328" w:type="pct"/>
            <w:shd w:val="clear" w:color="auto" w:fill="auto"/>
            <w:vAlign w:val="center"/>
          </w:tcPr>
          <w:p>
            <w:pPr>
              <w:jc w:val="center"/>
              <w:rPr>
                <w:rFonts w:ascii="Times New Roman" w:hAnsi="Times New Roman" w:eastAsia="宋体" w:cs="Times New Roman"/>
                <w:sz w:val="21"/>
              </w:rPr>
            </w:pPr>
            <w:r>
              <w:rPr>
                <w:rFonts w:ascii="Times New Roman" w:hAnsi="Times New Roman" w:eastAsia="宋体" w:cs="Times New Roman"/>
                <w:sz w:val="21"/>
              </w:rPr>
              <w:t>分产品-其他</w:t>
            </w:r>
          </w:p>
        </w:tc>
        <w:tc>
          <w:tcPr>
            <w:tcW w:w="784" w:type="pct"/>
            <w:shd w:val="clear" w:color="auto" w:fill="auto"/>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3,744.92</w:t>
            </w:r>
          </w:p>
        </w:tc>
        <w:tc>
          <w:tcPr>
            <w:tcW w:w="784" w:type="pct"/>
            <w:vAlign w:val="center"/>
          </w:tcPr>
          <w:p>
            <w:pPr>
              <w:jc w:val="center"/>
              <w:rPr>
                <w:rFonts w:ascii="Times New Roman" w:hAnsi="Times New Roman" w:cs="Times New Roman" w:eastAsiaTheme="minorEastAsia"/>
                <w:sz w:val="21"/>
              </w:rPr>
            </w:pPr>
            <w:r>
              <w:rPr>
                <w:rFonts w:ascii="Times New Roman" w:hAnsi="Times New Roman" w:cs="Times New Roman" w:eastAsiaTheme="minorEastAsia"/>
                <w:sz w:val="21"/>
              </w:rPr>
              <w:t>7,759.70</w:t>
            </w:r>
          </w:p>
        </w:tc>
        <w:tc>
          <w:tcPr>
            <w:tcW w:w="678" w:type="pct"/>
            <w:vAlign w:val="center"/>
          </w:tcPr>
          <w:p>
            <w:pPr>
              <w:jc w:val="center"/>
              <w:rPr>
                <w:rFonts w:ascii="Times New Roman" w:hAnsi="Times New Roman" w:cs="Times New Roman" w:eastAsiaTheme="minorEastAsia"/>
                <w:color w:val="000000"/>
                <w:sz w:val="22"/>
              </w:rPr>
            </w:pPr>
            <w:r>
              <w:rPr>
                <w:rFonts w:ascii="Times New Roman" w:hAnsi="Times New Roman" w:cs="Times New Roman" w:eastAsiaTheme="minorEastAsia"/>
                <w:color w:val="000000"/>
                <w:sz w:val="22"/>
              </w:rPr>
              <w:t>107.21%</w:t>
            </w:r>
          </w:p>
        </w:tc>
      </w:tr>
      <w:bookmarkEnd w:id="1"/>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cs="Times New Roman"/>
          <w:sz w:val="21"/>
          <w:szCs w:val="20"/>
        </w:rPr>
      </w:pPr>
      <w:r>
        <w:rPr>
          <w:rFonts w:cs="Times New Roman"/>
          <w:sz w:val="21"/>
          <w:szCs w:val="20"/>
        </w:rPr>
        <w:t>注：可比上市公司分产品列示为定期报告披露的与力王高科相似的最细分产品，无细分领域相关分类列示。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力王高科2020年收入增长率52.97%，主要是在2020年新冠肺炎疫情影响下，公司能够尽快复工复产，尽全力调整产线，推出新品，保障交付需求，扩大了市场占有率；2021年度，可比公司业绩都有不同程度增长，公司收入增长率34.58%，与上市可比公司不存在较大差异，公司收入增长变动趋势与可比公司一致。</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从细分产品来看，可立克、京泉华2021年度磁性元件收入增长率分别为30.35%、26.95%，公司产品变压器与电感器均为磁性元件，收入增长率为38.61%。上市可比公司业务综合性较强，收入来源于多个细分市场，根据2021年年报，可立克磁性元件客户涉及资讯类电源、光伏储能、UPS电源、汽车电子、网络设备、军工医疗、轨道交通等，电源客户涉及电动工具、网络通讯、消费类电子等；京泉华产品主要应用领域为新能源汽车及充电桩、5G通信及应用、工业自动化、ICT/数据中心、光伏风力发电及储能、家用电器及消费电子；力王高科主要业务聚焦于手机等消费电子充电器领域，同时新进入大型终端客户供应链资源池，业绩增长较快。公司产品结构与可比公司宝晖科技相似，变压器产品在产品结构中占比较大，电感器产品收入规模小，公司</w:t>
      </w:r>
      <w:r>
        <w:rPr>
          <w:rFonts w:hint="eastAsia" w:ascii="Times New Roman" w:hAnsi="Times New Roman" w:eastAsia="仿宋_GB2312" w:cs="Times New Roman"/>
          <w:color w:val="auto"/>
          <w:sz w:val="30"/>
          <w:lang w:eastAsia="zh-CN"/>
        </w:rPr>
        <w:t>2021年度</w:t>
      </w:r>
      <w:r>
        <w:rPr>
          <w:rFonts w:hint="default" w:ascii="Times New Roman" w:hAnsi="Times New Roman" w:eastAsia="仿宋_GB2312" w:cs="Times New Roman"/>
          <w:color w:val="auto"/>
          <w:sz w:val="30"/>
          <w:lang w:eastAsia="zh-CN"/>
        </w:rPr>
        <w:t>电感器产品收入下降</w:t>
      </w:r>
      <w:r>
        <w:rPr>
          <w:rFonts w:hint="eastAsia" w:ascii="Times New Roman" w:hAnsi="Times New Roman" w:eastAsia="仿宋_GB2312" w:cs="Times New Roman"/>
          <w:color w:val="auto"/>
          <w:sz w:val="30"/>
          <w:lang w:eastAsia="zh-CN"/>
        </w:rPr>
        <w:t>，主要由于公司调整产品结构，放弃部分低端电感器产品，2021年度公司订单集中于价值较高的电感器产品及需求较大的变压器产品</w:t>
      </w:r>
      <w:r>
        <w:rPr>
          <w:rFonts w:hint="default" w:ascii="Times New Roman" w:hAnsi="Times New Roman" w:eastAsia="仿宋_GB2312" w:cs="Times New Roman"/>
          <w:color w:val="auto"/>
          <w:sz w:val="30"/>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2" w:firstLineChars="200"/>
        <w:jc w:val="both"/>
        <w:textAlignment w:val="auto"/>
        <w:outlineLvl w:val="9"/>
        <w:rPr>
          <w:rFonts w:hint="default" w:ascii="Times New Roman" w:hAnsi="Times New Roman" w:eastAsia="仿宋_GB2312" w:cs="Times New Roman"/>
          <w:b/>
          <w:bCs/>
          <w:color w:val="auto"/>
          <w:sz w:val="30"/>
          <w:lang w:eastAsia="zh-CN"/>
        </w:rPr>
      </w:pPr>
      <w:r>
        <w:rPr>
          <w:rFonts w:hint="default" w:ascii="Times New Roman" w:hAnsi="Times New Roman" w:eastAsia="仿宋_GB2312" w:cs="Times New Roman"/>
          <w:b/>
          <w:bCs/>
          <w:color w:val="auto"/>
          <w:sz w:val="30"/>
          <w:lang w:eastAsia="zh-CN"/>
        </w:rPr>
        <w:t>4.补充披露公司期后业绩、在手订单情况，并充分披露业绩变动相关风险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2022年上半年公司实现销售收入18,901.56万元，同比增长了6.92%；实现归属于挂牌公司股东的净利润946.31万元，同比下降了2.14%。公司在2022年上半年开拓新能源领域市场，使得相关收入大幅增加，营业收入总体实现小幅上涨，由于2022年上半年原材料价格同比上涨，公司营业成本增长幅度高于营业收入增长幅度，公司净利润出现小幅下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公司已与主要客户签订年度框架协议，将根据客户订单需求进行生产，截至2022年8月，公司在执行订单金额为10,842.96万元，其中，消费电子领域订单7,983.96万元，主要为变压器类产品，新能源领域订单2,859.00万元，主要为电感器类产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鉴于目前外部经济环境复杂严峻，公司主要产品为变压器类产品，主要应用领域为消费电子领域，如果下游手机客户需求未出现显著改善，公司存在消费电子类订单下滑的风险，公司业绩存在波动的风险。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主办券商</w:t>
      </w:r>
      <w:r>
        <w:rPr>
          <w:rFonts w:hint="default" w:ascii="Times New Roman" w:hAnsi="Times New Roman" w:eastAsia="仿宋_GB2312" w:cs="Times New Roman"/>
          <w:color w:val="auto"/>
          <w:sz w:val="30"/>
          <w:lang w:eastAsia="zh-CN"/>
        </w:rPr>
        <w:t>、会计师已针对上述事项进行核查并发表明确意见。</w:t>
      </w:r>
      <w:bookmarkStart w:id="2" w:name="_GoBack"/>
      <w:bookmarkEnd w:id="2"/>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Chars="0" w:firstLine="600" w:firstLineChars="200"/>
        <w:jc w:val="left"/>
        <w:textAlignment w:val="auto"/>
        <w:outlineLvl w:val="0"/>
        <w:rPr>
          <w:rFonts w:hint="eastAsia" w:ascii="黑体" w:hAnsi="黑体" w:eastAsia="黑体" w:cs="黑体"/>
          <w:b w:val="0"/>
          <w:bCs/>
          <w:color w:val="auto"/>
          <w:sz w:val="30"/>
          <w:szCs w:val="30"/>
          <w:highlight w:val="none"/>
          <w:lang w:val="en-US" w:eastAsia="zh-CN"/>
        </w:rPr>
      </w:pPr>
      <w:r>
        <w:rPr>
          <w:rFonts w:hint="default" w:ascii="黑体" w:hAnsi="黑体" w:eastAsia="黑体" w:cs="黑体"/>
          <w:b w:val="0"/>
          <w:bCs/>
          <w:color w:val="auto"/>
          <w:sz w:val="30"/>
          <w:szCs w:val="30"/>
          <w:highlight w:val="none"/>
          <w:lang w:eastAsia="zh-CN"/>
        </w:rPr>
        <w:t>三</w:t>
      </w:r>
      <w:r>
        <w:rPr>
          <w:rFonts w:hint="eastAsia" w:ascii="黑体" w:hAnsi="黑体" w:eastAsia="黑体" w:cs="黑体"/>
          <w:b w:val="0"/>
          <w:bCs/>
          <w:color w:val="auto"/>
          <w:sz w:val="30"/>
          <w:szCs w:val="30"/>
          <w:highlight w:val="none"/>
          <w:lang w:val="en-US" w:eastAsia="zh-CN"/>
        </w:rPr>
        <w:t>、合规性审核意见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napToGrid/>
          <w:color w:val="auto"/>
          <w:sz w:val="30"/>
          <w:lang w:eastAsia="zh-CN"/>
        </w:rPr>
        <w:t>根据申请人提交的申请文件，我会认为，申请人提交的申请材料齐备，全国股转公司审查内容和审查程序符合规定，信息披露内容基本符合《公司法》《证券法》《公众公司办法》</w:t>
      </w:r>
      <w:r>
        <w:rPr>
          <w:rFonts w:hint="default" w:ascii="Times New Roman" w:hAnsi="Times New Roman" w:eastAsia="仿宋_GB2312" w:cs="Times New Roman"/>
          <w:color w:val="auto"/>
          <w:sz w:val="30"/>
          <w:lang w:eastAsia="zh-CN"/>
        </w:rPr>
        <w:t>《非上市公众公司信息披露内容与格式准则第</w:t>
      </w:r>
      <w:r>
        <w:rPr>
          <w:rFonts w:hint="default" w:ascii="Times New Roman" w:hAnsi="Times New Roman" w:eastAsia="仿宋_GB2312" w:cs="Times New Roman"/>
          <w:color w:val="auto"/>
          <w:sz w:val="30"/>
          <w:lang w:val="en-US" w:eastAsia="zh-CN"/>
        </w:rPr>
        <w:t>3号——定向发行说明书和发行情况报告书</w:t>
      </w:r>
      <w:r>
        <w:rPr>
          <w:rFonts w:hint="default" w:ascii="Times New Roman" w:hAnsi="Times New Roman" w:eastAsia="仿宋_GB2312" w:cs="Times New Roman"/>
          <w:color w:val="auto"/>
          <w:sz w:val="30"/>
          <w:lang w:eastAsia="zh-CN"/>
        </w:rPr>
        <w:t>》《非上市公众公司信息披露内容与格式准则第</w:t>
      </w:r>
      <w:r>
        <w:rPr>
          <w:rFonts w:hint="default" w:ascii="Times New Roman" w:hAnsi="Times New Roman" w:eastAsia="仿宋_GB2312" w:cs="Times New Roman"/>
          <w:color w:val="auto"/>
          <w:sz w:val="30"/>
          <w:lang w:val="en-US" w:eastAsia="zh-CN"/>
        </w:rPr>
        <w:t>4号——定向发行申请文件</w:t>
      </w:r>
      <w:r>
        <w:rPr>
          <w:rFonts w:hint="default" w:ascii="Times New Roman" w:hAnsi="Times New Roman" w:eastAsia="仿宋_GB2312" w:cs="Times New Roman"/>
          <w:color w:val="auto"/>
          <w:sz w:val="30"/>
          <w:lang w:eastAsia="zh-CN"/>
        </w:rPr>
        <w:t>》</w:t>
      </w:r>
      <w:r>
        <w:rPr>
          <w:rFonts w:hint="default" w:ascii="Times New Roman" w:hAnsi="Times New Roman" w:eastAsia="仿宋_GB2312" w:cs="Times New Roman"/>
          <w:snapToGrid/>
          <w:color w:val="auto"/>
          <w:sz w:val="30"/>
          <w:lang w:eastAsia="zh-CN"/>
        </w:rPr>
        <w:t>等法律法规的规定，相关中介机构已就本次申请的</w:t>
      </w:r>
      <w:r>
        <w:rPr>
          <w:rFonts w:hint="default" w:ascii="Times New Roman" w:hAnsi="Times New Roman" w:eastAsia="仿宋_GB2312" w:cs="Times New Roman"/>
          <w:b w:val="0"/>
          <w:bCs w:val="0"/>
          <w:snapToGrid/>
          <w:color w:val="auto"/>
          <w:sz w:val="30"/>
          <w:lang w:eastAsia="zh-CN"/>
        </w:rPr>
        <w:t>相关问题依法发</w:t>
      </w:r>
      <w:r>
        <w:rPr>
          <w:rFonts w:hint="default" w:ascii="Times New Roman" w:hAnsi="Times New Roman" w:eastAsia="仿宋_GB2312" w:cs="Times New Roman"/>
          <w:snapToGrid/>
          <w:color w:val="auto"/>
          <w:sz w:val="30"/>
          <w:lang w:eastAsia="zh-CN"/>
        </w:rPr>
        <w:t>表了明确的意见。据此，我会同意</w:t>
      </w:r>
      <w:r>
        <w:rPr>
          <w:rFonts w:hint="default" w:ascii="Times New Roman" w:hAnsi="Times New Roman" w:eastAsia="仿宋_GB2312" w:cs="Times New Roman"/>
          <w:sz w:val="30"/>
          <w:szCs w:val="30"/>
          <w:lang w:eastAsia="zh-CN"/>
        </w:rPr>
        <w:t>广东力王高新科技股份有限公司</w:t>
      </w:r>
      <w:r>
        <w:rPr>
          <w:rFonts w:hint="default" w:ascii="Times New Roman" w:hAnsi="Times New Roman" w:eastAsia="仿宋_GB2312" w:cs="Times New Roman"/>
          <w:snapToGrid/>
          <w:color w:val="auto"/>
          <w:sz w:val="30"/>
          <w:lang w:val="en-US" w:eastAsia="zh-CN"/>
        </w:rPr>
        <w:t>向特定对象发行股票</w:t>
      </w:r>
      <w:r>
        <w:rPr>
          <w:rFonts w:hint="default" w:ascii="Times New Roman" w:hAnsi="Times New Roman" w:eastAsia="仿宋_GB2312" w:cs="Times New Roman"/>
          <w:snapToGrid/>
          <w:color w:val="auto"/>
          <w:sz w:val="30"/>
          <w:lang w:eastAsia="zh-CN"/>
        </w:rPr>
        <w:t>的申请。</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ource Han Sans CN">
    <w:panose1 w:val="020B0600000000000000"/>
    <w:charset w:val="86"/>
    <w:family w:val="auto"/>
    <w:pitch w:val="default"/>
    <w:sig w:usb0="20000003" w:usb1="2ADF3C10" w:usb2="00000016" w:usb3="00000000" w:csb0="60060107"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eastAsia="黑体"/>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wps:txbx>
                    <wps:bodyPr vert="horz" wrap="none" lIns="0" tIns="0" rIns="0" bIns="0" upright="false">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BF1no9vAEAAF0DAAAOAAAAAAAAAAEAIAAAADQBAABk&#10;cnMvZTJvRG9jLnhtbFBLBQYAAAAABgAGAFkBAABiBQAAAAA=&#10;">
              <v:fill on="f" focussize="0,0"/>
              <v:stroke on="f"/>
              <v:imagedata o:title=""/>
              <o:lock v:ext="edit" aspectratio="f"/>
              <v:textbox inset="0mm,0mm,0mm,0mm" style="mso-fit-shape-to-text:t;">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56104c1a4c004af0ae4f467df1a53d02&amp;fileDirId=defultDirectory"/>
  </w:docVars>
  <w:rsids>
    <w:rsidRoot w:val="00172A27"/>
    <w:rsid w:val="01B5535E"/>
    <w:rsid w:val="049D27BF"/>
    <w:rsid w:val="09554BCE"/>
    <w:rsid w:val="0B0D0DC9"/>
    <w:rsid w:val="0B88497C"/>
    <w:rsid w:val="0BE36264"/>
    <w:rsid w:val="0DDB64E1"/>
    <w:rsid w:val="12A607FC"/>
    <w:rsid w:val="146D6B27"/>
    <w:rsid w:val="15D3BED9"/>
    <w:rsid w:val="16E6385C"/>
    <w:rsid w:val="17FF626D"/>
    <w:rsid w:val="18746644"/>
    <w:rsid w:val="1C3B3AF3"/>
    <w:rsid w:val="1F170A15"/>
    <w:rsid w:val="1F312335"/>
    <w:rsid w:val="1F692855"/>
    <w:rsid w:val="25EE0BA3"/>
    <w:rsid w:val="2A1B0497"/>
    <w:rsid w:val="2DD455EB"/>
    <w:rsid w:val="2E910377"/>
    <w:rsid w:val="304779DE"/>
    <w:rsid w:val="32907B96"/>
    <w:rsid w:val="355565EC"/>
    <w:rsid w:val="36265E40"/>
    <w:rsid w:val="37B63EDD"/>
    <w:rsid w:val="397F469C"/>
    <w:rsid w:val="3B424198"/>
    <w:rsid w:val="3CAF78C7"/>
    <w:rsid w:val="43D35E90"/>
    <w:rsid w:val="47250657"/>
    <w:rsid w:val="49877221"/>
    <w:rsid w:val="49EC325B"/>
    <w:rsid w:val="4A7D5E20"/>
    <w:rsid w:val="4BF7D859"/>
    <w:rsid w:val="4C951C17"/>
    <w:rsid w:val="4F65713B"/>
    <w:rsid w:val="4F72738F"/>
    <w:rsid w:val="51F133DF"/>
    <w:rsid w:val="52DB3DB8"/>
    <w:rsid w:val="538E771D"/>
    <w:rsid w:val="54560421"/>
    <w:rsid w:val="57CF2456"/>
    <w:rsid w:val="587C37A2"/>
    <w:rsid w:val="5A220852"/>
    <w:rsid w:val="5CC54F5F"/>
    <w:rsid w:val="5CF520A8"/>
    <w:rsid w:val="5DFFFF2C"/>
    <w:rsid w:val="5E7449AE"/>
    <w:rsid w:val="600B773C"/>
    <w:rsid w:val="60971CF4"/>
    <w:rsid w:val="626B53E4"/>
    <w:rsid w:val="6577A319"/>
    <w:rsid w:val="65C21CA5"/>
    <w:rsid w:val="69195C40"/>
    <w:rsid w:val="6B097E2B"/>
    <w:rsid w:val="6B117367"/>
    <w:rsid w:val="6BFDC8B0"/>
    <w:rsid w:val="6C946CC4"/>
    <w:rsid w:val="6D0F4235"/>
    <w:rsid w:val="6FB449F8"/>
    <w:rsid w:val="72FEBAB1"/>
    <w:rsid w:val="744A5251"/>
    <w:rsid w:val="767C0EA5"/>
    <w:rsid w:val="768806F3"/>
    <w:rsid w:val="7BB67C51"/>
    <w:rsid w:val="7CFF2267"/>
    <w:rsid w:val="7E0D36B4"/>
    <w:rsid w:val="7F312D29"/>
    <w:rsid w:val="7F6F17A7"/>
    <w:rsid w:val="7F7FA3C0"/>
    <w:rsid w:val="7F8F2638"/>
    <w:rsid w:val="9677360E"/>
    <w:rsid w:val="BFFF774F"/>
    <w:rsid w:val="DE5EA34B"/>
    <w:rsid w:val="DFAB88D8"/>
    <w:rsid w:val="E6BD0F8A"/>
    <w:rsid w:val="EB7F0BA3"/>
    <w:rsid w:val="EDE870D8"/>
    <w:rsid w:val="EDFB807E"/>
    <w:rsid w:val="EEFB5907"/>
    <w:rsid w:val="EFBD7F99"/>
    <w:rsid w:val="EFF42849"/>
    <w:rsid w:val="F7961491"/>
    <w:rsid w:val="FB9C5D57"/>
    <w:rsid w:val="FF3F0BFA"/>
    <w:rsid w:val="FFBE72FB"/>
    <w:rsid w:val="FFFE7C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15"/>
    <w:qFormat/>
    <w:uiPriority w:val="9"/>
    <w:pPr>
      <w:keepNext/>
      <w:keepLines/>
      <w:spacing w:before="240" w:beforeLines="0" w:beforeAutospacing="0" w:after="240" w:afterLines="0" w:afterAutospacing="0" w:line="360" w:lineRule="auto"/>
      <w:ind w:firstLine="200" w:firstLineChars="200"/>
      <w:outlineLvl w:val="0"/>
    </w:pPr>
    <w:rPr>
      <w:rFonts w:ascii="Times New Roman" w:hAnsi="Times New Roman" w:eastAsia="黑体"/>
      <w:b/>
      <w:kern w:val="44"/>
      <w:sz w:val="24"/>
    </w:rPr>
  </w:style>
  <w:style w:type="paragraph" w:styleId="4">
    <w:name w:val="heading 2"/>
    <w:basedOn w:val="1"/>
    <w:next w:val="1"/>
    <w:unhideWhenUsed/>
    <w:qFormat/>
    <w:uiPriority w:val="9"/>
    <w:pPr>
      <w:spacing w:line="360" w:lineRule="auto"/>
      <w:jc w:val="left"/>
      <w:outlineLvl w:val="1"/>
    </w:pPr>
    <w:rPr>
      <w:rFonts w:ascii="宋体" w:hAnsi="宋体" w:eastAsia="宋体"/>
      <w:b/>
      <w:sz w:val="24"/>
      <w:szCs w:val="28"/>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unhideWhenUsed/>
    <w:qFormat/>
    <w:uiPriority w:val="99"/>
    <w:pPr>
      <w:widowControl/>
      <w:spacing w:after="120"/>
      <w:jc w:val="left"/>
    </w:pPr>
    <w:rPr>
      <w:rFonts w:ascii="宋体" w:hAnsi="宋体" w:eastAsia="宋体" w:cs="宋体"/>
      <w:kern w:val="0"/>
      <w:sz w:val="24"/>
      <w:szCs w:val="24"/>
    </w:rPr>
  </w:style>
  <w:style w:type="paragraph" w:styleId="7">
    <w:name w:val="Plain Text"/>
    <w:basedOn w:val="1"/>
    <w:unhideWhenUsed/>
    <w:qFormat/>
    <w:uiPriority w:val="99"/>
    <w:rPr>
      <w:rFonts w:ascii="宋体" w:hAnsi="Courier New"/>
      <w:kern w:val="0"/>
      <w:sz w:val="20"/>
      <w:szCs w:val="20"/>
    </w:rPr>
  </w:style>
  <w:style w:type="paragraph" w:styleId="8">
    <w:name w:val="footer"/>
    <w:basedOn w:val="1"/>
    <w:unhideWhenUsed/>
    <w:qFormat/>
    <w:uiPriority w:val="0"/>
    <w:pPr>
      <w:tabs>
        <w:tab w:val="center" w:pos="4153"/>
        <w:tab w:val="right" w:pos="8306"/>
      </w:tabs>
      <w:snapToGrid w:val="0"/>
      <w:jc w:val="left"/>
    </w:pPr>
    <w:rPr>
      <w:sz w:val="18"/>
    </w:rPr>
  </w:style>
  <w:style w:type="paragraph" w:styleId="9">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Normal (Web)"/>
    <w:basedOn w:val="1"/>
    <w:unhideWhenUsed/>
    <w:qFormat/>
    <w:uiPriority w:val="99"/>
    <w:pPr>
      <w:widowControl/>
      <w:spacing w:after="150" w:afterLines="0"/>
      <w:jc w:val="left"/>
    </w:pPr>
    <w:rPr>
      <w:rFonts w:ascii="宋体" w:hAnsi="宋体" w:cs="宋体"/>
      <w:kern w:val="0"/>
      <w:sz w:val="24"/>
      <w:szCs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unhideWhenUsed/>
    <w:qFormat/>
    <w:uiPriority w:val="99"/>
  </w:style>
  <w:style w:type="character" w:customStyle="1" w:styleId="15">
    <w:name w:val="标题 1 字符"/>
    <w:link w:val="3"/>
    <w:qFormat/>
    <w:uiPriority w:val="0"/>
    <w:rPr>
      <w:rFonts w:ascii="Times New Roman" w:hAnsi="Times New Roman" w:eastAsia="黑体"/>
      <w:b/>
      <w:kern w:val="44"/>
      <w:sz w:val="24"/>
    </w:rPr>
  </w:style>
  <w:style w:type="character" w:customStyle="1" w:styleId="16">
    <w:name w:val=" Char Char7"/>
    <w:qFormat/>
    <w:uiPriority w:val="0"/>
    <w:rPr>
      <w:sz w:val="24"/>
      <w:lang w:val="en-GB" w:eastAsia="en-US"/>
    </w:rPr>
  </w:style>
  <w:style w:type="character" w:customStyle="1" w:styleId="17">
    <w:name w:val="font31"/>
    <w:qFormat/>
    <w:uiPriority w:val="0"/>
    <w:rPr>
      <w:rFonts w:hint="eastAsia" w:ascii="黑体" w:hAnsi="宋体" w:eastAsia="黑体" w:cs="黑体"/>
      <w:b/>
      <w:color w:val="000000"/>
      <w:sz w:val="22"/>
      <w:szCs w:val="22"/>
      <w:u w:val="none"/>
    </w:rPr>
  </w:style>
  <w:style w:type="paragraph" w:customStyle="1" w:styleId="18">
    <w:name w:val="Normal_1"/>
    <w:qFormat/>
    <w:uiPriority w:val="0"/>
    <w:rPr>
      <w:rFonts w:ascii="Calibri" w:hAnsi="Calibri" w:eastAsia="宋体" w:cs="Times New Roman"/>
      <w:sz w:val="24"/>
      <w:szCs w:val="24"/>
      <w:lang w:val="en-US" w:eastAsia="zh-CN" w:bidi="ar-SA"/>
    </w:rPr>
  </w:style>
  <w:style w:type="paragraph" w:customStyle="1" w:styleId="19">
    <w:name w:val="Default"/>
    <w:qFormat/>
    <w:uiPriority w:val="0"/>
    <w:pPr>
      <w:widowControl w:val="0"/>
      <w:autoSpaceDE w:val="0"/>
      <w:autoSpaceDN w:val="0"/>
      <w:adjustRightInd w:val="0"/>
    </w:pPr>
    <w:rPr>
      <w:rFonts w:ascii="宋体" w:hAnsi="Calibri" w:eastAsia="宋体" w:cs="Times New Roman"/>
      <w:color w:val="000000"/>
      <w:sz w:val="24"/>
      <w:lang w:val="en-US" w:eastAsia="zh-CN"/>
    </w:rPr>
  </w:style>
  <w:style w:type="paragraph" w:styleId="20">
    <w:name w:val="No Spacing"/>
    <w:qFormat/>
    <w:uiPriority w:val="0"/>
    <w:pPr>
      <w:jc w:val="center"/>
    </w:pPr>
    <w:rPr>
      <w:rFonts w:ascii="Calibri" w:hAnsi="Calibri" w:eastAsia="宋体" w:cs="Times New Roman"/>
      <w:kern w:val="2"/>
      <w:sz w:val="21"/>
      <w:szCs w:val="22"/>
      <w:lang w:val="en-US" w:eastAsia="zh-CN" w:bidi="ar-SA"/>
    </w:rPr>
  </w:style>
  <w:style w:type="paragraph" w:styleId="21">
    <w:name w:val="List Paragraph"/>
    <w:basedOn w:val="1"/>
    <w:qFormat/>
    <w:uiPriority w:val="0"/>
    <w:pPr>
      <w:ind w:firstLine="420" w:firstLineChars="200"/>
    </w:pPr>
  </w:style>
  <w:style w:type="paragraph" w:customStyle="1" w:styleId="22">
    <w:name w:val="header"/>
    <w:basedOn w:val="1"/>
    <w:qFormat/>
    <w:uiPriority w:val="0"/>
    <w:pPr>
      <w:pBdr>
        <w:bottom w:val="single" w:color="auto" w:sz="6" w:space="1"/>
      </w:pBdr>
      <w:tabs>
        <w:tab w:val="center" w:pos="4153"/>
        <w:tab w:val="right" w:pos="8306"/>
      </w:tabs>
      <w:snapToGrid w:val="0"/>
      <w:jc w:val="center"/>
    </w:pPr>
    <w:rPr>
      <w:rFonts w:ascii="Calibri" w:hAnsi="Calibri" w:eastAsia="宋体"/>
      <w:kern w:val="2"/>
      <w:sz w:val="18"/>
    </w:rPr>
  </w:style>
  <w:style w:type="paragraph" w:customStyle="1" w:styleId="23">
    <w:name w:val="补充披露"/>
    <w:basedOn w:val="1"/>
    <w:qFormat/>
    <w:uiPriority w:val="0"/>
    <w:pPr>
      <w:widowControl w:val="0"/>
      <w:spacing w:before="50" w:beforeLines="0" w:after="50" w:afterLines="0" w:line="360" w:lineRule="auto"/>
      <w:ind w:firstLine="482" w:firstLineChars="200"/>
      <w:jc w:val="both"/>
    </w:pPr>
    <w:rPr>
      <w:rFonts w:ascii="楷体" w:hAnsi="楷体" w:eastAsia="楷体" w:cs="Times New Roman"/>
      <w:b/>
      <w:color w:val="000000"/>
      <w:lang w:val="zh-CN"/>
    </w:rPr>
  </w:style>
  <w:style w:type="paragraph" w:customStyle="1" w:styleId="24">
    <w:name w:val="列出段落1"/>
    <w:basedOn w:val="1"/>
    <w:qFormat/>
    <w:uiPriority w:val="0"/>
    <w:pPr>
      <w:ind w:firstLine="420" w:firstLineChars="200"/>
    </w:pPr>
    <w:rPr>
      <w:rFonts w:ascii="Calibri" w:hAnsi="Calibri" w:eastAsia="宋体"/>
    </w:rPr>
  </w:style>
  <w:style w:type="paragraph" w:customStyle="1" w:styleId="25">
    <w:name w:val="VI 正文格式"/>
    <w:basedOn w:val="1"/>
    <w:qFormat/>
    <w:uiPriority w:val="0"/>
    <w:pPr>
      <w:adjustRightInd w:val="0"/>
      <w:spacing w:before="93" w:beforeLines="30" w:beforeAutospacing="0" w:after="93" w:afterLines="30" w:afterAutospacing="0" w:line="360" w:lineRule="auto"/>
      <w:ind w:firstLine="480" w:firstLineChars="200"/>
      <w:textAlignment w:val="baseline"/>
    </w:pPr>
    <w:rPr>
      <w:rFonts w:ascii="宋体" w:hAnsi="宋体"/>
      <w:sz w:val="24"/>
    </w:rPr>
  </w:style>
  <w:style w:type="paragraph" w:customStyle="1" w:styleId="26">
    <w:name w:val="样式 思美招股书正文 + 首行缩进:  2 字符 段前: 0.5 行 段后: 0.5 行"/>
    <w:basedOn w:val="1"/>
    <w:qFormat/>
    <w:uiPriority w:val="0"/>
    <w:pPr>
      <w:adjustRightInd w:val="0"/>
      <w:snapToGrid w:val="0"/>
      <w:spacing w:before="156" w:beforeLines="50" w:after="156" w:afterLines="50" w:line="360" w:lineRule="auto"/>
      <w:ind w:firstLine="480" w:firstLineChars="200"/>
      <w:textAlignment w:val="center"/>
    </w:pPr>
    <w:rPr>
      <w:rFonts w:ascii="Times New Roman" w:hAnsi="Times New Roman" w:cs="宋体"/>
      <w:sz w:val="24"/>
    </w:rPr>
  </w:style>
  <w:style w:type="paragraph" w:customStyle="1" w:styleId="27">
    <w:name w:val="表格左对齐"/>
    <w:basedOn w:val="1"/>
    <w:qFormat/>
    <w:uiPriority w:val="0"/>
    <w:pPr>
      <w:spacing w:before="0" w:beforeLines="0" w:after="0" w:afterLines="0" w:line="240" w:lineRule="auto"/>
      <w:ind w:firstLine="0" w:firstLineChars="0"/>
      <w:jc w:val="left"/>
    </w:pPr>
    <w:rPr>
      <w:sz w:val="21"/>
    </w:rPr>
  </w:style>
  <w:style w:type="paragraph" w:customStyle="1" w:styleId="28">
    <w:name w:val="单位"/>
    <w:basedOn w:val="23"/>
    <w:qFormat/>
    <w:uiPriority w:val="0"/>
    <w:pPr>
      <w:widowControl w:val="0"/>
      <w:ind w:firstLine="422" w:firstLineChars="200"/>
      <w:jc w:val="right"/>
    </w:pPr>
    <w:rPr>
      <w:rFonts w:ascii="楷体" w:hAnsi="楷体" w:cs="Times New Roman"/>
      <w:kern w:val="2"/>
      <w:sz w:val="21"/>
      <w:szCs w:val="21"/>
    </w:rPr>
  </w:style>
  <w:style w:type="paragraph" w:customStyle="1" w:styleId="29">
    <w:name w:val="aj正文"/>
    <w:basedOn w:val="1"/>
    <w:qFormat/>
    <w:uiPriority w:val="0"/>
    <w:pPr>
      <w:spacing w:beforeLines="50" w:afterLines="50" w:line="360" w:lineRule="auto"/>
      <w:ind w:firstLine="200" w:firstLineChars="200"/>
    </w:pPr>
    <w:rPr>
      <w:rFonts w:ascii="Times New Roman" w:hAnsi="Times New Roman" w:cs="微软雅黑"/>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36</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2008-12-31T08:45:00Z</dcterms:created>
  <dc:creator>csrc</dc:creator>
  <cp:lastModifiedBy>陈历轶</cp:lastModifiedBy>
  <cp:lastPrinted>2017-07-27T08:21:00Z</cp:lastPrinted>
  <dcterms:modified xsi:type="dcterms:W3CDTF">2022-09-22T10:10:50Z</dcterms:modified>
  <dc:title>关于建议同意昆山鹿城村镇银行股份有限公司向特定对象发行股票的审核意见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