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企业商品期货业务会计处理补充规定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为了规范企业套期保值商品期货交易的会</w:t>
      </w:r>
      <w:bookmarkStart w:id="0" w:name="_GoBack"/>
      <w:bookmarkEnd w:id="0"/>
      <w:r>
        <w:rPr>
          <w:rFonts w:hint="eastAsia"/>
        </w:rPr>
        <w:t>计核算，现对企业进行套期保值商品期货交易的会计处理补充规定如下：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一、会计科目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(一)办理商品期货套期保值业务的企业，应在“期货保证金”科目下设置“套保合约”和“非套保合约”明细科目，分别核算企业进行套期保值业务和非套期保值(投机)业务买、卖期货合约所占用的资金。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从事商品期货业务但未办理商品期货套期保值的企业，仍按现行会计制度有关“期货保证金”科目的核算规定执行。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(二)办理商品期货套期保值业务的企业，应设置“递延套保损益”科目，核算企业在办理套期保值业务过程中所发生的手续费、结算盈亏。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二、账务处理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(一)企业因从事商品期货业务划出或追加的保证金，借记“期货保证金—非套保合约”科目，贷记“银行存款”科目;划回的保证金，作相反会计分录，企业开仓建立套期保值头寸或追加套期保值合约保证金时，应根据结算单据列明的金额，借记“期货保证金—套保合约”科目，贷记“期货保证金—非套保合约”或“银行存款”科目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(二)现货交易尚未完成，套期保值合约已经平仓的会计处理如下：企业套期保值合约平仓及结算盈亏时，若是盈利，则借记“期货保证金—套保合约”科目，贷记“递延套保损益”科目;若是亏损，则作相反的会计分录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企业套期保值合约在交易或交割时发生的手续费，按结算单据列明的金额，借记“递延套保损益”科目，贷记“期货保证金—套保合约”科目。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企业套期保值合约平仓了结时，应结转其占用的保证金，借记“期货保证金—非套保合约”科目，贷记“期货保证金—套保合约”科目。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企业套期保值合约了结，将套期保值合约实现的盈亏，同被套期保值业务发生的成本相配比时，若期货市场上的套期保值合约实现盈利，则借记“递延套保损益”科目，贷记“材料采购”、“物资采购”、“产成品”、“库存商品”等科目;若套期保值合约实现亏损，则作相反的会计分录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(三)如果现货交易已经完成，套期保值合约应当立即平仓，并按本规定二(二)进行会计处理。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三、会计报表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企业应在资产负债表补充资料中披露如下信息：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(一)在资产负债表日，套期保值合约按结算价计算的价值及持仓盈亏金额。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(二)被套期保值项目的性质及金额。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(三)本期内已与被套期保值项目进行配比的递延套保损益金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额;尚未配比的递延套保金额。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YTdmZTQ1NGU4Y2EzMzM5NjBjZDdhNjk1YmVjNzQifQ=="/>
  </w:docVars>
  <w:rsids>
    <w:rsidRoot w:val="19634433"/>
    <w:rsid w:val="1963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2022-10-13T12:52:00Z</dcterms:created>
  <dc:creator>没有人了</dc:creator>
  <cp:lastModifiedBy>没有人了</cp:lastModifiedBy>
  <dcterms:modified xsi:type="dcterms:W3CDTF">2022-10-13T12:52:59Z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66DA959BB0134902A0C9F34348DE8C6C</vt:lpwstr>
  </property>
</Properties>
</file>