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0" w:name="_GoBack"/>
      <w:bookmarkEnd w:id="0"/>
      <w:r>
        <w:rPr>
          <w:rFonts w:ascii="黑体" w:hAnsi="黑体" w:eastAsia="黑体"/>
        </w:rPr>
        <w:t>附件</w:t>
      </w:r>
      <w:r>
        <w:rPr>
          <w:rFonts w:hint="eastAsia" w:ascii="黑体" w:hAnsi="黑体" w:eastAsia="黑体"/>
        </w:rPr>
        <w:t>1</w:t>
      </w:r>
    </w:p>
    <w:p>
      <w:pPr>
        <w:jc w:val="center"/>
        <w:rPr>
          <w:rFonts w:ascii="方正小标宋_GBK" w:eastAsia="方正小标宋_GBK"/>
          <w:sz w:val="44"/>
          <w:szCs w:val="44"/>
        </w:rPr>
      </w:pPr>
      <w:r>
        <w:rPr>
          <w:rFonts w:hint="eastAsia" w:ascii="方正小标宋_GBK" w:eastAsia="方正小标宋_GBK"/>
          <w:sz w:val="44"/>
          <w:szCs w:val="44"/>
        </w:rPr>
        <w:t>苏州市新兴服务业高质量发展主要指标</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15" w:type="dxa"/>
          <w:left w:w="15" w:type="dxa"/>
          <w:bottom w:w="15" w:type="dxa"/>
          <w:right w:w="15" w:type="dxa"/>
        </w:tblCellMar>
      </w:tblPr>
      <w:tblGrid>
        <w:gridCol w:w="598"/>
        <w:gridCol w:w="1359"/>
        <w:gridCol w:w="2972"/>
        <w:gridCol w:w="972"/>
        <w:gridCol w:w="1057"/>
        <w:gridCol w:w="1057"/>
        <w:gridCol w:w="10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blHeader/>
          <w:jc w:val="center"/>
        </w:trPr>
        <w:tc>
          <w:tcPr>
            <w:tcW w:w="1957" w:type="dxa"/>
            <w:gridSpan w:val="2"/>
            <w:noWrap/>
            <w:vAlign w:val="center"/>
          </w:tcPr>
          <w:p>
            <w:pPr>
              <w:spacing w:line="320" w:lineRule="exact"/>
              <w:jc w:val="center"/>
              <w:rPr>
                <w:rFonts w:ascii="黑体" w:hAnsi="黑体" w:eastAsia="黑体"/>
                <w:sz w:val="21"/>
                <w:szCs w:val="21"/>
              </w:rPr>
            </w:pPr>
            <w:r>
              <w:rPr>
                <w:rFonts w:hint="eastAsia" w:ascii="黑体" w:hAnsi="黑体" w:eastAsia="黑体"/>
                <w:sz w:val="21"/>
                <w:szCs w:val="21"/>
              </w:rPr>
              <w:t>类型</w:t>
            </w:r>
          </w:p>
        </w:tc>
        <w:tc>
          <w:tcPr>
            <w:tcW w:w="2972" w:type="dxa"/>
            <w:noWrap/>
            <w:vAlign w:val="center"/>
          </w:tcPr>
          <w:p>
            <w:pPr>
              <w:spacing w:line="320" w:lineRule="exact"/>
              <w:jc w:val="center"/>
              <w:rPr>
                <w:rFonts w:ascii="黑体" w:hAnsi="黑体" w:eastAsia="黑体"/>
                <w:sz w:val="21"/>
                <w:szCs w:val="21"/>
              </w:rPr>
            </w:pPr>
            <w:r>
              <w:rPr>
                <w:rFonts w:hint="eastAsia" w:ascii="黑体" w:hAnsi="黑体" w:eastAsia="黑体"/>
                <w:sz w:val="21"/>
                <w:szCs w:val="21"/>
              </w:rPr>
              <w:t>指标（单位）</w:t>
            </w:r>
          </w:p>
        </w:tc>
        <w:tc>
          <w:tcPr>
            <w:tcW w:w="972" w:type="dxa"/>
            <w:noWrap/>
            <w:vAlign w:val="center"/>
          </w:tcPr>
          <w:p>
            <w:pPr>
              <w:spacing w:line="320" w:lineRule="exact"/>
              <w:jc w:val="center"/>
              <w:rPr>
                <w:rFonts w:ascii="黑体" w:hAnsi="黑体" w:eastAsia="黑体"/>
                <w:sz w:val="21"/>
                <w:szCs w:val="21"/>
              </w:rPr>
            </w:pPr>
            <w:r>
              <w:rPr>
                <w:rFonts w:hint="eastAsia" w:ascii="黑体" w:hAnsi="黑体" w:eastAsia="黑体"/>
                <w:sz w:val="21"/>
                <w:szCs w:val="21"/>
              </w:rPr>
              <w:t>2022年</w:t>
            </w:r>
          </w:p>
        </w:tc>
        <w:tc>
          <w:tcPr>
            <w:tcW w:w="1057" w:type="dxa"/>
            <w:noWrap/>
            <w:vAlign w:val="center"/>
          </w:tcPr>
          <w:p>
            <w:pPr>
              <w:spacing w:line="320" w:lineRule="exact"/>
              <w:jc w:val="center"/>
              <w:rPr>
                <w:rFonts w:ascii="黑体" w:hAnsi="黑体" w:eastAsia="黑体"/>
                <w:sz w:val="21"/>
                <w:szCs w:val="21"/>
              </w:rPr>
            </w:pPr>
            <w:r>
              <w:rPr>
                <w:rFonts w:hint="eastAsia" w:ascii="黑体" w:hAnsi="黑体" w:eastAsia="黑体"/>
                <w:sz w:val="21"/>
                <w:szCs w:val="21"/>
              </w:rPr>
              <w:t>2023年</w:t>
            </w:r>
          </w:p>
        </w:tc>
        <w:tc>
          <w:tcPr>
            <w:tcW w:w="1057" w:type="dxa"/>
            <w:noWrap/>
            <w:vAlign w:val="center"/>
          </w:tcPr>
          <w:p>
            <w:pPr>
              <w:spacing w:line="320" w:lineRule="exact"/>
              <w:jc w:val="center"/>
              <w:rPr>
                <w:rFonts w:ascii="黑体" w:hAnsi="黑体" w:eastAsia="黑体"/>
                <w:sz w:val="21"/>
                <w:szCs w:val="21"/>
              </w:rPr>
            </w:pPr>
            <w:r>
              <w:rPr>
                <w:rFonts w:hint="eastAsia" w:ascii="黑体" w:hAnsi="黑体" w:eastAsia="黑体"/>
                <w:sz w:val="21"/>
                <w:szCs w:val="21"/>
              </w:rPr>
              <w:t>2024年</w:t>
            </w:r>
          </w:p>
        </w:tc>
        <w:tc>
          <w:tcPr>
            <w:tcW w:w="1057" w:type="dxa"/>
            <w:noWrap/>
            <w:vAlign w:val="center"/>
          </w:tcPr>
          <w:p>
            <w:pPr>
              <w:spacing w:line="320" w:lineRule="exact"/>
              <w:jc w:val="center"/>
              <w:rPr>
                <w:rFonts w:ascii="黑体" w:hAnsi="黑体" w:eastAsia="黑体"/>
                <w:sz w:val="21"/>
                <w:szCs w:val="21"/>
              </w:rPr>
            </w:pPr>
            <w:r>
              <w:rPr>
                <w:rFonts w:hint="eastAsia" w:ascii="黑体" w:hAnsi="黑体" w:eastAsia="黑体"/>
                <w:sz w:val="21"/>
                <w:szCs w:val="21"/>
              </w:rPr>
              <w:t>2025年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restart"/>
            <w:noWrap/>
            <w:vAlign w:val="center"/>
          </w:tcPr>
          <w:p>
            <w:pPr>
              <w:spacing w:line="320" w:lineRule="exact"/>
              <w:jc w:val="center"/>
              <w:rPr>
                <w:sz w:val="21"/>
                <w:szCs w:val="21"/>
              </w:rPr>
            </w:pPr>
            <w:r>
              <w:rPr>
                <w:rFonts w:hint="eastAsia"/>
                <w:sz w:val="21"/>
                <w:szCs w:val="21"/>
              </w:rPr>
              <w:t>总量指标</w:t>
            </w:r>
          </w:p>
        </w:tc>
        <w:tc>
          <w:tcPr>
            <w:tcW w:w="2972" w:type="dxa"/>
            <w:noWrap/>
            <w:vAlign w:val="center"/>
          </w:tcPr>
          <w:p>
            <w:pPr>
              <w:spacing w:line="320" w:lineRule="exact"/>
              <w:rPr>
                <w:sz w:val="21"/>
                <w:szCs w:val="21"/>
              </w:rPr>
            </w:pPr>
            <w:r>
              <w:rPr>
                <w:rFonts w:hint="eastAsia"/>
                <w:sz w:val="21"/>
                <w:szCs w:val="21"/>
              </w:rPr>
              <w:t>规上新兴服务业重点领域营收（亿元）</w:t>
            </w:r>
          </w:p>
        </w:tc>
        <w:tc>
          <w:tcPr>
            <w:tcW w:w="972" w:type="dxa"/>
            <w:noWrap/>
            <w:vAlign w:val="center"/>
          </w:tcPr>
          <w:p>
            <w:pPr>
              <w:spacing w:line="320" w:lineRule="exact"/>
              <w:jc w:val="center"/>
              <w:rPr>
                <w:sz w:val="21"/>
                <w:szCs w:val="21"/>
              </w:rPr>
            </w:pPr>
            <w:r>
              <w:rPr>
                <w:rFonts w:hint="eastAsia"/>
                <w:sz w:val="21"/>
                <w:szCs w:val="21"/>
              </w:rPr>
              <w:t>6500</w:t>
            </w:r>
          </w:p>
        </w:tc>
        <w:tc>
          <w:tcPr>
            <w:tcW w:w="1057" w:type="dxa"/>
            <w:noWrap/>
            <w:vAlign w:val="center"/>
          </w:tcPr>
          <w:p>
            <w:pPr>
              <w:spacing w:line="320" w:lineRule="exact"/>
              <w:jc w:val="center"/>
              <w:rPr>
                <w:sz w:val="21"/>
                <w:szCs w:val="21"/>
              </w:rPr>
            </w:pPr>
            <w:r>
              <w:rPr>
                <w:rFonts w:hint="eastAsia"/>
                <w:sz w:val="21"/>
                <w:szCs w:val="21"/>
              </w:rPr>
              <w:t>7800</w:t>
            </w:r>
          </w:p>
        </w:tc>
        <w:tc>
          <w:tcPr>
            <w:tcW w:w="1057" w:type="dxa"/>
            <w:noWrap/>
            <w:vAlign w:val="center"/>
          </w:tcPr>
          <w:p>
            <w:pPr>
              <w:spacing w:line="320" w:lineRule="exact"/>
              <w:jc w:val="center"/>
              <w:rPr>
                <w:sz w:val="21"/>
                <w:szCs w:val="21"/>
              </w:rPr>
            </w:pPr>
            <w:r>
              <w:rPr>
                <w:rFonts w:hint="eastAsia"/>
                <w:sz w:val="21"/>
                <w:szCs w:val="21"/>
              </w:rPr>
              <w:t>9000</w:t>
            </w:r>
          </w:p>
        </w:tc>
        <w:tc>
          <w:tcPr>
            <w:tcW w:w="1057" w:type="dxa"/>
            <w:noWrap/>
            <w:vAlign w:val="center"/>
          </w:tcPr>
          <w:p>
            <w:pPr>
              <w:spacing w:line="320" w:lineRule="exact"/>
              <w:jc w:val="center"/>
              <w:rPr>
                <w:sz w:val="21"/>
                <w:szCs w:val="21"/>
              </w:rPr>
            </w:pPr>
            <w:r>
              <w:rPr>
                <w:rFonts w:hint="eastAsia"/>
                <w:sz w:val="21"/>
                <w:szCs w:val="21"/>
              </w:rPr>
              <w:t>10000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规上新兴服务业营收重点领域增速（%）</w:t>
            </w:r>
          </w:p>
        </w:tc>
        <w:tc>
          <w:tcPr>
            <w:tcW w:w="972" w:type="dxa"/>
            <w:noWrap/>
            <w:vAlign w:val="center"/>
          </w:tcPr>
          <w:p>
            <w:pPr>
              <w:spacing w:line="320" w:lineRule="exact"/>
              <w:jc w:val="center"/>
              <w:rPr>
                <w:sz w:val="21"/>
                <w:szCs w:val="21"/>
              </w:rPr>
            </w:pPr>
            <w:r>
              <w:rPr>
                <w:rFonts w:hint="eastAsia"/>
                <w:sz w:val="21"/>
                <w:szCs w:val="21"/>
              </w:rPr>
              <w:t>10以上</w:t>
            </w:r>
          </w:p>
        </w:tc>
        <w:tc>
          <w:tcPr>
            <w:tcW w:w="1057" w:type="dxa"/>
            <w:noWrap/>
            <w:vAlign w:val="center"/>
          </w:tcPr>
          <w:p>
            <w:pPr>
              <w:spacing w:line="320" w:lineRule="exact"/>
              <w:jc w:val="center"/>
              <w:rPr>
                <w:sz w:val="21"/>
                <w:szCs w:val="21"/>
              </w:rPr>
            </w:pPr>
            <w:r>
              <w:rPr>
                <w:rFonts w:hint="eastAsia"/>
                <w:sz w:val="21"/>
                <w:szCs w:val="21"/>
              </w:rPr>
              <w:t>10以上</w:t>
            </w:r>
          </w:p>
        </w:tc>
        <w:tc>
          <w:tcPr>
            <w:tcW w:w="1057" w:type="dxa"/>
            <w:noWrap/>
            <w:vAlign w:val="center"/>
          </w:tcPr>
          <w:p>
            <w:pPr>
              <w:spacing w:line="320" w:lineRule="exact"/>
              <w:jc w:val="center"/>
              <w:rPr>
                <w:sz w:val="21"/>
                <w:szCs w:val="21"/>
              </w:rPr>
            </w:pPr>
            <w:r>
              <w:rPr>
                <w:rFonts w:hint="eastAsia"/>
                <w:sz w:val="21"/>
                <w:szCs w:val="21"/>
              </w:rPr>
              <w:t>10以上</w:t>
            </w:r>
          </w:p>
        </w:tc>
        <w:tc>
          <w:tcPr>
            <w:tcW w:w="1057" w:type="dxa"/>
            <w:noWrap/>
            <w:vAlign w:val="center"/>
          </w:tcPr>
          <w:p>
            <w:pPr>
              <w:spacing w:line="320" w:lineRule="exact"/>
              <w:jc w:val="center"/>
              <w:rPr>
                <w:sz w:val="21"/>
                <w:szCs w:val="21"/>
              </w:rPr>
            </w:pPr>
            <w:r>
              <w:rPr>
                <w:rFonts w:hint="eastAsia"/>
                <w:sz w:val="21"/>
                <w:szCs w:val="21"/>
              </w:rPr>
              <w:t>10以上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服务业增加值增速（%）</w:t>
            </w:r>
          </w:p>
        </w:tc>
        <w:tc>
          <w:tcPr>
            <w:tcW w:w="972" w:type="dxa"/>
            <w:noWrap/>
            <w:vAlign w:val="center"/>
          </w:tcPr>
          <w:p>
            <w:pPr>
              <w:spacing w:line="320" w:lineRule="exact"/>
              <w:jc w:val="center"/>
              <w:rPr>
                <w:sz w:val="21"/>
                <w:szCs w:val="21"/>
              </w:rPr>
            </w:pPr>
            <w:r>
              <w:rPr>
                <w:rFonts w:hint="eastAsia"/>
                <w:sz w:val="21"/>
                <w:szCs w:val="21"/>
              </w:rPr>
              <w:t>高于GDP增速</w:t>
            </w:r>
          </w:p>
        </w:tc>
        <w:tc>
          <w:tcPr>
            <w:tcW w:w="1057" w:type="dxa"/>
            <w:noWrap/>
          </w:tcPr>
          <w:p>
            <w:pPr>
              <w:spacing w:line="320" w:lineRule="exact"/>
              <w:jc w:val="center"/>
              <w:rPr>
                <w:sz w:val="21"/>
                <w:szCs w:val="21"/>
              </w:rPr>
            </w:pPr>
            <w:r>
              <w:rPr>
                <w:rFonts w:hint="eastAsia"/>
                <w:sz w:val="21"/>
                <w:szCs w:val="21"/>
              </w:rPr>
              <w:t>高于GDP增速</w:t>
            </w:r>
          </w:p>
        </w:tc>
        <w:tc>
          <w:tcPr>
            <w:tcW w:w="1057" w:type="dxa"/>
            <w:noWrap/>
          </w:tcPr>
          <w:p>
            <w:pPr>
              <w:spacing w:line="320" w:lineRule="exact"/>
              <w:jc w:val="center"/>
              <w:rPr>
                <w:sz w:val="21"/>
                <w:szCs w:val="21"/>
              </w:rPr>
            </w:pPr>
            <w:r>
              <w:rPr>
                <w:rFonts w:hint="eastAsia"/>
                <w:sz w:val="21"/>
                <w:szCs w:val="21"/>
              </w:rPr>
              <w:t>高于GDP增速</w:t>
            </w:r>
          </w:p>
        </w:tc>
        <w:tc>
          <w:tcPr>
            <w:tcW w:w="1057" w:type="dxa"/>
            <w:noWrap/>
          </w:tcPr>
          <w:p>
            <w:pPr>
              <w:spacing w:line="320" w:lineRule="exact"/>
              <w:jc w:val="center"/>
              <w:rPr>
                <w:sz w:val="21"/>
                <w:szCs w:val="21"/>
              </w:rPr>
            </w:pPr>
            <w:r>
              <w:rPr>
                <w:rFonts w:hint="eastAsia"/>
                <w:sz w:val="21"/>
                <w:szCs w:val="21"/>
              </w:rPr>
              <w:t>高于GDP增速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高技术服务业投资增速（%）</w:t>
            </w:r>
          </w:p>
        </w:tc>
        <w:tc>
          <w:tcPr>
            <w:tcW w:w="972" w:type="dxa"/>
            <w:noWrap/>
            <w:vAlign w:val="center"/>
          </w:tcPr>
          <w:p>
            <w:pPr>
              <w:spacing w:line="320" w:lineRule="exact"/>
              <w:jc w:val="center"/>
              <w:rPr>
                <w:sz w:val="21"/>
                <w:szCs w:val="21"/>
              </w:rPr>
            </w:pPr>
            <w:r>
              <w:rPr>
                <w:rFonts w:hint="eastAsia"/>
                <w:sz w:val="21"/>
                <w:szCs w:val="21"/>
              </w:rPr>
              <w:t>20左右</w:t>
            </w:r>
          </w:p>
        </w:tc>
        <w:tc>
          <w:tcPr>
            <w:tcW w:w="1057" w:type="dxa"/>
            <w:noWrap/>
            <w:vAlign w:val="center"/>
          </w:tcPr>
          <w:p>
            <w:pPr>
              <w:spacing w:line="320" w:lineRule="exact"/>
              <w:jc w:val="center"/>
              <w:rPr>
                <w:sz w:val="21"/>
                <w:szCs w:val="21"/>
              </w:rPr>
            </w:pPr>
            <w:r>
              <w:rPr>
                <w:rFonts w:hint="eastAsia"/>
                <w:sz w:val="21"/>
                <w:szCs w:val="21"/>
              </w:rPr>
              <w:t>20左右</w:t>
            </w:r>
          </w:p>
        </w:tc>
        <w:tc>
          <w:tcPr>
            <w:tcW w:w="1057" w:type="dxa"/>
            <w:noWrap/>
            <w:vAlign w:val="center"/>
          </w:tcPr>
          <w:p>
            <w:pPr>
              <w:spacing w:line="320" w:lineRule="exact"/>
              <w:jc w:val="center"/>
              <w:rPr>
                <w:sz w:val="21"/>
                <w:szCs w:val="21"/>
              </w:rPr>
            </w:pPr>
            <w:r>
              <w:rPr>
                <w:rFonts w:hint="eastAsia"/>
                <w:sz w:val="21"/>
                <w:szCs w:val="21"/>
              </w:rPr>
              <w:t>20左右</w:t>
            </w:r>
          </w:p>
        </w:tc>
        <w:tc>
          <w:tcPr>
            <w:tcW w:w="1057" w:type="dxa"/>
            <w:noWrap/>
            <w:vAlign w:val="center"/>
          </w:tcPr>
          <w:p>
            <w:pPr>
              <w:spacing w:line="320" w:lineRule="exact"/>
              <w:jc w:val="center"/>
              <w:rPr>
                <w:sz w:val="21"/>
                <w:szCs w:val="21"/>
              </w:rPr>
            </w:pPr>
            <w:r>
              <w:rPr>
                <w:rFonts w:hint="eastAsia"/>
                <w:sz w:val="21"/>
                <w:szCs w:val="21"/>
              </w:rPr>
              <w:t>20左右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restart"/>
            <w:noWrap/>
            <w:vAlign w:val="center"/>
          </w:tcPr>
          <w:p>
            <w:pPr>
              <w:spacing w:line="320" w:lineRule="exact"/>
              <w:jc w:val="center"/>
              <w:rPr>
                <w:sz w:val="21"/>
                <w:szCs w:val="21"/>
              </w:rPr>
            </w:pPr>
            <w:r>
              <w:rPr>
                <w:rFonts w:hint="eastAsia"/>
                <w:sz w:val="21"/>
                <w:szCs w:val="21"/>
              </w:rPr>
              <w:t>重点方向</w:t>
            </w:r>
          </w:p>
        </w:tc>
        <w:tc>
          <w:tcPr>
            <w:tcW w:w="1359" w:type="dxa"/>
            <w:noWrap/>
            <w:vAlign w:val="center"/>
          </w:tcPr>
          <w:p>
            <w:pPr>
              <w:spacing w:line="320" w:lineRule="exact"/>
              <w:jc w:val="center"/>
              <w:rPr>
                <w:sz w:val="21"/>
                <w:szCs w:val="21"/>
              </w:rPr>
            </w:pPr>
            <w:r>
              <w:rPr>
                <w:rFonts w:hint="eastAsia"/>
                <w:sz w:val="21"/>
                <w:szCs w:val="21"/>
              </w:rPr>
              <w:t>金融服务</w:t>
            </w:r>
          </w:p>
        </w:tc>
        <w:tc>
          <w:tcPr>
            <w:tcW w:w="2972" w:type="dxa"/>
            <w:noWrap/>
            <w:vAlign w:val="center"/>
          </w:tcPr>
          <w:p>
            <w:pPr>
              <w:spacing w:line="320" w:lineRule="exact"/>
              <w:rPr>
                <w:sz w:val="21"/>
                <w:szCs w:val="21"/>
              </w:rPr>
            </w:pPr>
            <w:r>
              <w:rPr>
                <w:rFonts w:hint="eastAsia"/>
                <w:sz w:val="21"/>
                <w:szCs w:val="21"/>
              </w:rPr>
              <w:t>集聚数字金融企业（家）</w:t>
            </w:r>
          </w:p>
        </w:tc>
        <w:tc>
          <w:tcPr>
            <w:tcW w:w="972" w:type="dxa"/>
            <w:noWrap/>
            <w:vAlign w:val="center"/>
          </w:tcPr>
          <w:p>
            <w:pPr>
              <w:spacing w:line="320" w:lineRule="exact"/>
              <w:jc w:val="center"/>
              <w:rPr>
                <w:sz w:val="21"/>
                <w:szCs w:val="21"/>
              </w:rPr>
            </w:pPr>
            <w:r>
              <w:rPr>
                <w:rFonts w:hint="eastAsia"/>
                <w:sz w:val="21"/>
                <w:szCs w:val="21"/>
              </w:rPr>
              <w:t>300</w:t>
            </w:r>
          </w:p>
        </w:tc>
        <w:tc>
          <w:tcPr>
            <w:tcW w:w="1057" w:type="dxa"/>
            <w:noWrap/>
            <w:vAlign w:val="center"/>
          </w:tcPr>
          <w:p>
            <w:pPr>
              <w:spacing w:line="320" w:lineRule="exact"/>
              <w:jc w:val="center"/>
              <w:rPr>
                <w:sz w:val="21"/>
                <w:szCs w:val="21"/>
              </w:rPr>
            </w:pPr>
            <w:r>
              <w:rPr>
                <w:rFonts w:hint="eastAsia"/>
                <w:sz w:val="21"/>
                <w:szCs w:val="21"/>
              </w:rPr>
              <w:t>500</w:t>
            </w:r>
          </w:p>
        </w:tc>
        <w:tc>
          <w:tcPr>
            <w:tcW w:w="1057" w:type="dxa"/>
            <w:noWrap/>
            <w:vAlign w:val="center"/>
          </w:tcPr>
          <w:p>
            <w:pPr>
              <w:spacing w:line="320" w:lineRule="exact"/>
              <w:jc w:val="center"/>
              <w:rPr>
                <w:sz w:val="21"/>
                <w:szCs w:val="21"/>
              </w:rPr>
            </w:pPr>
            <w:r>
              <w:rPr>
                <w:rFonts w:hint="eastAsia"/>
                <w:sz w:val="21"/>
                <w:szCs w:val="21"/>
              </w:rPr>
              <w:t>700</w:t>
            </w:r>
          </w:p>
        </w:tc>
        <w:tc>
          <w:tcPr>
            <w:tcW w:w="1057" w:type="dxa"/>
            <w:noWrap/>
            <w:vAlign w:val="center"/>
          </w:tcPr>
          <w:p>
            <w:pPr>
              <w:spacing w:line="320" w:lineRule="exact"/>
              <w:jc w:val="center"/>
              <w:rPr>
                <w:sz w:val="21"/>
                <w:szCs w:val="21"/>
              </w:rPr>
            </w:pPr>
            <w:r>
              <w:rPr>
                <w:rFonts w:hint="eastAsia"/>
                <w:sz w:val="21"/>
                <w:szCs w:val="21"/>
              </w:rPr>
              <w:t>超1000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noWrap/>
            <w:vAlign w:val="center"/>
          </w:tcPr>
          <w:p>
            <w:pPr>
              <w:spacing w:line="320" w:lineRule="exact"/>
              <w:jc w:val="center"/>
              <w:rPr>
                <w:sz w:val="21"/>
                <w:szCs w:val="21"/>
              </w:rPr>
            </w:pPr>
            <w:r>
              <w:rPr>
                <w:rFonts w:hint="eastAsia"/>
                <w:sz w:val="21"/>
                <w:szCs w:val="21"/>
              </w:rPr>
              <w:t>信息服务</w:t>
            </w:r>
          </w:p>
        </w:tc>
        <w:tc>
          <w:tcPr>
            <w:tcW w:w="2972" w:type="dxa"/>
            <w:noWrap/>
            <w:vAlign w:val="center"/>
          </w:tcPr>
          <w:p>
            <w:pPr>
              <w:spacing w:line="320" w:lineRule="exact"/>
              <w:rPr>
                <w:sz w:val="21"/>
                <w:szCs w:val="21"/>
              </w:rPr>
            </w:pPr>
            <w:r>
              <w:rPr>
                <w:rFonts w:hint="eastAsia"/>
                <w:sz w:val="21"/>
                <w:szCs w:val="21"/>
              </w:rPr>
              <w:t>累计集聚数字信息领域重点企业（家）</w:t>
            </w:r>
          </w:p>
        </w:tc>
        <w:tc>
          <w:tcPr>
            <w:tcW w:w="972" w:type="dxa"/>
            <w:noWrap/>
            <w:vAlign w:val="center"/>
          </w:tcPr>
          <w:p>
            <w:pPr>
              <w:spacing w:line="320" w:lineRule="exact"/>
              <w:jc w:val="center"/>
              <w:rPr>
                <w:sz w:val="21"/>
                <w:szCs w:val="21"/>
              </w:rPr>
            </w:pPr>
            <w:r>
              <w:rPr>
                <w:rFonts w:hint="eastAsia"/>
                <w:sz w:val="21"/>
                <w:szCs w:val="21"/>
              </w:rPr>
              <w:t>200</w:t>
            </w:r>
          </w:p>
        </w:tc>
        <w:tc>
          <w:tcPr>
            <w:tcW w:w="1057" w:type="dxa"/>
            <w:noWrap/>
            <w:vAlign w:val="center"/>
          </w:tcPr>
          <w:p>
            <w:pPr>
              <w:spacing w:line="320" w:lineRule="exact"/>
              <w:jc w:val="center"/>
              <w:rPr>
                <w:sz w:val="21"/>
                <w:szCs w:val="21"/>
              </w:rPr>
            </w:pPr>
            <w:r>
              <w:rPr>
                <w:rFonts w:hint="eastAsia"/>
                <w:sz w:val="21"/>
                <w:szCs w:val="21"/>
              </w:rPr>
              <w:t>230</w:t>
            </w:r>
          </w:p>
        </w:tc>
        <w:tc>
          <w:tcPr>
            <w:tcW w:w="1057" w:type="dxa"/>
            <w:noWrap/>
            <w:vAlign w:val="center"/>
          </w:tcPr>
          <w:p>
            <w:pPr>
              <w:spacing w:line="320" w:lineRule="exact"/>
              <w:jc w:val="center"/>
              <w:rPr>
                <w:sz w:val="21"/>
                <w:szCs w:val="21"/>
              </w:rPr>
            </w:pPr>
            <w:r>
              <w:rPr>
                <w:rFonts w:hint="eastAsia"/>
                <w:sz w:val="21"/>
                <w:szCs w:val="21"/>
              </w:rPr>
              <w:t>270</w:t>
            </w:r>
          </w:p>
        </w:tc>
        <w:tc>
          <w:tcPr>
            <w:tcW w:w="1057" w:type="dxa"/>
            <w:noWrap/>
            <w:vAlign w:val="center"/>
          </w:tcPr>
          <w:p>
            <w:pPr>
              <w:spacing w:line="320" w:lineRule="exact"/>
              <w:jc w:val="center"/>
              <w:rPr>
                <w:sz w:val="21"/>
                <w:szCs w:val="21"/>
              </w:rPr>
            </w:pPr>
            <w:r>
              <w:rPr>
                <w:rFonts w:hint="eastAsia"/>
                <w:sz w:val="21"/>
                <w:szCs w:val="21"/>
              </w:rPr>
              <w:t>300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noWrap/>
            <w:vAlign w:val="center"/>
          </w:tcPr>
          <w:p>
            <w:pPr>
              <w:spacing w:line="320" w:lineRule="exact"/>
              <w:jc w:val="center"/>
              <w:rPr>
                <w:sz w:val="21"/>
                <w:szCs w:val="21"/>
              </w:rPr>
            </w:pPr>
            <w:r>
              <w:rPr>
                <w:rFonts w:hint="eastAsia"/>
                <w:sz w:val="21"/>
                <w:szCs w:val="21"/>
              </w:rPr>
              <w:t>物流服务</w:t>
            </w:r>
          </w:p>
        </w:tc>
        <w:tc>
          <w:tcPr>
            <w:tcW w:w="2972" w:type="dxa"/>
            <w:noWrap/>
            <w:vAlign w:val="center"/>
          </w:tcPr>
          <w:p>
            <w:pPr>
              <w:spacing w:line="320" w:lineRule="exact"/>
              <w:rPr>
                <w:sz w:val="21"/>
                <w:szCs w:val="21"/>
              </w:rPr>
            </w:pPr>
            <w:r>
              <w:rPr>
                <w:rFonts w:hint="eastAsia"/>
                <w:sz w:val="21"/>
                <w:szCs w:val="21"/>
              </w:rPr>
              <w:t>累计省级物流示范载体（家）</w:t>
            </w:r>
          </w:p>
        </w:tc>
        <w:tc>
          <w:tcPr>
            <w:tcW w:w="972" w:type="dxa"/>
            <w:noWrap/>
            <w:vAlign w:val="center"/>
          </w:tcPr>
          <w:p>
            <w:pPr>
              <w:spacing w:line="320" w:lineRule="exact"/>
              <w:jc w:val="center"/>
              <w:rPr>
                <w:sz w:val="21"/>
                <w:szCs w:val="21"/>
              </w:rPr>
            </w:pPr>
            <w:r>
              <w:rPr>
                <w:rFonts w:hint="eastAsia"/>
                <w:sz w:val="21"/>
                <w:szCs w:val="21"/>
              </w:rPr>
              <w:t>5</w:t>
            </w:r>
          </w:p>
        </w:tc>
        <w:tc>
          <w:tcPr>
            <w:tcW w:w="1057" w:type="dxa"/>
            <w:noWrap/>
            <w:vAlign w:val="center"/>
          </w:tcPr>
          <w:p>
            <w:pPr>
              <w:spacing w:line="320" w:lineRule="exact"/>
              <w:jc w:val="center"/>
              <w:rPr>
                <w:sz w:val="21"/>
                <w:szCs w:val="21"/>
              </w:rPr>
            </w:pPr>
            <w:r>
              <w:rPr>
                <w:rFonts w:hint="eastAsia"/>
                <w:sz w:val="21"/>
                <w:szCs w:val="21"/>
              </w:rPr>
              <w:t>10</w:t>
            </w:r>
          </w:p>
        </w:tc>
        <w:tc>
          <w:tcPr>
            <w:tcW w:w="1057" w:type="dxa"/>
            <w:noWrap/>
            <w:vAlign w:val="center"/>
          </w:tcPr>
          <w:p>
            <w:pPr>
              <w:spacing w:line="320" w:lineRule="exact"/>
              <w:jc w:val="center"/>
              <w:rPr>
                <w:sz w:val="21"/>
                <w:szCs w:val="21"/>
              </w:rPr>
            </w:pPr>
            <w:r>
              <w:rPr>
                <w:rFonts w:hint="eastAsia"/>
                <w:sz w:val="21"/>
                <w:szCs w:val="21"/>
              </w:rPr>
              <w:t>15</w:t>
            </w:r>
          </w:p>
        </w:tc>
        <w:tc>
          <w:tcPr>
            <w:tcW w:w="1057" w:type="dxa"/>
            <w:noWrap/>
            <w:vAlign w:val="center"/>
          </w:tcPr>
          <w:p>
            <w:pPr>
              <w:spacing w:line="320" w:lineRule="exact"/>
              <w:jc w:val="center"/>
              <w:rPr>
                <w:sz w:val="21"/>
                <w:szCs w:val="21"/>
              </w:rPr>
            </w:pPr>
            <w:r>
              <w:rPr>
                <w:rFonts w:hint="eastAsia"/>
                <w:sz w:val="21"/>
                <w:szCs w:val="21"/>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vMerge w:val="restart"/>
            <w:noWrap/>
            <w:vAlign w:val="center"/>
          </w:tcPr>
          <w:p>
            <w:pPr>
              <w:spacing w:line="320" w:lineRule="exact"/>
              <w:jc w:val="center"/>
              <w:rPr>
                <w:sz w:val="21"/>
                <w:szCs w:val="21"/>
              </w:rPr>
            </w:pPr>
            <w:r>
              <w:rPr>
                <w:rFonts w:hint="eastAsia"/>
                <w:sz w:val="21"/>
                <w:szCs w:val="21"/>
              </w:rPr>
              <w:t>科技服务</w:t>
            </w:r>
          </w:p>
        </w:tc>
        <w:tc>
          <w:tcPr>
            <w:tcW w:w="2972" w:type="dxa"/>
            <w:noWrap/>
            <w:vAlign w:val="center"/>
          </w:tcPr>
          <w:p>
            <w:pPr>
              <w:spacing w:line="320" w:lineRule="exact"/>
              <w:rPr>
                <w:sz w:val="21"/>
                <w:szCs w:val="21"/>
              </w:rPr>
            </w:pPr>
            <w:r>
              <w:rPr>
                <w:rFonts w:hint="eastAsia"/>
                <w:sz w:val="21"/>
                <w:szCs w:val="21"/>
              </w:rPr>
              <w:t>科技服务业收入（亿元）</w:t>
            </w:r>
          </w:p>
        </w:tc>
        <w:tc>
          <w:tcPr>
            <w:tcW w:w="972" w:type="dxa"/>
            <w:noWrap/>
            <w:vAlign w:val="center"/>
          </w:tcPr>
          <w:p>
            <w:pPr>
              <w:spacing w:line="320" w:lineRule="exact"/>
              <w:jc w:val="center"/>
              <w:rPr>
                <w:sz w:val="21"/>
                <w:szCs w:val="21"/>
              </w:rPr>
            </w:pPr>
            <w:r>
              <w:rPr>
                <w:rFonts w:hint="eastAsia"/>
                <w:sz w:val="21"/>
                <w:szCs w:val="21"/>
              </w:rPr>
              <w:t>2000</w:t>
            </w:r>
          </w:p>
        </w:tc>
        <w:tc>
          <w:tcPr>
            <w:tcW w:w="1057" w:type="dxa"/>
            <w:noWrap/>
            <w:vAlign w:val="center"/>
          </w:tcPr>
          <w:p>
            <w:pPr>
              <w:spacing w:line="320" w:lineRule="exact"/>
              <w:jc w:val="center"/>
              <w:rPr>
                <w:sz w:val="21"/>
                <w:szCs w:val="21"/>
              </w:rPr>
            </w:pPr>
            <w:r>
              <w:rPr>
                <w:rFonts w:hint="eastAsia"/>
                <w:sz w:val="21"/>
                <w:szCs w:val="21"/>
              </w:rPr>
              <w:t>2150</w:t>
            </w:r>
          </w:p>
        </w:tc>
        <w:tc>
          <w:tcPr>
            <w:tcW w:w="1057" w:type="dxa"/>
            <w:noWrap/>
            <w:vAlign w:val="center"/>
          </w:tcPr>
          <w:p>
            <w:pPr>
              <w:spacing w:line="320" w:lineRule="exact"/>
              <w:jc w:val="center"/>
              <w:rPr>
                <w:sz w:val="21"/>
                <w:szCs w:val="21"/>
              </w:rPr>
            </w:pPr>
            <w:r>
              <w:rPr>
                <w:rFonts w:hint="eastAsia"/>
                <w:sz w:val="21"/>
                <w:szCs w:val="21"/>
              </w:rPr>
              <w:t>2300</w:t>
            </w:r>
          </w:p>
        </w:tc>
        <w:tc>
          <w:tcPr>
            <w:tcW w:w="1057" w:type="dxa"/>
            <w:noWrap/>
            <w:vAlign w:val="center"/>
          </w:tcPr>
          <w:p>
            <w:pPr>
              <w:spacing w:line="320" w:lineRule="exact"/>
              <w:jc w:val="center"/>
              <w:rPr>
                <w:sz w:val="21"/>
                <w:szCs w:val="21"/>
              </w:rPr>
            </w:pPr>
            <w:r>
              <w:rPr>
                <w:rFonts w:hint="eastAsia"/>
                <w:sz w:val="21"/>
                <w:szCs w:val="21"/>
              </w:rPr>
              <w:t>2500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知识产权服务机构营收（亿元）</w:t>
            </w:r>
          </w:p>
        </w:tc>
        <w:tc>
          <w:tcPr>
            <w:tcW w:w="972" w:type="dxa"/>
            <w:noWrap/>
            <w:vAlign w:val="center"/>
          </w:tcPr>
          <w:p>
            <w:pPr>
              <w:spacing w:line="320" w:lineRule="exact"/>
              <w:jc w:val="center"/>
              <w:rPr>
                <w:sz w:val="21"/>
                <w:szCs w:val="21"/>
              </w:rPr>
            </w:pPr>
            <w:r>
              <w:rPr>
                <w:rFonts w:hint="eastAsia"/>
                <w:sz w:val="21"/>
                <w:szCs w:val="21"/>
              </w:rPr>
              <w:t>22</w:t>
            </w:r>
          </w:p>
        </w:tc>
        <w:tc>
          <w:tcPr>
            <w:tcW w:w="1057" w:type="dxa"/>
            <w:noWrap/>
            <w:vAlign w:val="center"/>
          </w:tcPr>
          <w:p>
            <w:pPr>
              <w:spacing w:line="320" w:lineRule="exact"/>
              <w:jc w:val="center"/>
              <w:rPr>
                <w:sz w:val="21"/>
                <w:szCs w:val="21"/>
              </w:rPr>
            </w:pPr>
            <w:r>
              <w:rPr>
                <w:rFonts w:hint="eastAsia"/>
                <w:sz w:val="21"/>
                <w:szCs w:val="21"/>
              </w:rPr>
              <w:t>23</w:t>
            </w:r>
          </w:p>
        </w:tc>
        <w:tc>
          <w:tcPr>
            <w:tcW w:w="1057" w:type="dxa"/>
            <w:noWrap/>
            <w:vAlign w:val="center"/>
          </w:tcPr>
          <w:p>
            <w:pPr>
              <w:spacing w:line="320" w:lineRule="exact"/>
              <w:jc w:val="center"/>
              <w:rPr>
                <w:sz w:val="21"/>
                <w:szCs w:val="21"/>
              </w:rPr>
            </w:pPr>
            <w:r>
              <w:rPr>
                <w:rFonts w:hint="eastAsia"/>
                <w:sz w:val="21"/>
                <w:szCs w:val="21"/>
              </w:rPr>
              <w:t>24</w:t>
            </w:r>
          </w:p>
        </w:tc>
        <w:tc>
          <w:tcPr>
            <w:tcW w:w="1057" w:type="dxa"/>
            <w:noWrap/>
            <w:vAlign w:val="center"/>
          </w:tcPr>
          <w:p>
            <w:pPr>
              <w:spacing w:line="320" w:lineRule="exact"/>
              <w:jc w:val="center"/>
              <w:rPr>
                <w:sz w:val="21"/>
                <w:szCs w:val="21"/>
              </w:rPr>
            </w:pPr>
            <w:r>
              <w:rPr>
                <w:rFonts w:hint="eastAsia"/>
                <w:sz w:val="21"/>
                <w:szCs w:val="21"/>
              </w:rPr>
              <w:t>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vMerge w:val="restart"/>
            <w:noWrap/>
            <w:vAlign w:val="center"/>
          </w:tcPr>
          <w:p>
            <w:pPr>
              <w:spacing w:line="320" w:lineRule="exact"/>
              <w:jc w:val="center"/>
              <w:rPr>
                <w:sz w:val="21"/>
                <w:szCs w:val="21"/>
              </w:rPr>
            </w:pPr>
            <w:r>
              <w:rPr>
                <w:rFonts w:hint="eastAsia"/>
                <w:sz w:val="21"/>
                <w:szCs w:val="21"/>
              </w:rPr>
              <w:t>商务中介服务</w:t>
            </w:r>
          </w:p>
        </w:tc>
        <w:tc>
          <w:tcPr>
            <w:tcW w:w="2972" w:type="dxa"/>
            <w:noWrap/>
            <w:vAlign w:val="center"/>
          </w:tcPr>
          <w:p>
            <w:pPr>
              <w:spacing w:line="320" w:lineRule="exact"/>
              <w:rPr>
                <w:sz w:val="21"/>
                <w:szCs w:val="21"/>
              </w:rPr>
            </w:pPr>
            <w:r>
              <w:rPr>
                <w:rFonts w:hint="eastAsia"/>
                <w:sz w:val="21"/>
                <w:szCs w:val="21"/>
              </w:rPr>
              <w:t>律师事务所数（家）</w:t>
            </w:r>
          </w:p>
        </w:tc>
        <w:tc>
          <w:tcPr>
            <w:tcW w:w="972" w:type="dxa"/>
            <w:noWrap/>
            <w:vAlign w:val="center"/>
          </w:tcPr>
          <w:p>
            <w:pPr>
              <w:spacing w:line="320" w:lineRule="exact"/>
              <w:jc w:val="center"/>
              <w:rPr>
                <w:sz w:val="21"/>
                <w:szCs w:val="21"/>
              </w:rPr>
            </w:pPr>
            <w:r>
              <w:rPr>
                <w:rFonts w:hint="eastAsia"/>
                <w:sz w:val="21"/>
                <w:szCs w:val="21"/>
              </w:rPr>
              <w:t>400</w:t>
            </w:r>
          </w:p>
        </w:tc>
        <w:tc>
          <w:tcPr>
            <w:tcW w:w="1057" w:type="dxa"/>
            <w:noWrap/>
            <w:vAlign w:val="center"/>
          </w:tcPr>
          <w:p>
            <w:pPr>
              <w:spacing w:line="320" w:lineRule="exact"/>
              <w:jc w:val="center"/>
              <w:rPr>
                <w:sz w:val="21"/>
                <w:szCs w:val="21"/>
              </w:rPr>
            </w:pPr>
            <w:r>
              <w:rPr>
                <w:rFonts w:hint="eastAsia"/>
                <w:sz w:val="21"/>
                <w:szCs w:val="21"/>
              </w:rPr>
              <w:t>430</w:t>
            </w:r>
          </w:p>
        </w:tc>
        <w:tc>
          <w:tcPr>
            <w:tcW w:w="1057" w:type="dxa"/>
            <w:noWrap/>
            <w:vAlign w:val="center"/>
          </w:tcPr>
          <w:p>
            <w:pPr>
              <w:spacing w:line="320" w:lineRule="exact"/>
              <w:jc w:val="center"/>
              <w:rPr>
                <w:sz w:val="21"/>
                <w:szCs w:val="21"/>
              </w:rPr>
            </w:pPr>
            <w:r>
              <w:rPr>
                <w:rFonts w:hint="eastAsia"/>
                <w:sz w:val="21"/>
                <w:szCs w:val="21"/>
              </w:rPr>
              <w:t>470</w:t>
            </w:r>
          </w:p>
        </w:tc>
        <w:tc>
          <w:tcPr>
            <w:tcW w:w="1057" w:type="dxa"/>
            <w:noWrap/>
            <w:vAlign w:val="center"/>
          </w:tcPr>
          <w:p>
            <w:pPr>
              <w:spacing w:line="320" w:lineRule="exact"/>
              <w:jc w:val="center"/>
              <w:rPr>
                <w:sz w:val="21"/>
                <w:szCs w:val="21"/>
              </w:rPr>
            </w:pPr>
            <w:r>
              <w:rPr>
                <w:rFonts w:hint="eastAsia"/>
                <w:sz w:val="21"/>
                <w:szCs w:val="21"/>
              </w:rPr>
              <w:t>500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在苏全国百强会计师事务所数（含分所）（家）</w:t>
            </w:r>
          </w:p>
        </w:tc>
        <w:tc>
          <w:tcPr>
            <w:tcW w:w="972" w:type="dxa"/>
            <w:noWrap/>
            <w:vAlign w:val="center"/>
          </w:tcPr>
          <w:p>
            <w:pPr>
              <w:spacing w:line="320" w:lineRule="exact"/>
              <w:jc w:val="center"/>
              <w:rPr>
                <w:sz w:val="21"/>
                <w:szCs w:val="21"/>
              </w:rPr>
            </w:pPr>
            <w:r>
              <w:rPr>
                <w:rFonts w:hint="eastAsia"/>
                <w:sz w:val="21"/>
                <w:szCs w:val="21"/>
              </w:rPr>
              <w:t>31</w:t>
            </w:r>
          </w:p>
        </w:tc>
        <w:tc>
          <w:tcPr>
            <w:tcW w:w="1057" w:type="dxa"/>
            <w:noWrap/>
            <w:vAlign w:val="center"/>
          </w:tcPr>
          <w:p>
            <w:pPr>
              <w:spacing w:line="320" w:lineRule="exact"/>
              <w:jc w:val="center"/>
              <w:rPr>
                <w:sz w:val="21"/>
                <w:szCs w:val="21"/>
              </w:rPr>
            </w:pPr>
            <w:r>
              <w:rPr>
                <w:rFonts w:hint="eastAsia"/>
                <w:sz w:val="21"/>
                <w:szCs w:val="21"/>
              </w:rPr>
              <w:t>32</w:t>
            </w:r>
          </w:p>
        </w:tc>
        <w:tc>
          <w:tcPr>
            <w:tcW w:w="1057" w:type="dxa"/>
            <w:noWrap/>
            <w:vAlign w:val="center"/>
          </w:tcPr>
          <w:p>
            <w:pPr>
              <w:spacing w:line="320" w:lineRule="exact"/>
              <w:jc w:val="center"/>
              <w:rPr>
                <w:sz w:val="21"/>
                <w:szCs w:val="21"/>
              </w:rPr>
            </w:pPr>
            <w:r>
              <w:rPr>
                <w:rFonts w:hint="eastAsia"/>
                <w:sz w:val="21"/>
                <w:szCs w:val="21"/>
              </w:rPr>
              <w:t>34</w:t>
            </w:r>
          </w:p>
        </w:tc>
        <w:tc>
          <w:tcPr>
            <w:tcW w:w="1057" w:type="dxa"/>
            <w:noWrap/>
            <w:vAlign w:val="center"/>
          </w:tcPr>
          <w:p>
            <w:pPr>
              <w:spacing w:line="320" w:lineRule="exact"/>
              <w:jc w:val="center"/>
              <w:rPr>
                <w:sz w:val="21"/>
                <w:szCs w:val="21"/>
              </w:rPr>
            </w:pPr>
            <w:r>
              <w:rPr>
                <w:rFonts w:hint="eastAsia"/>
                <w:sz w:val="21"/>
                <w:szCs w:val="21"/>
              </w:rPr>
              <w:t>35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vMerge w:val="restart"/>
            <w:noWrap/>
            <w:vAlign w:val="center"/>
          </w:tcPr>
          <w:p>
            <w:pPr>
              <w:spacing w:line="320" w:lineRule="exact"/>
              <w:jc w:val="center"/>
              <w:rPr>
                <w:sz w:val="21"/>
                <w:szCs w:val="21"/>
              </w:rPr>
            </w:pPr>
            <w:r>
              <w:rPr>
                <w:rFonts w:hint="eastAsia"/>
                <w:sz w:val="21"/>
                <w:szCs w:val="21"/>
              </w:rPr>
              <w:t>设计服务</w:t>
            </w:r>
          </w:p>
        </w:tc>
        <w:tc>
          <w:tcPr>
            <w:tcW w:w="2972" w:type="dxa"/>
            <w:noWrap/>
            <w:vAlign w:val="center"/>
          </w:tcPr>
          <w:p>
            <w:pPr>
              <w:spacing w:line="320" w:lineRule="exact"/>
              <w:rPr>
                <w:sz w:val="21"/>
                <w:szCs w:val="21"/>
              </w:rPr>
            </w:pPr>
            <w:r>
              <w:rPr>
                <w:rFonts w:hint="eastAsia"/>
                <w:sz w:val="21"/>
                <w:szCs w:val="21"/>
              </w:rPr>
              <w:t>每年新增市级以上工业设计中心（家）</w:t>
            </w:r>
          </w:p>
        </w:tc>
        <w:tc>
          <w:tcPr>
            <w:tcW w:w="972" w:type="dxa"/>
            <w:noWrap/>
            <w:vAlign w:val="center"/>
          </w:tcPr>
          <w:p>
            <w:pPr>
              <w:spacing w:line="320" w:lineRule="exact"/>
              <w:jc w:val="center"/>
              <w:rPr>
                <w:sz w:val="21"/>
                <w:szCs w:val="21"/>
              </w:rPr>
            </w:pPr>
            <w:r>
              <w:rPr>
                <w:rFonts w:hint="eastAsia"/>
                <w:sz w:val="21"/>
                <w:szCs w:val="21"/>
              </w:rPr>
              <w:t>60</w:t>
            </w:r>
          </w:p>
        </w:tc>
        <w:tc>
          <w:tcPr>
            <w:tcW w:w="1057" w:type="dxa"/>
            <w:noWrap/>
            <w:vAlign w:val="center"/>
          </w:tcPr>
          <w:p>
            <w:pPr>
              <w:spacing w:line="320" w:lineRule="exact"/>
              <w:jc w:val="center"/>
              <w:rPr>
                <w:sz w:val="21"/>
                <w:szCs w:val="21"/>
              </w:rPr>
            </w:pPr>
            <w:r>
              <w:rPr>
                <w:rFonts w:hint="eastAsia"/>
                <w:sz w:val="21"/>
                <w:szCs w:val="21"/>
              </w:rPr>
              <w:t>60</w:t>
            </w:r>
          </w:p>
        </w:tc>
        <w:tc>
          <w:tcPr>
            <w:tcW w:w="1057" w:type="dxa"/>
            <w:noWrap/>
            <w:vAlign w:val="center"/>
          </w:tcPr>
          <w:p>
            <w:pPr>
              <w:spacing w:line="320" w:lineRule="exact"/>
              <w:jc w:val="center"/>
              <w:rPr>
                <w:sz w:val="21"/>
                <w:szCs w:val="21"/>
              </w:rPr>
            </w:pPr>
            <w:r>
              <w:rPr>
                <w:rFonts w:hint="eastAsia"/>
                <w:sz w:val="21"/>
                <w:szCs w:val="21"/>
              </w:rPr>
              <w:t>60</w:t>
            </w:r>
          </w:p>
        </w:tc>
        <w:tc>
          <w:tcPr>
            <w:tcW w:w="1057" w:type="dxa"/>
            <w:noWrap/>
            <w:vAlign w:val="center"/>
          </w:tcPr>
          <w:p>
            <w:pPr>
              <w:spacing w:line="320" w:lineRule="exact"/>
              <w:jc w:val="center"/>
              <w:rPr>
                <w:sz w:val="21"/>
                <w:szCs w:val="21"/>
              </w:rPr>
            </w:pPr>
            <w:r>
              <w:rPr>
                <w:rFonts w:hint="eastAsia"/>
                <w:sz w:val="21"/>
                <w:szCs w:val="21"/>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规上专业设计类企业营收增速（%）</w:t>
            </w:r>
          </w:p>
        </w:tc>
        <w:tc>
          <w:tcPr>
            <w:tcW w:w="972" w:type="dxa"/>
            <w:noWrap/>
            <w:vAlign w:val="center"/>
          </w:tcPr>
          <w:p>
            <w:pPr>
              <w:spacing w:line="320" w:lineRule="exact"/>
              <w:jc w:val="center"/>
              <w:rPr>
                <w:sz w:val="21"/>
                <w:szCs w:val="21"/>
              </w:rPr>
            </w:pPr>
            <w:r>
              <w:rPr>
                <w:rFonts w:hint="eastAsia"/>
                <w:sz w:val="21"/>
                <w:szCs w:val="21"/>
              </w:rPr>
              <w:t>12以上</w:t>
            </w:r>
          </w:p>
        </w:tc>
        <w:tc>
          <w:tcPr>
            <w:tcW w:w="1057" w:type="dxa"/>
            <w:noWrap/>
            <w:vAlign w:val="center"/>
          </w:tcPr>
          <w:p>
            <w:pPr>
              <w:spacing w:line="320" w:lineRule="exact"/>
              <w:jc w:val="center"/>
              <w:rPr>
                <w:sz w:val="21"/>
                <w:szCs w:val="21"/>
              </w:rPr>
            </w:pPr>
            <w:r>
              <w:rPr>
                <w:rFonts w:hint="eastAsia"/>
                <w:sz w:val="21"/>
                <w:szCs w:val="21"/>
              </w:rPr>
              <w:t>12以上</w:t>
            </w:r>
          </w:p>
        </w:tc>
        <w:tc>
          <w:tcPr>
            <w:tcW w:w="1057" w:type="dxa"/>
            <w:noWrap/>
            <w:vAlign w:val="center"/>
          </w:tcPr>
          <w:p>
            <w:pPr>
              <w:spacing w:line="320" w:lineRule="exact"/>
              <w:jc w:val="center"/>
              <w:rPr>
                <w:sz w:val="21"/>
                <w:szCs w:val="21"/>
              </w:rPr>
            </w:pPr>
            <w:r>
              <w:rPr>
                <w:rFonts w:hint="eastAsia"/>
                <w:sz w:val="21"/>
                <w:szCs w:val="21"/>
              </w:rPr>
              <w:t>12以上</w:t>
            </w:r>
          </w:p>
        </w:tc>
        <w:tc>
          <w:tcPr>
            <w:tcW w:w="1057" w:type="dxa"/>
            <w:noWrap/>
            <w:vAlign w:val="center"/>
          </w:tcPr>
          <w:p>
            <w:pPr>
              <w:spacing w:line="320" w:lineRule="exact"/>
              <w:jc w:val="center"/>
              <w:rPr>
                <w:sz w:val="21"/>
                <w:szCs w:val="21"/>
              </w:rPr>
            </w:pPr>
            <w:r>
              <w:rPr>
                <w:rFonts w:hint="eastAsia"/>
                <w:sz w:val="21"/>
                <w:szCs w:val="21"/>
              </w:rPr>
              <w:t>12以上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noWrap/>
            <w:vAlign w:val="center"/>
          </w:tcPr>
          <w:p>
            <w:pPr>
              <w:pStyle w:val="2"/>
              <w:spacing w:line="320" w:lineRule="exact"/>
              <w:jc w:val="center"/>
              <w:rPr>
                <w:rFonts w:ascii="仿宋_GB2312" w:hAnsi="Times New Roman" w:eastAsia="仿宋_GB2312" w:cs="Times New Roman"/>
                <w:b w:val="0"/>
                <w:bCs w:val="0"/>
              </w:rPr>
            </w:pPr>
            <w:r>
              <w:rPr>
                <w:rFonts w:hint="eastAsia" w:ascii="仿宋_GB2312" w:hAnsi="Times New Roman" w:eastAsia="仿宋_GB2312" w:cs="Times New Roman"/>
                <w:b w:val="0"/>
                <w:bCs w:val="0"/>
              </w:rPr>
              <w:t>人力资源服务</w:t>
            </w:r>
          </w:p>
        </w:tc>
        <w:tc>
          <w:tcPr>
            <w:tcW w:w="2972" w:type="dxa"/>
            <w:noWrap/>
            <w:vAlign w:val="center"/>
          </w:tcPr>
          <w:p>
            <w:pPr>
              <w:spacing w:line="320" w:lineRule="exact"/>
              <w:rPr>
                <w:sz w:val="21"/>
                <w:szCs w:val="21"/>
              </w:rPr>
            </w:pPr>
            <w:r>
              <w:rPr>
                <w:rFonts w:hint="eastAsia"/>
                <w:sz w:val="21"/>
                <w:szCs w:val="21"/>
              </w:rPr>
              <w:t>累计建成省级人力资源服务产业园（家）</w:t>
            </w:r>
          </w:p>
        </w:tc>
        <w:tc>
          <w:tcPr>
            <w:tcW w:w="972" w:type="dxa"/>
            <w:noWrap/>
            <w:vAlign w:val="center"/>
          </w:tcPr>
          <w:p>
            <w:pPr>
              <w:spacing w:line="320" w:lineRule="exact"/>
              <w:jc w:val="center"/>
              <w:rPr>
                <w:sz w:val="21"/>
                <w:szCs w:val="21"/>
              </w:rPr>
            </w:pPr>
            <w:r>
              <w:rPr>
                <w:rFonts w:hint="eastAsia"/>
                <w:sz w:val="21"/>
                <w:szCs w:val="21"/>
              </w:rPr>
              <w:t>4～5</w:t>
            </w:r>
          </w:p>
        </w:tc>
        <w:tc>
          <w:tcPr>
            <w:tcW w:w="1057" w:type="dxa"/>
            <w:noWrap/>
            <w:vAlign w:val="center"/>
          </w:tcPr>
          <w:p>
            <w:pPr>
              <w:spacing w:line="320" w:lineRule="exact"/>
              <w:jc w:val="center"/>
              <w:rPr>
                <w:sz w:val="21"/>
                <w:szCs w:val="21"/>
              </w:rPr>
            </w:pPr>
            <w:r>
              <w:rPr>
                <w:rFonts w:hint="eastAsia"/>
                <w:sz w:val="21"/>
                <w:szCs w:val="21"/>
              </w:rPr>
              <w:t>4～6</w:t>
            </w:r>
          </w:p>
        </w:tc>
        <w:tc>
          <w:tcPr>
            <w:tcW w:w="1057" w:type="dxa"/>
            <w:noWrap/>
            <w:vAlign w:val="center"/>
          </w:tcPr>
          <w:p>
            <w:pPr>
              <w:spacing w:line="320" w:lineRule="exact"/>
              <w:jc w:val="center"/>
              <w:rPr>
                <w:sz w:val="21"/>
                <w:szCs w:val="21"/>
              </w:rPr>
            </w:pPr>
            <w:r>
              <w:rPr>
                <w:rFonts w:hint="eastAsia"/>
                <w:sz w:val="21"/>
                <w:szCs w:val="21"/>
              </w:rPr>
              <w:t>4～7</w:t>
            </w:r>
          </w:p>
        </w:tc>
        <w:tc>
          <w:tcPr>
            <w:tcW w:w="1057" w:type="dxa"/>
            <w:noWrap/>
            <w:vAlign w:val="center"/>
          </w:tcPr>
          <w:p>
            <w:pPr>
              <w:spacing w:line="320" w:lineRule="exact"/>
              <w:jc w:val="center"/>
              <w:rPr>
                <w:sz w:val="21"/>
                <w:szCs w:val="21"/>
              </w:rPr>
            </w:pPr>
            <w:r>
              <w:rPr>
                <w:rFonts w:hint="eastAsia"/>
                <w:sz w:val="21"/>
                <w:szCs w:val="21"/>
              </w:rPr>
              <w:t>5-8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noWrap/>
            <w:vAlign w:val="center"/>
          </w:tcPr>
          <w:p>
            <w:pPr>
              <w:spacing w:line="320" w:lineRule="exact"/>
              <w:jc w:val="center"/>
              <w:rPr>
                <w:sz w:val="21"/>
                <w:szCs w:val="21"/>
              </w:rPr>
            </w:pPr>
            <w:r>
              <w:rPr>
                <w:rFonts w:hint="eastAsia"/>
                <w:sz w:val="21"/>
                <w:szCs w:val="21"/>
              </w:rPr>
              <w:t>检验检测认证</w:t>
            </w:r>
          </w:p>
        </w:tc>
        <w:tc>
          <w:tcPr>
            <w:tcW w:w="2972" w:type="dxa"/>
            <w:noWrap/>
            <w:vAlign w:val="center"/>
          </w:tcPr>
          <w:p>
            <w:pPr>
              <w:spacing w:line="320" w:lineRule="exact"/>
              <w:rPr>
                <w:sz w:val="21"/>
                <w:szCs w:val="21"/>
              </w:rPr>
            </w:pPr>
            <w:r>
              <w:rPr>
                <w:rFonts w:hint="eastAsia"/>
                <w:sz w:val="21"/>
                <w:szCs w:val="21"/>
              </w:rPr>
              <w:t>检验检测机构资质认定数（家）</w:t>
            </w:r>
          </w:p>
        </w:tc>
        <w:tc>
          <w:tcPr>
            <w:tcW w:w="972" w:type="dxa"/>
            <w:noWrap/>
            <w:vAlign w:val="center"/>
          </w:tcPr>
          <w:p>
            <w:pPr>
              <w:spacing w:line="320" w:lineRule="exact"/>
              <w:jc w:val="center"/>
              <w:rPr>
                <w:sz w:val="21"/>
                <w:szCs w:val="21"/>
              </w:rPr>
            </w:pPr>
            <w:r>
              <w:rPr>
                <w:rFonts w:hint="eastAsia"/>
                <w:sz w:val="21"/>
                <w:szCs w:val="21"/>
              </w:rPr>
              <w:t>650</w:t>
            </w:r>
          </w:p>
        </w:tc>
        <w:tc>
          <w:tcPr>
            <w:tcW w:w="1057" w:type="dxa"/>
            <w:noWrap/>
            <w:vAlign w:val="center"/>
          </w:tcPr>
          <w:p>
            <w:pPr>
              <w:spacing w:line="320" w:lineRule="exact"/>
              <w:jc w:val="center"/>
              <w:rPr>
                <w:sz w:val="21"/>
                <w:szCs w:val="21"/>
              </w:rPr>
            </w:pPr>
            <w:r>
              <w:rPr>
                <w:rFonts w:hint="eastAsia"/>
                <w:sz w:val="21"/>
                <w:szCs w:val="21"/>
              </w:rPr>
              <w:t>700</w:t>
            </w:r>
          </w:p>
        </w:tc>
        <w:tc>
          <w:tcPr>
            <w:tcW w:w="1057" w:type="dxa"/>
            <w:noWrap/>
            <w:vAlign w:val="center"/>
          </w:tcPr>
          <w:p>
            <w:pPr>
              <w:spacing w:line="320" w:lineRule="exact"/>
              <w:jc w:val="center"/>
              <w:rPr>
                <w:sz w:val="21"/>
                <w:szCs w:val="21"/>
              </w:rPr>
            </w:pPr>
            <w:r>
              <w:rPr>
                <w:rFonts w:hint="eastAsia"/>
                <w:sz w:val="21"/>
                <w:szCs w:val="21"/>
              </w:rPr>
              <w:t>750</w:t>
            </w:r>
          </w:p>
        </w:tc>
        <w:tc>
          <w:tcPr>
            <w:tcW w:w="1057" w:type="dxa"/>
            <w:noWrap/>
            <w:vAlign w:val="center"/>
          </w:tcPr>
          <w:p>
            <w:pPr>
              <w:spacing w:line="320" w:lineRule="exact"/>
              <w:jc w:val="center"/>
              <w:rPr>
                <w:sz w:val="21"/>
                <w:szCs w:val="21"/>
              </w:rPr>
            </w:pPr>
            <w:r>
              <w:rPr>
                <w:rFonts w:hint="eastAsia"/>
                <w:sz w:val="21"/>
                <w:szCs w:val="21"/>
              </w:rPr>
              <w:t>800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noWrap/>
            <w:vAlign w:val="center"/>
          </w:tcPr>
          <w:p>
            <w:pPr>
              <w:pStyle w:val="2"/>
              <w:spacing w:line="320" w:lineRule="exact"/>
              <w:jc w:val="center"/>
              <w:rPr>
                <w:rFonts w:ascii="仿宋_GB2312" w:hAnsi="Times New Roman" w:eastAsia="仿宋_GB2312" w:cs="Times New Roman"/>
                <w:b w:val="0"/>
                <w:bCs w:val="0"/>
              </w:rPr>
            </w:pPr>
            <w:r>
              <w:rPr>
                <w:rFonts w:hint="eastAsia" w:ascii="仿宋_GB2312" w:hAnsi="Times New Roman" w:eastAsia="仿宋_GB2312" w:cs="Times New Roman"/>
                <w:b w:val="0"/>
                <w:bCs w:val="0"/>
              </w:rPr>
              <w:t>绿色低碳服务</w:t>
            </w:r>
          </w:p>
        </w:tc>
        <w:tc>
          <w:tcPr>
            <w:tcW w:w="2972" w:type="dxa"/>
            <w:noWrap/>
            <w:vAlign w:val="center"/>
          </w:tcPr>
          <w:p>
            <w:pPr>
              <w:spacing w:line="320" w:lineRule="exact"/>
              <w:rPr>
                <w:sz w:val="21"/>
                <w:szCs w:val="21"/>
              </w:rPr>
            </w:pPr>
            <w:r>
              <w:rPr>
                <w:rFonts w:hint="eastAsia"/>
                <w:sz w:val="21"/>
                <w:szCs w:val="21"/>
              </w:rPr>
              <w:t>非化石能源占能源消费总量比重（%）</w:t>
            </w:r>
          </w:p>
        </w:tc>
        <w:tc>
          <w:tcPr>
            <w:tcW w:w="972" w:type="dxa"/>
            <w:noWrap/>
            <w:vAlign w:val="center"/>
          </w:tcPr>
          <w:p>
            <w:pPr>
              <w:spacing w:line="320" w:lineRule="exact"/>
              <w:jc w:val="center"/>
              <w:rPr>
                <w:sz w:val="21"/>
                <w:szCs w:val="21"/>
              </w:rPr>
            </w:pPr>
            <w:r>
              <w:rPr>
                <w:rFonts w:hint="eastAsia"/>
                <w:sz w:val="21"/>
                <w:szCs w:val="21"/>
              </w:rPr>
              <w:t>10</w:t>
            </w:r>
          </w:p>
        </w:tc>
        <w:tc>
          <w:tcPr>
            <w:tcW w:w="1057" w:type="dxa"/>
            <w:noWrap/>
            <w:vAlign w:val="center"/>
          </w:tcPr>
          <w:p>
            <w:pPr>
              <w:spacing w:line="320" w:lineRule="exact"/>
              <w:jc w:val="center"/>
              <w:rPr>
                <w:sz w:val="21"/>
                <w:szCs w:val="21"/>
              </w:rPr>
            </w:pPr>
            <w:r>
              <w:rPr>
                <w:rFonts w:hint="eastAsia"/>
                <w:sz w:val="21"/>
                <w:szCs w:val="21"/>
              </w:rPr>
              <w:t>11</w:t>
            </w:r>
          </w:p>
        </w:tc>
        <w:tc>
          <w:tcPr>
            <w:tcW w:w="1057" w:type="dxa"/>
            <w:noWrap/>
            <w:vAlign w:val="center"/>
          </w:tcPr>
          <w:p>
            <w:pPr>
              <w:spacing w:line="320" w:lineRule="exact"/>
              <w:jc w:val="center"/>
              <w:rPr>
                <w:sz w:val="21"/>
                <w:szCs w:val="21"/>
              </w:rPr>
            </w:pPr>
            <w:r>
              <w:rPr>
                <w:rFonts w:hint="eastAsia"/>
                <w:sz w:val="21"/>
                <w:szCs w:val="21"/>
              </w:rPr>
              <w:t>12</w:t>
            </w:r>
          </w:p>
        </w:tc>
        <w:tc>
          <w:tcPr>
            <w:tcW w:w="1057" w:type="dxa"/>
            <w:noWrap/>
            <w:vAlign w:val="center"/>
          </w:tcPr>
          <w:p>
            <w:pPr>
              <w:spacing w:line="320" w:lineRule="exact"/>
              <w:jc w:val="center"/>
              <w:rPr>
                <w:sz w:val="21"/>
                <w:szCs w:val="21"/>
              </w:rPr>
            </w:pPr>
            <w:r>
              <w:rPr>
                <w:rFonts w:hint="eastAsia"/>
                <w:sz w:val="21"/>
                <w:szCs w:val="21"/>
              </w:rPr>
              <w:t>13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noWrap/>
            <w:vAlign w:val="center"/>
          </w:tcPr>
          <w:p>
            <w:pPr>
              <w:spacing w:line="320" w:lineRule="exact"/>
              <w:jc w:val="center"/>
              <w:rPr>
                <w:sz w:val="21"/>
                <w:szCs w:val="21"/>
              </w:rPr>
            </w:pPr>
            <w:r>
              <w:rPr>
                <w:rFonts w:hint="eastAsia"/>
                <w:sz w:val="21"/>
                <w:szCs w:val="21"/>
              </w:rPr>
              <w:t>现代商贸</w:t>
            </w:r>
          </w:p>
        </w:tc>
        <w:tc>
          <w:tcPr>
            <w:tcW w:w="2972" w:type="dxa"/>
            <w:noWrap/>
          </w:tcPr>
          <w:p>
            <w:pPr>
              <w:spacing w:line="320" w:lineRule="exact"/>
              <w:rPr>
                <w:sz w:val="21"/>
                <w:szCs w:val="21"/>
              </w:rPr>
            </w:pPr>
            <w:r>
              <w:rPr>
                <w:rFonts w:hint="eastAsia"/>
                <w:sz w:val="21"/>
                <w:szCs w:val="21"/>
              </w:rPr>
              <w:t>引进各类品牌首店、旗舰店或功能首店累计数（家）</w:t>
            </w:r>
          </w:p>
        </w:tc>
        <w:tc>
          <w:tcPr>
            <w:tcW w:w="972" w:type="dxa"/>
            <w:noWrap/>
          </w:tcPr>
          <w:p>
            <w:pPr>
              <w:spacing w:line="320" w:lineRule="exact"/>
              <w:jc w:val="center"/>
              <w:rPr>
                <w:sz w:val="21"/>
                <w:szCs w:val="21"/>
              </w:rPr>
            </w:pPr>
            <w:r>
              <w:rPr>
                <w:rFonts w:hint="eastAsia"/>
                <w:sz w:val="21"/>
                <w:szCs w:val="21"/>
              </w:rPr>
              <w:t>400</w:t>
            </w:r>
          </w:p>
        </w:tc>
        <w:tc>
          <w:tcPr>
            <w:tcW w:w="1057" w:type="dxa"/>
            <w:noWrap/>
          </w:tcPr>
          <w:p>
            <w:pPr>
              <w:spacing w:line="320" w:lineRule="exact"/>
              <w:jc w:val="center"/>
              <w:rPr>
                <w:sz w:val="21"/>
                <w:szCs w:val="21"/>
              </w:rPr>
            </w:pPr>
            <w:r>
              <w:rPr>
                <w:rFonts w:hint="eastAsia"/>
                <w:sz w:val="21"/>
                <w:szCs w:val="21"/>
              </w:rPr>
              <w:t>600</w:t>
            </w:r>
          </w:p>
        </w:tc>
        <w:tc>
          <w:tcPr>
            <w:tcW w:w="1057" w:type="dxa"/>
            <w:noWrap/>
          </w:tcPr>
          <w:p>
            <w:pPr>
              <w:spacing w:line="320" w:lineRule="exact"/>
              <w:jc w:val="center"/>
              <w:rPr>
                <w:sz w:val="21"/>
                <w:szCs w:val="21"/>
              </w:rPr>
            </w:pPr>
            <w:r>
              <w:rPr>
                <w:rFonts w:hint="eastAsia"/>
                <w:sz w:val="21"/>
                <w:szCs w:val="21"/>
              </w:rPr>
              <w:t>800</w:t>
            </w:r>
          </w:p>
        </w:tc>
        <w:tc>
          <w:tcPr>
            <w:tcW w:w="1057" w:type="dxa"/>
            <w:noWrap/>
          </w:tcPr>
          <w:p>
            <w:pPr>
              <w:spacing w:line="320" w:lineRule="exact"/>
              <w:jc w:val="center"/>
              <w:rPr>
                <w:sz w:val="21"/>
                <w:szCs w:val="21"/>
              </w:rPr>
            </w:pPr>
            <w:r>
              <w:rPr>
                <w:rFonts w:hint="eastAsia"/>
                <w:sz w:val="21"/>
                <w:szCs w:val="21"/>
              </w:rPr>
              <w:t>1000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noWrap/>
            <w:vAlign w:val="center"/>
          </w:tcPr>
          <w:p>
            <w:pPr>
              <w:spacing w:line="320" w:lineRule="exact"/>
              <w:jc w:val="center"/>
              <w:rPr>
                <w:sz w:val="21"/>
                <w:szCs w:val="21"/>
              </w:rPr>
            </w:pPr>
            <w:r>
              <w:rPr>
                <w:rFonts w:hint="eastAsia"/>
                <w:sz w:val="21"/>
                <w:szCs w:val="21"/>
              </w:rPr>
              <w:t>文化消费</w:t>
            </w:r>
          </w:p>
        </w:tc>
        <w:tc>
          <w:tcPr>
            <w:tcW w:w="2972" w:type="dxa"/>
            <w:noWrap/>
            <w:vAlign w:val="center"/>
          </w:tcPr>
          <w:p>
            <w:pPr>
              <w:spacing w:line="320" w:lineRule="exact"/>
              <w:rPr>
                <w:sz w:val="21"/>
                <w:szCs w:val="21"/>
              </w:rPr>
            </w:pPr>
            <w:r>
              <w:rPr>
                <w:rFonts w:hint="eastAsia"/>
                <w:sz w:val="21"/>
                <w:szCs w:val="21"/>
              </w:rPr>
              <w:t>数字文化产业营收增速（%）</w:t>
            </w:r>
          </w:p>
        </w:tc>
        <w:tc>
          <w:tcPr>
            <w:tcW w:w="972" w:type="dxa"/>
            <w:noWrap/>
            <w:vAlign w:val="center"/>
          </w:tcPr>
          <w:p>
            <w:pPr>
              <w:spacing w:line="320" w:lineRule="exact"/>
              <w:jc w:val="center"/>
              <w:rPr>
                <w:sz w:val="21"/>
                <w:szCs w:val="21"/>
              </w:rPr>
            </w:pPr>
            <w:r>
              <w:rPr>
                <w:rFonts w:hint="eastAsia"/>
                <w:sz w:val="21"/>
                <w:szCs w:val="21"/>
              </w:rPr>
              <w:t>20</w:t>
            </w:r>
          </w:p>
        </w:tc>
        <w:tc>
          <w:tcPr>
            <w:tcW w:w="1057" w:type="dxa"/>
            <w:noWrap/>
            <w:vAlign w:val="center"/>
          </w:tcPr>
          <w:p>
            <w:pPr>
              <w:spacing w:line="320" w:lineRule="exact"/>
              <w:jc w:val="center"/>
              <w:rPr>
                <w:sz w:val="21"/>
                <w:szCs w:val="21"/>
              </w:rPr>
            </w:pPr>
            <w:r>
              <w:rPr>
                <w:rFonts w:hint="eastAsia"/>
                <w:sz w:val="21"/>
                <w:szCs w:val="21"/>
              </w:rPr>
              <w:t>20</w:t>
            </w:r>
          </w:p>
        </w:tc>
        <w:tc>
          <w:tcPr>
            <w:tcW w:w="1057" w:type="dxa"/>
            <w:noWrap/>
            <w:vAlign w:val="center"/>
          </w:tcPr>
          <w:p>
            <w:pPr>
              <w:spacing w:line="320" w:lineRule="exact"/>
              <w:jc w:val="center"/>
              <w:rPr>
                <w:sz w:val="21"/>
                <w:szCs w:val="21"/>
              </w:rPr>
            </w:pPr>
            <w:r>
              <w:rPr>
                <w:rFonts w:hint="eastAsia"/>
                <w:sz w:val="21"/>
                <w:szCs w:val="21"/>
              </w:rPr>
              <w:t>20</w:t>
            </w:r>
          </w:p>
        </w:tc>
        <w:tc>
          <w:tcPr>
            <w:tcW w:w="1057" w:type="dxa"/>
            <w:noWrap/>
            <w:vAlign w:val="center"/>
          </w:tcPr>
          <w:p>
            <w:pPr>
              <w:spacing w:line="320" w:lineRule="exact"/>
              <w:jc w:val="center"/>
              <w:rPr>
                <w:sz w:val="21"/>
                <w:szCs w:val="21"/>
              </w:rPr>
            </w:pPr>
            <w:r>
              <w:rPr>
                <w:rFonts w:hint="eastAsia"/>
                <w:sz w:val="21"/>
                <w:szCs w:val="21"/>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vMerge w:val="restart"/>
            <w:noWrap/>
            <w:vAlign w:val="center"/>
          </w:tcPr>
          <w:p>
            <w:pPr>
              <w:spacing w:line="320" w:lineRule="exact"/>
              <w:jc w:val="center"/>
              <w:rPr>
                <w:sz w:val="21"/>
                <w:szCs w:val="21"/>
              </w:rPr>
            </w:pPr>
            <w:r>
              <w:rPr>
                <w:rFonts w:hint="eastAsia"/>
                <w:sz w:val="21"/>
                <w:szCs w:val="21"/>
              </w:rPr>
              <w:t>旅游康养</w:t>
            </w:r>
          </w:p>
        </w:tc>
        <w:tc>
          <w:tcPr>
            <w:tcW w:w="2972" w:type="dxa"/>
            <w:noWrap/>
            <w:vAlign w:val="center"/>
          </w:tcPr>
          <w:p>
            <w:pPr>
              <w:spacing w:line="320" w:lineRule="exact"/>
              <w:rPr>
                <w:sz w:val="21"/>
                <w:szCs w:val="21"/>
              </w:rPr>
            </w:pPr>
            <w:r>
              <w:rPr>
                <w:rFonts w:hint="eastAsia"/>
                <w:sz w:val="21"/>
                <w:szCs w:val="21"/>
              </w:rPr>
              <w:t>旅游总收入（亿元）</w:t>
            </w:r>
          </w:p>
        </w:tc>
        <w:tc>
          <w:tcPr>
            <w:tcW w:w="972" w:type="dxa"/>
            <w:noWrap/>
            <w:vAlign w:val="center"/>
          </w:tcPr>
          <w:p>
            <w:pPr>
              <w:spacing w:line="320" w:lineRule="exact"/>
              <w:jc w:val="center"/>
              <w:rPr>
                <w:sz w:val="21"/>
                <w:szCs w:val="21"/>
              </w:rPr>
            </w:pPr>
            <w:r>
              <w:rPr>
                <w:rFonts w:hint="eastAsia"/>
                <w:sz w:val="21"/>
                <w:szCs w:val="21"/>
              </w:rPr>
              <w:t>2500</w:t>
            </w:r>
          </w:p>
        </w:tc>
        <w:tc>
          <w:tcPr>
            <w:tcW w:w="1057" w:type="dxa"/>
            <w:noWrap/>
            <w:vAlign w:val="center"/>
          </w:tcPr>
          <w:p>
            <w:pPr>
              <w:spacing w:line="320" w:lineRule="exact"/>
              <w:jc w:val="center"/>
              <w:rPr>
                <w:sz w:val="21"/>
                <w:szCs w:val="21"/>
              </w:rPr>
            </w:pPr>
            <w:r>
              <w:rPr>
                <w:rFonts w:hint="eastAsia"/>
                <w:sz w:val="21"/>
                <w:szCs w:val="21"/>
              </w:rPr>
              <w:t>2900</w:t>
            </w:r>
          </w:p>
        </w:tc>
        <w:tc>
          <w:tcPr>
            <w:tcW w:w="1057" w:type="dxa"/>
            <w:noWrap/>
            <w:vAlign w:val="center"/>
          </w:tcPr>
          <w:p>
            <w:pPr>
              <w:spacing w:line="320" w:lineRule="exact"/>
              <w:jc w:val="center"/>
              <w:rPr>
                <w:sz w:val="21"/>
                <w:szCs w:val="21"/>
              </w:rPr>
            </w:pPr>
            <w:r>
              <w:rPr>
                <w:rFonts w:hint="eastAsia"/>
                <w:sz w:val="21"/>
                <w:szCs w:val="21"/>
              </w:rPr>
              <w:t>3300</w:t>
            </w:r>
          </w:p>
        </w:tc>
        <w:tc>
          <w:tcPr>
            <w:tcW w:w="1057" w:type="dxa"/>
            <w:noWrap/>
            <w:vAlign w:val="center"/>
          </w:tcPr>
          <w:p>
            <w:pPr>
              <w:spacing w:line="320" w:lineRule="exact"/>
              <w:jc w:val="center"/>
              <w:rPr>
                <w:sz w:val="21"/>
                <w:szCs w:val="21"/>
              </w:rPr>
            </w:pPr>
            <w:r>
              <w:rPr>
                <w:rFonts w:hint="eastAsia"/>
                <w:sz w:val="21"/>
                <w:szCs w:val="21"/>
              </w:rPr>
              <w:t>3700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598" w:type="dxa"/>
            <w:vMerge w:val="continue"/>
            <w:noWrap/>
            <w:vAlign w:val="center"/>
          </w:tcPr>
          <w:p>
            <w:pPr>
              <w:spacing w:line="320" w:lineRule="exact"/>
              <w:jc w:val="center"/>
              <w:rPr>
                <w:sz w:val="21"/>
                <w:szCs w:val="21"/>
              </w:rPr>
            </w:pPr>
          </w:p>
        </w:tc>
        <w:tc>
          <w:tcPr>
            <w:tcW w:w="1359" w:type="dxa"/>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养老机构总床位（张）</w:t>
            </w:r>
          </w:p>
        </w:tc>
        <w:tc>
          <w:tcPr>
            <w:tcW w:w="972" w:type="dxa"/>
            <w:noWrap/>
            <w:vAlign w:val="center"/>
          </w:tcPr>
          <w:p>
            <w:pPr>
              <w:spacing w:line="320" w:lineRule="exact"/>
              <w:jc w:val="center"/>
              <w:rPr>
                <w:sz w:val="21"/>
                <w:szCs w:val="21"/>
              </w:rPr>
            </w:pPr>
            <w:r>
              <w:rPr>
                <w:rFonts w:hint="eastAsia"/>
                <w:sz w:val="21"/>
                <w:szCs w:val="21"/>
              </w:rPr>
              <w:t>55900</w:t>
            </w:r>
          </w:p>
        </w:tc>
        <w:tc>
          <w:tcPr>
            <w:tcW w:w="1057" w:type="dxa"/>
            <w:noWrap/>
            <w:vAlign w:val="center"/>
          </w:tcPr>
          <w:p>
            <w:pPr>
              <w:spacing w:line="320" w:lineRule="exact"/>
              <w:jc w:val="center"/>
              <w:rPr>
                <w:sz w:val="21"/>
                <w:szCs w:val="21"/>
              </w:rPr>
            </w:pPr>
            <w:r>
              <w:rPr>
                <w:rFonts w:hint="eastAsia"/>
                <w:sz w:val="21"/>
                <w:szCs w:val="21"/>
              </w:rPr>
              <w:t>58900</w:t>
            </w:r>
          </w:p>
        </w:tc>
        <w:tc>
          <w:tcPr>
            <w:tcW w:w="1057" w:type="dxa"/>
            <w:noWrap/>
            <w:vAlign w:val="center"/>
          </w:tcPr>
          <w:p>
            <w:pPr>
              <w:spacing w:line="320" w:lineRule="exact"/>
              <w:jc w:val="center"/>
              <w:rPr>
                <w:sz w:val="21"/>
                <w:szCs w:val="21"/>
              </w:rPr>
            </w:pPr>
            <w:r>
              <w:rPr>
                <w:rFonts w:hint="eastAsia"/>
                <w:sz w:val="21"/>
                <w:szCs w:val="21"/>
              </w:rPr>
              <w:t>61900</w:t>
            </w:r>
          </w:p>
        </w:tc>
        <w:tc>
          <w:tcPr>
            <w:tcW w:w="1057" w:type="dxa"/>
            <w:noWrap/>
            <w:vAlign w:val="center"/>
          </w:tcPr>
          <w:p>
            <w:pPr>
              <w:spacing w:line="320" w:lineRule="exact"/>
              <w:jc w:val="center"/>
              <w:rPr>
                <w:sz w:val="21"/>
                <w:szCs w:val="21"/>
              </w:rPr>
            </w:pPr>
            <w:r>
              <w:rPr>
                <w:rFonts w:hint="eastAsia"/>
                <w:sz w:val="21"/>
                <w:szCs w:val="21"/>
              </w:rPr>
              <w:t>65000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restart"/>
            <w:noWrap/>
            <w:vAlign w:val="center"/>
          </w:tcPr>
          <w:p>
            <w:pPr>
              <w:spacing w:line="320" w:lineRule="exact"/>
              <w:jc w:val="center"/>
              <w:rPr>
                <w:sz w:val="21"/>
                <w:szCs w:val="21"/>
              </w:rPr>
            </w:pPr>
            <w:r>
              <w:rPr>
                <w:rFonts w:hint="eastAsia"/>
                <w:sz w:val="21"/>
                <w:szCs w:val="21"/>
              </w:rPr>
              <w:t>创新企业</w:t>
            </w:r>
          </w:p>
        </w:tc>
        <w:tc>
          <w:tcPr>
            <w:tcW w:w="2972" w:type="dxa"/>
            <w:noWrap/>
            <w:vAlign w:val="center"/>
          </w:tcPr>
          <w:p>
            <w:pPr>
              <w:spacing w:line="320" w:lineRule="exact"/>
              <w:rPr>
                <w:sz w:val="21"/>
                <w:szCs w:val="21"/>
              </w:rPr>
            </w:pPr>
            <w:r>
              <w:rPr>
                <w:rFonts w:hint="eastAsia"/>
                <w:sz w:val="21"/>
                <w:szCs w:val="21"/>
              </w:rPr>
              <w:t>累计省、市服务业领域领军企业（家）</w:t>
            </w:r>
          </w:p>
        </w:tc>
        <w:tc>
          <w:tcPr>
            <w:tcW w:w="972" w:type="dxa"/>
            <w:noWrap/>
            <w:vAlign w:val="center"/>
          </w:tcPr>
          <w:p>
            <w:pPr>
              <w:spacing w:line="320" w:lineRule="exact"/>
              <w:jc w:val="center"/>
              <w:rPr>
                <w:sz w:val="21"/>
                <w:szCs w:val="21"/>
              </w:rPr>
            </w:pPr>
            <w:r>
              <w:rPr>
                <w:rFonts w:hint="eastAsia"/>
                <w:sz w:val="21"/>
                <w:szCs w:val="21"/>
              </w:rPr>
              <w:t>20</w:t>
            </w:r>
          </w:p>
        </w:tc>
        <w:tc>
          <w:tcPr>
            <w:tcW w:w="1057" w:type="dxa"/>
            <w:noWrap/>
            <w:vAlign w:val="center"/>
          </w:tcPr>
          <w:p>
            <w:pPr>
              <w:spacing w:line="320" w:lineRule="exact"/>
              <w:jc w:val="center"/>
              <w:rPr>
                <w:sz w:val="21"/>
                <w:szCs w:val="21"/>
              </w:rPr>
            </w:pPr>
            <w:r>
              <w:rPr>
                <w:rFonts w:hint="eastAsia"/>
                <w:sz w:val="21"/>
                <w:szCs w:val="21"/>
              </w:rPr>
              <w:t>40</w:t>
            </w:r>
          </w:p>
        </w:tc>
        <w:tc>
          <w:tcPr>
            <w:tcW w:w="1057" w:type="dxa"/>
            <w:noWrap/>
            <w:vAlign w:val="center"/>
          </w:tcPr>
          <w:p>
            <w:pPr>
              <w:spacing w:line="320" w:lineRule="exact"/>
              <w:jc w:val="center"/>
              <w:rPr>
                <w:sz w:val="21"/>
                <w:szCs w:val="21"/>
              </w:rPr>
            </w:pPr>
            <w:r>
              <w:rPr>
                <w:rFonts w:hint="eastAsia"/>
                <w:sz w:val="21"/>
                <w:szCs w:val="21"/>
              </w:rPr>
              <w:t>60</w:t>
            </w:r>
          </w:p>
        </w:tc>
        <w:tc>
          <w:tcPr>
            <w:tcW w:w="1057" w:type="dxa"/>
            <w:noWrap/>
            <w:vAlign w:val="center"/>
          </w:tcPr>
          <w:p>
            <w:pPr>
              <w:spacing w:line="320" w:lineRule="exact"/>
              <w:jc w:val="center"/>
              <w:rPr>
                <w:sz w:val="21"/>
                <w:szCs w:val="21"/>
              </w:rPr>
            </w:pPr>
            <w:r>
              <w:rPr>
                <w:rFonts w:hint="eastAsia"/>
                <w:sz w:val="21"/>
                <w:szCs w:val="21"/>
              </w:rPr>
              <w:t>80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市级总部企业（家）</w:t>
            </w:r>
          </w:p>
        </w:tc>
        <w:tc>
          <w:tcPr>
            <w:tcW w:w="972" w:type="dxa"/>
            <w:noWrap/>
            <w:vAlign w:val="center"/>
          </w:tcPr>
          <w:p>
            <w:pPr>
              <w:spacing w:line="320" w:lineRule="exact"/>
              <w:jc w:val="center"/>
              <w:rPr>
                <w:sz w:val="21"/>
                <w:szCs w:val="21"/>
              </w:rPr>
            </w:pPr>
            <w:r>
              <w:rPr>
                <w:rFonts w:hint="eastAsia"/>
                <w:sz w:val="21"/>
                <w:szCs w:val="21"/>
              </w:rPr>
              <w:t>220</w:t>
            </w:r>
          </w:p>
        </w:tc>
        <w:tc>
          <w:tcPr>
            <w:tcW w:w="1057" w:type="dxa"/>
            <w:noWrap/>
            <w:vAlign w:val="center"/>
          </w:tcPr>
          <w:p>
            <w:pPr>
              <w:spacing w:line="320" w:lineRule="exact"/>
              <w:jc w:val="center"/>
              <w:rPr>
                <w:sz w:val="21"/>
                <w:szCs w:val="21"/>
              </w:rPr>
            </w:pPr>
            <w:r>
              <w:rPr>
                <w:rFonts w:hint="eastAsia"/>
                <w:sz w:val="21"/>
                <w:szCs w:val="21"/>
              </w:rPr>
              <w:t>240</w:t>
            </w:r>
          </w:p>
        </w:tc>
        <w:tc>
          <w:tcPr>
            <w:tcW w:w="1057" w:type="dxa"/>
            <w:noWrap/>
            <w:vAlign w:val="center"/>
          </w:tcPr>
          <w:p>
            <w:pPr>
              <w:spacing w:line="320" w:lineRule="exact"/>
              <w:jc w:val="center"/>
              <w:rPr>
                <w:sz w:val="21"/>
                <w:szCs w:val="21"/>
              </w:rPr>
            </w:pPr>
            <w:r>
              <w:rPr>
                <w:rFonts w:hint="eastAsia"/>
                <w:sz w:val="21"/>
                <w:szCs w:val="21"/>
              </w:rPr>
              <w:t>270</w:t>
            </w:r>
          </w:p>
        </w:tc>
        <w:tc>
          <w:tcPr>
            <w:tcW w:w="1057" w:type="dxa"/>
            <w:noWrap/>
            <w:vAlign w:val="center"/>
          </w:tcPr>
          <w:p>
            <w:pPr>
              <w:spacing w:line="320" w:lineRule="exact"/>
              <w:jc w:val="center"/>
              <w:rPr>
                <w:sz w:val="21"/>
                <w:szCs w:val="21"/>
              </w:rPr>
            </w:pPr>
            <w:r>
              <w:rPr>
                <w:rFonts w:hint="eastAsia"/>
                <w:sz w:val="21"/>
                <w:szCs w:val="21"/>
              </w:rPr>
              <w:t>300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累计省级两业融合发展标杆典型（家）</w:t>
            </w:r>
          </w:p>
        </w:tc>
        <w:tc>
          <w:tcPr>
            <w:tcW w:w="972" w:type="dxa"/>
            <w:noWrap/>
            <w:vAlign w:val="center"/>
          </w:tcPr>
          <w:p>
            <w:pPr>
              <w:spacing w:line="320" w:lineRule="exact"/>
              <w:jc w:val="center"/>
              <w:rPr>
                <w:sz w:val="21"/>
                <w:szCs w:val="21"/>
              </w:rPr>
            </w:pPr>
            <w:r>
              <w:rPr>
                <w:rFonts w:hint="eastAsia"/>
                <w:sz w:val="21"/>
                <w:szCs w:val="21"/>
              </w:rPr>
              <w:t>5</w:t>
            </w:r>
          </w:p>
        </w:tc>
        <w:tc>
          <w:tcPr>
            <w:tcW w:w="1057" w:type="dxa"/>
            <w:noWrap/>
            <w:vAlign w:val="center"/>
          </w:tcPr>
          <w:p>
            <w:pPr>
              <w:spacing w:line="320" w:lineRule="exact"/>
              <w:jc w:val="center"/>
              <w:rPr>
                <w:sz w:val="21"/>
                <w:szCs w:val="21"/>
              </w:rPr>
            </w:pPr>
            <w:r>
              <w:rPr>
                <w:rFonts w:hint="eastAsia"/>
                <w:sz w:val="21"/>
                <w:szCs w:val="21"/>
              </w:rPr>
              <w:t>10</w:t>
            </w:r>
          </w:p>
        </w:tc>
        <w:tc>
          <w:tcPr>
            <w:tcW w:w="1057" w:type="dxa"/>
            <w:noWrap/>
            <w:vAlign w:val="center"/>
          </w:tcPr>
          <w:p>
            <w:pPr>
              <w:spacing w:line="320" w:lineRule="exact"/>
              <w:jc w:val="center"/>
              <w:rPr>
                <w:sz w:val="21"/>
                <w:szCs w:val="21"/>
              </w:rPr>
            </w:pPr>
            <w:r>
              <w:rPr>
                <w:rFonts w:hint="eastAsia"/>
                <w:sz w:val="21"/>
                <w:szCs w:val="21"/>
              </w:rPr>
              <w:t>15</w:t>
            </w:r>
          </w:p>
        </w:tc>
        <w:tc>
          <w:tcPr>
            <w:tcW w:w="1057" w:type="dxa"/>
            <w:noWrap/>
            <w:vAlign w:val="center"/>
          </w:tcPr>
          <w:p>
            <w:pPr>
              <w:spacing w:line="320" w:lineRule="exact"/>
              <w:jc w:val="center"/>
              <w:rPr>
                <w:sz w:val="21"/>
                <w:szCs w:val="21"/>
              </w:rPr>
            </w:pPr>
            <w:r>
              <w:rPr>
                <w:rFonts w:hint="eastAsia"/>
                <w:sz w:val="21"/>
                <w:szCs w:val="21"/>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noWrap/>
            <w:vAlign w:val="center"/>
          </w:tcPr>
          <w:p>
            <w:pPr>
              <w:spacing w:line="320" w:lineRule="exact"/>
              <w:jc w:val="center"/>
              <w:rPr>
                <w:sz w:val="21"/>
                <w:szCs w:val="21"/>
              </w:rPr>
            </w:pPr>
            <w:r>
              <w:rPr>
                <w:rFonts w:hint="eastAsia"/>
                <w:sz w:val="21"/>
                <w:szCs w:val="21"/>
              </w:rPr>
              <w:t>创新人才</w:t>
            </w:r>
          </w:p>
        </w:tc>
        <w:tc>
          <w:tcPr>
            <w:tcW w:w="2972" w:type="dxa"/>
            <w:noWrap/>
            <w:vAlign w:val="center"/>
          </w:tcPr>
          <w:p>
            <w:pPr>
              <w:spacing w:line="320" w:lineRule="exact"/>
              <w:rPr>
                <w:sz w:val="21"/>
                <w:szCs w:val="21"/>
              </w:rPr>
            </w:pPr>
            <w:r>
              <w:rPr>
                <w:rFonts w:hint="eastAsia"/>
                <w:sz w:val="21"/>
                <w:szCs w:val="21"/>
              </w:rPr>
              <w:t>年度入选市级以上双创人才（人）</w:t>
            </w:r>
          </w:p>
        </w:tc>
        <w:tc>
          <w:tcPr>
            <w:tcW w:w="972" w:type="dxa"/>
            <w:noWrap/>
            <w:vAlign w:val="center"/>
          </w:tcPr>
          <w:p>
            <w:pPr>
              <w:spacing w:line="320" w:lineRule="exact"/>
              <w:jc w:val="center"/>
              <w:rPr>
                <w:sz w:val="21"/>
                <w:szCs w:val="21"/>
              </w:rPr>
            </w:pPr>
            <w:r>
              <w:rPr>
                <w:rFonts w:hint="eastAsia"/>
                <w:sz w:val="21"/>
                <w:szCs w:val="21"/>
              </w:rPr>
              <w:t>600</w:t>
            </w:r>
          </w:p>
        </w:tc>
        <w:tc>
          <w:tcPr>
            <w:tcW w:w="1057" w:type="dxa"/>
            <w:noWrap/>
            <w:vAlign w:val="center"/>
          </w:tcPr>
          <w:p>
            <w:pPr>
              <w:spacing w:line="320" w:lineRule="exact"/>
              <w:jc w:val="center"/>
              <w:rPr>
                <w:sz w:val="21"/>
                <w:szCs w:val="21"/>
              </w:rPr>
            </w:pPr>
            <w:r>
              <w:rPr>
                <w:rFonts w:hint="eastAsia"/>
                <w:sz w:val="21"/>
                <w:szCs w:val="21"/>
              </w:rPr>
              <w:t>600</w:t>
            </w:r>
          </w:p>
        </w:tc>
        <w:tc>
          <w:tcPr>
            <w:tcW w:w="1057" w:type="dxa"/>
            <w:noWrap/>
            <w:vAlign w:val="center"/>
          </w:tcPr>
          <w:p>
            <w:pPr>
              <w:spacing w:line="320" w:lineRule="exact"/>
              <w:jc w:val="center"/>
              <w:rPr>
                <w:sz w:val="21"/>
                <w:szCs w:val="21"/>
              </w:rPr>
            </w:pPr>
            <w:r>
              <w:rPr>
                <w:rFonts w:hint="eastAsia"/>
                <w:sz w:val="21"/>
                <w:szCs w:val="21"/>
              </w:rPr>
              <w:t>600</w:t>
            </w:r>
          </w:p>
        </w:tc>
        <w:tc>
          <w:tcPr>
            <w:tcW w:w="1057" w:type="dxa"/>
            <w:noWrap/>
            <w:vAlign w:val="center"/>
          </w:tcPr>
          <w:p>
            <w:pPr>
              <w:spacing w:line="320" w:lineRule="exact"/>
              <w:jc w:val="center"/>
              <w:rPr>
                <w:sz w:val="21"/>
                <w:szCs w:val="21"/>
              </w:rPr>
            </w:pPr>
            <w:r>
              <w:rPr>
                <w:rFonts w:hint="eastAsia"/>
                <w:sz w:val="21"/>
                <w:szCs w:val="21"/>
              </w:rPr>
              <w:t>600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restart"/>
            <w:noWrap/>
            <w:vAlign w:val="center"/>
          </w:tcPr>
          <w:p>
            <w:pPr>
              <w:spacing w:line="320" w:lineRule="exact"/>
              <w:jc w:val="center"/>
              <w:rPr>
                <w:sz w:val="21"/>
                <w:szCs w:val="21"/>
              </w:rPr>
            </w:pPr>
            <w:r>
              <w:rPr>
                <w:rFonts w:hint="eastAsia"/>
                <w:sz w:val="21"/>
                <w:szCs w:val="21"/>
              </w:rPr>
              <w:t>创新载体</w:t>
            </w:r>
          </w:p>
        </w:tc>
        <w:tc>
          <w:tcPr>
            <w:tcW w:w="2972" w:type="dxa"/>
            <w:noWrap/>
            <w:vAlign w:val="center"/>
          </w:tcPr>
          <w:p>
            <w:pPr>
              <w:spacing w:line="320" w:lineRule="exact"/>
              <w:rPr>
                <w:sz w:val="21"/>
                <w:szCs w:val="21"/>
              </w:rPr>
            </w:pPr>
            <w:r>
              <w:rPr>
                <w:rFonts w:hint="eastAsia"/>
                <w:sz w:val="21"/>
                <w:szCs w:val="21"/>
              </w:rPr>
              <w:t>累计省级现代服务业高质量集聚发展示范区（家）</w:t>
            </w:r>
          </w:p>
        </w:tc>
        <w:tc>
          <w:tcPr>
            <w:tcW w:w="972" w:type="dxa"/>
            <w:noWrap/>
            <w:vAlign w:val="center"/>
          </w:tcPr>
          <w:p>
            <w:pPr>
              <w:spacing w:line="320" w:lineRule="exact"/>
              <w:jc w:val="center"/>
              <w:rPr>
                <w:sz w:val="21"/>
                <w:szCs w:val="21"/>
              </w:rPr>
            </w:pPr>
            <w:r>
              <w:rPr>
                <w:rFonts w:hint="eastAsia"/>
                <w:sz w:val="21"/>
                <w:szCs w:val="21"/>
              </w:rPr>
              <w:t>10</w:t>
            </w:r>
          </w:p>
        </w:tc>
        <w:tc>
          <w:tcPr>
            <w:tcW w:w="1057" w:type="dxa"/>
            <w:noWrap/>
            <w:vAlign w:val="center"/>
          </w:tcPr>
          <w:p>
            <w:pPr>
              <w:spacing w:line="320" w:lineRule="exact"/>
              <w:jc w:val="center"/>
              <w:rPr>
                <w:sz w:val="21"/>
                <w:szCs w:val="21"/>
              </w:rPr>
            </w:pPr>
            <w:r>
              <w:rPr>
                <w:rFonts w:hint="eastAsia"/>
                <w:sz w:val="21"/>
                <w:szCs w:val="21"/>
              </w:rPr>
              <w:t>20</w:t>
            </w:r>
          </w:p>
        </w:tc>
        <w:tc>
          <w:tcPr>
            <w:tcW w:w="1057" w:type="dxa"/>
            <w:noWrap/>
            <w:vAlign w:val="center"/>
          </w:tcPr>
          <w:p>
            <w:pPr>
              <w:spacing w:line="320" w:lineRule="exact"/>
              <w:jc w:val="center"/>
              <w:rPr>
                <w:sz w:val="21"/>
                <w:szCs w:val="21"/>
              </w:rPr>
            </w:pPr>
            <w:r>
              <w:rPr>
                <w:rFonts w:hint="eastAsia"/>
                <w:sz w:val="21"/>
                <w:szCs w:val="21"/>
              </w:rPr>
              <w:t>30</w:t>
            </w:r>
          </w:p>
        </w:tc>
        <w:tc>
          <w:tcPr>
            <w:tcW w:w="1057" w:type="dxa"/>
            <w:noWrap/>
            <w:vAlign w:val="center"/>
          </w:tcPr>
          <w:p>
            <w:pPr>
              <w:spacing w:line="320" w:lineRule="exact"/>
              <w:jc w:val="center"/>
              <w:rPr>
                <w:sz w:val="21"/>
                <w:szCs w:val="21"/>
              </w:rPr>
            </w:pPr>
            <w:r>
              <w:rPr>
                <w:rFonts w:hint="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累计提标升级新兴服务业创新集聚区（家）</w:t>
            </w:r>
          </w:p>
        </w:tc>
        <w:tc>
          <w:tcPr>
            <w:tcW w:w="972" w:type="dxa"/>
            <w:noWrap/>
            <w:vAlign w:val="center"/>
          </w:tcPr>
          <w:p>
            <w:pPr>
              <w:spacing w:line="320" w:lineRule="exact"/>
              <w:jc w:val="center"/>
              <w:rPr>
                <w:sz w:val="21"/>
                <w:szCs w:val="21"/>
              </w:rPr>
            </w:pPr>
            <w:r>
              <w:rPr>
                <w:rFonts w:hint="eastAsia"/>
                <w:sz w:val="21"/>
                <w:szCs w:val="21"/>
              </w:rPr>
              <w:t>5</w:t>
            </w:r>
          </w:p>
        </w:tc>
        <w:tc>
          <w:tcPr>
            <w:tcW w:w="1057" w:type="dxa"/>
            <w:noWrap/>
            <w:vAlign w:val="center"/>
          </w:tcPr>
          <w:p>
            <w:pPr>
              <w:spacing w:line="320" w:lineRule="exact"/>
              <w:jc w:val="center"/>
              <w:rPr>
                <w:sz w:val="21"/>
                <w:szCs w:val="21"/>
              </w:rPr>
            </w:pPr>
            <w:r>
              <w:rPr>
                <w:rFonts w:hint="eastAsia"/>
                <w:sz w:val="21"/>
                <w:szCs w:val="21"/>
              </w:rPr>
              <w:t>10</w:t>
            </w:r>
          </w:p>
        </w:tc>
        <w:tc>
          <w:tcPr>
            <w:tcW w:w="1057" w:type="dxa"/>
            <w:noWrap/>
            <w:vAlign w:val="center"/>
          </w:tcPr>
          <w:p>
            <w:pPr>
              <w:spacing w:line="320" w:lineRule="exact"/>
              <w:jc w:val="center"/>
              <w:rPr>
                <w:sz w:val="21"/>
                <w:szCs w:val="21"/>
              </w:rPr>
            </w:pPr>
            <w:r>
              <w:rPr>
                <w:rFonts w:hint="eastAsia"/>
                <w:sz w:val="21"/>
                <w:szCs w:val="21"/>
              </w:rPr>
              <w:t>15</w:t>
            </w:r>
          </w:p>
        </w:tc>
        <w:tc>
          <w:tcPr>
            <w:tcW w:w="1057" w:type="dxa"/>
            <w:noWrap/>
            <w:vAlign w:val="center"/>
          </w:tcPr>
          <w:p>
            <w:pPr>
              <w:spacing w:line="320" w:lineRule="exact"/>
              <w:jc w:val="center"/>
              <w:rPr>
                <w:sz w:val="21"/>
                <w:szCs w:val="21"/>
              </w:rPr>
            </w:pPr>
            <w:r>
              <w:rPr>
                <w:rFonts w:hint="eastAsia"/>
                <w:sz w:val="21"/>
                <w:szCs w:val="21"/>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累计国家市场监管重点实验室、技术创新中心（个）</w:t>
            </w:r>
          </w:p>
        </w:tc>
        <w:tc>
          <w:tcPr>
            <w:tcW w:w="972" w:type="dxa"/>
            <w:noWrap/>
            <w:vAlign w:val="center"/>
          </w:tcPr>
          <w:p>
            <w:pPr>
              <w:spacing w:line="320" w:lineRule="exact"/>
              <w:jc w:val="center"/>
              <w:rPr>
                <w:sz w:val="21"/>
                <w:szCs w:val="21"/>
              </w:rPr>
            </w:pPr>
            <w:r>
              <w:rPr>
                <w:rFonts w:hint="eastAsia"/>
                <w:sz w:val="21"/>
                <w:szCs w:val="21"/>
              </w:rPr>
              <w:t>0</w:t>
            </w:r>
          </w:p>
        </w:tc>
        <w:tc>
          <w:tcPr>
            <w:tcW w:w="1057" w:type="dxa"/>
            <w:noWrap/>
            <w:vAlign w:val="center"/>
          </w:tcPr>
          <w:p>
            <w:pPr>
              <w:spacing w:line="320" w:lineRule="exact"/>
              <w:jc w:val="center"/>
              <w:rPr>
                <w:sz w:val="21"/>
                <w:szCs w:val="21"/>
              </w:rPr>
            </w:pPr>
            <w:r>
              <w:rPr>
                <w:rFonts w:hint="eastAsia"/>
                <w:sz w:val="21"/>
                <w:szCs w:val="21"/>
              </w:rPr>
              <w:t>0</w:t>
            </w:r>
          </w:p>
        </w:tc>
        <w:tc>
          <w:tcPr>
            <w:tcW w:w="1057" w:type="dxa"/>
            <w:noWrap/>
            <w:vAlign w:val="center"/>
          </w:tcPr>
          <w:p>
            <w:pPr>
              <w:spacing w:line="320" w:lineRule="exact"/>
              <w:jc w:val="center"/>
              <w:rPr>
                <w:sz w:val="21"/>
                <w:szCs w:val="21"/>
              </w:rPr>
            </w:pPr>
            <w:r>
              <w:rPr>
                <w:rFonts w:hint="eastAsia"/>
                <w:sz w:val="21"/>
                <w:szCs w:val="21"/>
              </w:rPr>
              <w:t>1</w:t>
            </w:r>
          </w:p>
        </w:tc>
        <w:tc>
          <w:tcPr>
            <w:tcW w:w="1057" w:type="dxa"/>
            <w:noWrap/>
            <w:vAlign w:val="center"/>
          </w:tcPr>
          <w:p>
            <w:pPr>
              <w:spacing w:line="320" w:lineRule="exact"/>
              <w:jc w:val="center"/>
              <w:rPr>
                <w:sz w:val="21"/>
                <w:szCs w:val="21"/>
              </w:rPr>
            </w:pPr>
            <w:r>
              <w:rPr>
                <w:rFonts w:hint="eastAsia"/>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累计省市场监管重点实验室、技术创新中心（个）</w:t>
            </w:r>
          </w:p>
        </w:tc>
        <w:tc>
          <w:tcPr>
            <w:tcW w:w="972" w:type="dxa"/>
            <w:noWrap/>
            <w:vAlign w:val="center"/>
          </w:tcPr>
          <w:p>
            <w:pPr>
              <w:spacing w:line="320" w:lineRule="exact"/>
              <w:jc w:val="center"/>
              <w:rPr>
                <w:sz w:val="21"/>
                <w:szCs w:val="21"/>
              </w:rPr>
            </w:pPr>
            <w:r>
              <w:rPr>
                <w:rFonts w:hint="eastAsia"/>
                <w:sz w:val="21"/>
                <w:szCs w:val="21"/>
              </w:rPr>
              <w:t>1</w:t>
            </w:r>
          </w:p>
        </w:tc>
        <w:tc>
          <w:tcPr>
            <w:tcW w:w="1057" w:type="dxa"/>
            <w:noWrap/>
            <w:vAlign w:val="center"/>
          </w:tcPr>
          <w:p>
            <w:pPr>
              <w:spacing w:line="320" w:lineRule="exact"/>
              <w:jc w:val="center"/>
              <w:rPr>
                <w:sz w:val="21"/>
                <w:szCs w:val="21"/>
              </w:rPr>
            </w:pPr>
            <w:r>
              <w:rPr>
                <w:rFonts w:hint="eastAsia"/>
                <w:sz w:val="21"/>
                <w:szCs w:val="21"/>
              </w:rPr>
              <w:t>2</w:t>
            </w:r>
          </w:p>
        </w:tc>
        <w:tc>
          <w:tcPr>
            <w:tcW w:w="1057" w:type="dxa"/>
            <w:noWrap/>
            <w:vAlign w:val="center"/>
          </w:tcPr>
          <w:p>
            <w:pPr>
              <w:spacing w:line="320" w:lineRule="exact"/>
              <w:jc w:val="center"/>
              <w:rPr>
                <w:sz w:val="21"/>
                <w:szCs w:val="21"/>
              </w:rPr>
            </w:pPr>
            <w:r>
              <w:rPr>
                <w:rFonts w:hint="eastAsia"/>
                <w:sz w:val="21"/>
                <w:szCs w:val="21"/>
              </w:rPr>
              <w:t>3</w:t>
            </w:r>
          </w:p>
        </w:tc>
        <w:tc>
          <w:tcPr>
            <w:tcW w:w="1057" w:type="dxa"/>
            <w:noWrap/>
            <w:vAlign w:val="center"/>
          </w:tcPr>
          <w:p>
            <w:pPr>
              <w:spacing w:line="320" w:lineRule="exact"/>
              <w:jc w:val="center"/>
              <w:rPr>
                <w:sz w:val="21"/>
                <w:szCs w:val="21"/>
              </w:rPr>
            </w:pPr>
            <w:r>
              <w:rPr>
                <w:rFonts w:hint="eastAsia"/>
                <w:sz w:val="21"/>
                <w:szCs w:val="21"/>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restart"/>
            <w:noWrap/>
            <w:vAlign w:val="center"/>
          </w:tcPr>
          <w:p>
            <w:pPr>
              <w:spacing w:line="320" w:lineRule="exact"/>
              <w:jc w:val="center"/>
              <w:rPr>
                <w:sz w:val="21"/>
                <w:szCs w:val="21"/>
              </w:rPr>
            </w:pPr>
            <w:r>
              <w:rPr>
                <w:rFonts w:hint="eastAsia"/>
                <w:sz w:val="21"/>
                <w:szCs w:val="21"/>
              </w:rPr>
              <w:t>创新生态</w:t>
            </w:r>
          </w:p>
        </w:tc>
        <w:tc>
          <w:tcPr>
            <w:tcW w:w="2972" w:type="dxa"/>
            <w:noWrap/>
            <w:vAlign w:val="center"/>
          </w:tcPr>
          <w:p>
            <w:pPr>
              <w:spacing w:line="320" w:lineRule="exact"/>
              <w:rPr>
                <w:sz w:val="21"/>
                <w:szCs w:val="21"/>
              </w:rPr>
            </w:pPr>
            <w:r>
              <w:rPr>
                <w:rFonts w:hint="eastAsia"/>
                <w:sz w:val="21"/>
                <w:szCs w:val="21"/>
              </w:rPr>
              <w:t>年技术合同成交额（亿元）</w:t>
            </w:r>
          </w:p>
        </w:tc>
        <w:tc>
          <w:tcPr>
            <w:tcW w:w="972" w:type="dxa"/>
            <w:noWrap/>
            <w:vAlign w:val="center"/>
          </w:tcPr>
          <w:p>
            <w:pPr>
              <w:spacing w:line="320" w:lineRule="exact"/>
              <w:jc w:val="center"/>
              <w:rPr>
                <w:sz w:val="21"/>
                <w:szCs w:val="21"/>
              </w:rPr>
            </w:pPr>
            <w:r>
              <w:rPr>
                <w:rFonts w:hint="eastAsia"/>
                <w:sz w:val="21"/>
                <w:szCs w:val="21"/>
              </w:rPr>
              <w:t>700</w:t>
            </w:r>
          </w:p>
        </w:tc>
        <w:tc>
          <w:tcPr>
            <w:tcW w:w="1057" w:type="dxa"/>
            <w:noWrap/>
            <w:vAlign w:val="center"/>
          </w:tcPr>
          <w:p>
            <w:pPr>
              <w:spacing w:line="320" w:lineRule="exact"/>
              <w:jc w:val="center"/>
              <w:rPr>
                <w:sz w:val="21"/>
                <w:szCs w:val="21"/>
              </w:rPr>
            </w:pPr>
            <w:r>
              <w:rPr>
                <w:rFonts w:hint="eastAsia"/>
                <w:sz w:val="21"/>
                <w:szCs w:val="21"/>
              </w:rPr>
              <w:t>800</w:t>
            </w:r>
          </w:p>
        </w:tc>
        <w:tc>
          <w:tcPr>
            <w:tcW w:w="1057" w:type="dxa"/>
            <w:noWrap/>
            <w:vAlign w:val="center"/>
          </w:tcPr>
          <w:p>
            <w:pPr>
              <w:spacing w:line="320" w:lineRule="exact"/>
              <w:jc w:val="center"/>
              <w:rPr>
                <w:sz w:val="21"/>
                <w:szCs w:val="21"/>
              </w:rPr>
            </w:pPr>
            <w:r>
              <w:rPr>
                <w:rFonts w:hint="eastAsia"/>
                <w:sz w:val="21"/>
                <w:szCs w:val="21"/>
              </w:rPr>
              <w:t>900</w:t>
            </w:r>
          </w:p>
        </w:tc>
        <w:tc>
          <w:tcPr>
            <w:tcW w:w="1057" w:type="dxa"/>
            <w:noWrap/>
            <w:vAlign w:val="center"/>
          </w:tcPr>
          <w:p>
            <w:pPr>
              <w:spacing w:line="320" w:lineRule="exact"/>
              <w:jc w:val="center"/>
              <w:rPr>
                <w:sz w:val="21"/>
                <w:szCs w:val="21"/>
              </w:rPr>
            </w:pPr>
            <w:r>
              <w:rPr>
                <w:rFonts w:hint="eastAsia"/>
                <w:sz w:val="21"/>
                <w:szCs w:val="21"/>
              </w:rPr>
              <w:t>1000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jc w:val="center"/>
        </w:trPr>
        <w:tc>
          <w:tcPr>
            <w:tcW w:w="1957" w:type="dxa"/>
            <w:gridSpan w:val="2"/>
            <w:vMerge w:val="continue"/>
            <w:noWrap/>
            <w:vAlign w:val="center"/>
          </w:tcPr>
          <w:p>
            <w:pPr>
              <w:spacing w:line="320" w:lineRule="exact"/>
              <w:jc w:val="center"/>
              <w:rPr>
                <w:sz w:val="21"/>
                <w:szCs w:val="21"/>
              </w:rPr>
            </w:pPr>
          </w:p>
        </w:tc>
        <w:tc>
          <w:tcPr>
            <w:tcW w:w="2972" w:type="dxa"/>
            <w:noWrap/>
            <w:vAlign w:val="center"/>
          </w:tcPr>
          <w:p>
            <w:pPr>
              <w:spacing w:line="320" w:lineRule="exact"/>
              <w:rPr>
                <w:sz w:val="21"/>
                <w:szCs w:val="21"/>
              </w:rPr>
            </w:pPr>
            <w:r>
              <w:rPr>
                <w:rFonts w:hint="eastAsia"/>
                <w:sz w:val="21"/>
                <w:szCs w:val="21"/>
              </w:rPr>
              <w:t>新增新兴服务业上市企业（家）</w:t>
            </w:r>
          </w:p>
        </w:tc>
        <w:tc>
          <w:tcPr>
            <w:tcW w:w="972" w:type="dxa"/>
            <w:noWrap/>
            <w:vAlign w:val="center"/>
          </w:tcPr>
          <w:p>
            <w:pPr>
              <w:spacing w:line="320" w:lineRule="exact"/>
              <w:jc w:val="center"/>
              <w:rPr>
                <w:sz w:val="21"/>
                <w:szCs w:val="21"/>
              </w:rPr>
            </w:pPr>
            <w:r>
              <w:rPr>
                <w:rFonts w:hint="eastAsia"/>
                <w:sz w:val="21"/>
                <w:szCs w:val="21"/>
              </w:rPr>
              <w:t>2～3</w:t>
            </w:r>
          </w:p>
        </w:tc>
        <w:tc>
          <w:tcPr>
            <w:tcW w:w="1057" w:type="dxa"/>
            <w:noWrap/>
            <w:vAlign w:val="center"/>
          </w:tcPr>
          <w:p>
            <w:pPr>
              <w:spacing w:line="320" w:lineRule="exact"/>
              <w:jc w:val="center"/>
              <w:rPr>
                <w:sz w:val="21"/>
                <w:szCs w:val="21"/>
              </w:rPr>
            </w:pPr>
            <w:r>
              <w:rPr>
                <w:rFonts w:hint="eastAsia"/>
                <w:sz w:val="21"/>
                <w:szCs w:val="21"/>
              </w:rPr>
              <w:t>2～3</w:t>
            </w:r>
          </w:p>
        </w:tc>
        <w:tc>
          <w:tcPr>
            <w:tcW w:w="1057" w:type="dxa"/>
            <w:noWrap/>
            <w:vAlign w:val="center"/>
          </w:tcPr>
          <w:p>
            <w:pPr>
              <w:spacing w:line="320" w:lineRule="exact"/>
              <w:jc w:val="center"/>
              <w:rPr>
                <w:sz w:val="21"/>
                <w:szCs w:val="21"/>
              </w:rPr>
            </w:pPr>
            <w:r>
              <w:rPr>
                <w:rFonts w:hint="eastAsia"/>
                <w:sz w:val="21"/>
                <w:szCs w:val="21"/>
              </w:rPr>
              <w:t>2～3</w:t>
            </w:r>
          </w:p>
        </w:tc>
        <w:tc>
          <w:tcPr>
            <w:tcW w:w="1057" w:type="dxa"/>
            <w:noWrap/>
            <w:vAlign w:val="center"/>
          </w:tcPr>
          <w:p>
            <w:pPr>
              <w:spacing w:line="320" w:lineRule="exact"/>
              <w:jc w:val="center"/>
              <w:rPr>
                <w:sz w:val="21"/>
                <w:szCs w:val="21"/>
              </w:rPr>
            </w:pPr>
            <w:r>
              <w:rPr>
                <w:rFonts w:hint="eastAsia"/>
                <w:sz w:val="21"/>
                <w:szCs w:val="21"/>
              </w:rPr>
              <w:t>2～3</w:t>
            </w:r>
          </w:p>
        </w:tc>
      </w:tr>
    </w:tbl>
    <w:p/>
    <w:p/>
    <w:p/>
    <w:p/>
    <w:p/>
    <w:p/>
    <w:p/>
    <w:p/>
    <w:p/>
    <w:p/>
    <w:p/>
    <w:p>
      <w:pPr>
        <w:rPr>
          <w:rFonts w:ascii="黑体" w:hAnsi="黑体" w:eastAsia="黑体"/>
        </w:rPr>
        <w:sectPr>
          <w:footerReference r:id="rId5" w:type="first"/>
          <w:footerReference r:id="rId3" w:type="default"/>
          <w:footerReference r:id="rId4" w:type="even"/>
          <w:pgSz w:w="11906" w:h="16838"/>
          <w:pgMar w:top="2041" w:right="1474" w:bottom="1985" w:left="1588" w:header="851" w:footer="1520" w:gutter="0"/>
          <w:pgNumType w:start="1" w:chapStyle="1"/>
          <w:cols w:space="425" w:num="1"/>
          <w:docGrid w:type="linesAndChars" w:linePitch="582" w:charSpace="-849"/>
        </w:sectPr>
      </w:pPr>
    </w:p>
    <w:p>
      <w:pPr>
        <w:rPr>
          <w:rFonts w:ascii="黑体" w:hAnsi="黑体" w:eastAsia="黑体"/>
        </w:rPr>
      </w:pPr>
      <w:r>
        <w:rPr>
          <w:rFonts w:hint="eastAsia" w:ascii="黑体" w:hAnsi="黑体" w:eastAsia="黑体"/>
        </w:rPr>
        <w:t>附件2</w:t>
      </w:r>
    </w:p>
    <w:p>
      <w:pPr>
        <w:spacing w:after="291" w:afterLines="50" w:line="600" w:lineRule="exact"/>
        <w:jc w:val="center"/>
        <w:rPr>
          <w:rFonts w:ascii="方正小标宋_GBK" w:eastAsia="方正小标宋_GBK"/>
          <w:sz w:val="44"/>
          <w:szCs w:val="44"/>
        </w:rPr>
      </w:pPr>
      <w:r>
        <w:rPr>
          <w:rFonts w:hint="eastAsia" w:ascii="方正小标宋_GBK" w:eastAsia="方正小标宋_GBK"/>
          <w:sz w:val="44"/>
          <w:szCs w:val="44"/>
        </w:rPr>
        <w:t>苏州市2022年推动新兴服务业高质量发展重点工作清单</w:t>
      </w:r>
    </w:p>
    <w:tbl>
      <w:tblPr>
        <w:tblStyle w:val="15"/>
        <w:tblW w:w="13041"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543"/>
        <w:gridCol w:w="713"/>
        <w:gridCol w:w="970"/>
        <w:gridCol w:w="2972"/>
        <w:gridCol w:w="6306"/>
        <w:gridCol w:w="1537"/>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blHeader/>
          <w:jc w:val="center"/>
        </w:trPr>
        <w:tc>
          <w:tcPr>
            <w:tcW w:w="543" w:type="dxa"/>
            <w:tcMar>
              <w:top w:w="15" w:type="dxa"/>
              <w:left w:w="15" w:type="dxa"/>
              <w:right w:w="15" w:type="dxa"/>
            </w:tcMar>
            <w:vAlign w:val="center"/>
          </w:tcPr>
          <w:p>
            <w:pPr>
              <w:widowControl/>
              <w:spacing w:line="340" w:lineRule="exact"/>
              <w:jc w:val="center"/>
              <w:textAlignment w:val="center"/>
              <w:rPr>
                <w:rFonts w:ascii="黑体" w:hAnsi="黑体" w:eastAsia="黑体"/>
                <w:bCs/>
                <w:color w:val="000000"/>
                <w:sz w:val="21"/>
                <w:szCs w:val="21"/>
              </w:rPr>
            </w:pPr>
            <w:r>
              <w:rPr>
                <w:rFonts w:hint="eastAsia" w:ascii="黑体" w:hAnsi="黑体" w:eastAsia="黑体"/>
                <w:bCs/>
                <w:color w:val="000000"/>
                <w:sz w:val="21"/>
                <w:szCs w:val="21"/>
              </w:rPr>
              <w:t>序号</w:t>
            </w:r>
          </w:p>
        </w:tc>
        <w:tc>
          <w:tcPr>
            <w:tcW w:w="4655" w:type="dxa"/>
            <w:gridSpan w:val="3"/>
            <w:tcMar>
              <w:top w:w="15" w:type="dxa"/>
              <w:left w:w="15" w:type="dxa"/>
              <w:right w:w="15" w:type="dxa"/>
            </w:tcMar>
            <w:vAlign w:val="center"/>
          </w:tcPr>
          <w:p>
            <w:pPr>
              <w:widowControl/>
              <w:spacing w:line="340" w:lineRule="exact"/>
              <w:jc w:val="center"/>
              <w:textAlignment w:val="center"/>
              <w:rPr>
                <w:rFonts w:ascii="黑体" w:hAnsi="黑体" w:eastAsia="黑体"/>
                <w:bCs/>
                <w:color w:val="000000"/>
                <w:sz w:val="21"/>
                <w:szCs w:val="21"/>
              </w:rPr>
            </w:pPr>
            <w:r>
              <w:rPr>
                <w:rFonts w:hint="eastAsia" w:ascii="黑体" w:hAnsi="黑体" w:eastAsia="黑体"/>
                <w:bCs/>
                <w:color w:val="000000"/>
                <w:sz w:val="21"/>
                <w:szCs w:val="21"/>
              </w:rPr>
              <w:t>目标清单</w:t>
            </w:r>
          </w:p>
        </w:tc>
        <w:tc>
          <w:tcPr>
            <w:tcW w:w="6306" w:type="dxa"/>
            <w:tcMar>
              <w:top w:w="15" w:type="dxa"/>
              <w:left w:w="15" w:type="dxa"/>
              <w:right w:w="15" w:type="dxa"/>
            </w:tcMar>
            <w:vAlign w:val="center"/>
          </w:tcPr>
          <w:p>
            <w:pPr>
              <w:widowControl/>
              <w:spacing w:line="340" w:lineRule="exact"/>
              <w:jc w:val="center"/>
              <w:textAlignment w:val="center"/>
              <w:rPr>
                <w:rFonts w:ascii="黑体" w:hAnsi="黑体" w:eastAsia="黑体"/>
                <w:bCs/>
                <w:color w:val="000000"/>
                <w:sz w:val="21"/>
                <w:szCs w:val="21"/>
              </w:rPr>
            </w:pPr>
            <w:r>
              <w:rPr>
                <w:rFonts w:hint="eastAsia" w:ascii="黑体" w:hAnsi="黑体" w:eastAsia="黑体"/>
                <w:bCs/>
                <w:color w:val="000000"/>
                <w:sz w:val="21"/>
                <w:szCs w:val="21"/>
              </w:rPr>
              <w:t>任务清单</w:t>
            </w:r>
          </w:p>
        </w:tc>
        <w:tc>
          <w:tcPr>
            <w:tcW w:w="1537" w:type="dxa"/>
            <w:tcMar>
              <w:top w:w="15" w:type="dxa"/>
              <w:left w:w="15" w:type="dxa"/>
              <w:right w:w="15" w:type="dxa"/>
            </w:tcMar>
            <w:vAlign w:val="center"/>
          </w:tcPr>
          <w:p>
            <w:pPr>
              <w:widowControl/>
              <w:spacing w:line="340" w:lineRule="exact"/>
              <w:jc w:val="center"/>
              <w:textAlignment w:val="center"/>
              <w:rPr>
                <w:rFonts w:ascii="黑体" w:hAnsi="黑体" w:eastAsia="黑体"/>
                <w:bCs/>
                <w:color w:val="000000"/>
                <w:sz w:val="21"/>
                <w:szCs w:val="21"/>
              </w:rPr>
            </w:pPr>
            <w:r>
              <w:rPr>
                <w:rFonts w:hint="eastAsia" w:ascii="黑体" w:hAnsi="黑体" w:eastAsia="黑体"/>
                <w:bCs/>
                <w:color w:val="000000"/>
                <w:sz w:val="21"/>
                <w:szCs w:val="21"/>
              </w:rPr>
              <w:t>责任清单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40" w:lineRule="exact"/>
              <w:jc w:val="center"/>
              <w:textAlignment w:val="center"/>
              <w:rPr>
                <w:bCs/>
                <w:color w:val="000000"/>
                <w:sz w:val="21"/>
                <w:szCs w:val="21"/>
              </w:rPr>
            </w:pPr>
            <w:r>
              <w:rPr>
                <w:rFonts w:hint="eastAsia"/>
                <w:bCs/>
                <w:color w:val="000000"/>
                <w:sz w:val="21"/>
                <w:szCs w:val="21"/>
              </w:rPr>
              <w:t>1</w:t>
            </w:r>
          </w:p>
        </w:tc>
        <w:tc>
          <w:tcPr>
            <w:tcW w:w="713" w:type="dxa"/>
            <w:vMerge w:val="restart"/>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数字赋能型服务业推进工程</w:t>
            </w:r>
          </w:p>
        </w:tc>
        <w:tc>
          <w:tcPr>
            <w:tcW w:w="970" w:type="dxa"/>
            <w:noWrap/>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推动金融服务数字化发展</w:t>
            </w:r>
          </w:p>
        </w:tc>
        <w:tc>
          <w:tcPr>
            <w:tcW w:w="2972"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完善数字人民币发展布局，提升金融科技整体发展水平，充分释放数字征信潜能，优化绿色金融发展环境。集聚数字金融企业超300家。</w:t>
            </w:r>
          </w:p>
        </w:tc>
        <w:tc>
          <w:tcPr>
            <w:tcW w:w="6306"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全市域全领域推进数字人民币试点，全力拓展C端数字人民币场景，全面提升B端数字人民币结算量，全域推进G端数字人民币应用。推动更多金融科技创新监管试点项目落地苏州，进一步集聚金融科技企业，搭建苏州金融科技生态圈。巩固苏州征信公司、企查查科技公司等持牌征信机构先发优势，打造全国领先的地方征信平台。举办好第二届长三角数字金融产业创新周开幕式暨苏州市金融支持产业创新集群发展大会。</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市发改委、</w:t>
            </w:r>
            <w:r>
              <w:rPr>
                <w:color w:val="000000"/>
                <w:sz w:val="21"/>
                <w:szCs w:val="21"/>
              </w:rPr>
              <w:t>市财政局、</w:t>
            </w:r>
            <w:r>
              <w:rPr>
                <w:rFonts w:hint="eastAsia"/>
                <w:color w:val="000000"/>
                <w:sz w:val="21"/>
                <w:szCs w:val="21"/>
              </w:rPr>
              <w:t>市商务局、</w:t>
            </w:r>
            <w:r>
              <w:rPr>
                <w:color w:val="000000"/>
                <w:sz w:val="21"/>
                <w:szCs w:val="21"/>
              </w:rPr>
              <w:t>市金融监管局、人行苏州中支、苏州银保监分局按职责分工负责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40" w:lineRule="exact"/>
              <w:jc w:val="center"/>
              <w:textAlignment w:val="center"/>
              <w:rPr>
                <w:bCs/>
                <w:color w:val="000000"/>
                <w:sz w:val="21"/>
                <w:szCs w:val="21"/>
              </w:rPr>
            </w:pPr>
            <w:r>
              <w:rPr>
                <w:rFonts w:hint="eastAsia"/>
                <w:bCs/>
                <w:color w:val="000000"/>
                <w:sz w:val="21"/>
                <w:szCs w:val="21"/>
              </w:rPr>
              <w:t>2</w:t>
            </w:r>
          </w:p>
        </w:tc>
        <w:tc>
          <w:tcPr>
            <w:tcW w:w="713" w:type="dxa"/>
            <w:vMerge w:val="continue"/>
            <w:tcMar>
              <w:top w:w="15" w:type="dxa"/>
              <w:left w:w="15" w:type="dxa"/>
              <w:right w:w="15" w:type="dxa"/>
            </w:tcMar>
            <w:vAlign w:val="center"/>
          </w:tcPr>
          <w:p>
            <w:pPr>
              <w:spacing w:line="340" w:lineRule="exact"/>
              <w:rPr>
                <w:color w:val="000000"/>
                <w:sz w:val="21"/>
                <w:szCs w:val="21"/>
              </w:rPr>
            </w:pPr>
          </w:p>
        </w:tc>
        <w:tc>
          <w:tcPr>
            <w:tcW w:w="970" w:type="dxa"/>
            <w:noWrap/>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推动信息服务智能化发展</w:t>
            </w:r>
          </w:p>
        </w:tc>
        <w:tc>
          <w:tcPr>
            <w:tcW w:w="2972"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突破一批工业互联网关键共性技术和核心技术，培育苏州市智能网联汽车及通信行业生态，深化区块链技术和产业融合应用发展。累计集聚数字信息领域重点企业不少于200家。</w:t>
            </w:r>
          </w:p>
        </w:tc>
        <w:tc>
          <w:tcPr>
            <w:tcW w:w="6306"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依托国家工业互联网大数据中心江苏分中心、国家区块链发展先导区、省级车联网先导区基础，加强在分布式计算与存储、加密算法、共识机制、智能合约及跨链技术等关键领域的攻关力度，加快推进企业培育。做好交通运输部自动驾驶先导应用试点申报工作。充分发挥苏州商密保密产业创新联盟和长三角（相城）信息安全产业园作用，推动建设量子科技长三角产业创新中心。加强信息技术服务关键技术研发，做宽信息通信应用行业。</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市委机要保密局、市发改委、市工信局、市交通局按职责分工负责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40" w:lineRule="exact"/>
              <w:jc w:val="center"/>
              <w:textAlignment w:val="center"/>
              <w:rPr>
                <w:bCs/>
                <w:color w:val="000000"/>
                <w:sz w:val="21"/>
                <w:szCs w:val="21"/>
              </w:rPr>
            </w:pPr>
            <w:r>
              <w:rPr>
                <w:rFonts w:hint="eastAsia"/>
                <w:bCs/>
                <w:color w:val="000000"/>
                <w:sz w:val="21"/>
                <w:szCs w:val="21"/>
              </w:rPr>
              <w:t>3</w:t>
            </w:r>
          </w:p>
        </w:tc>
        <w:tc>
          <w:tcPr>
            <w:tcW w:w="713" w:type="dxa"/>
            <w:vMerge w:val="continue"/>
            <w:tcMar>
              <w:top w:w="15" w:type="dxa"/>
              <w:left w:w="15" w:type="dxa"/>
              <w:right w:w="15" w:type="dxa"/>
            </w:tcMar>
            <w:vAlign w:val="center"/>
          </w:tcPr>
          <w:p>
            <w:pPr>
              <w:spacing w:line="340" w:lineRule="exact"/>
              <w:rPr>
                <w:color w:val="000000"/>
                <w:sz w:val="21"/>
                <w:szCs w:val="21"/>
              </w:rPr>
            </w:pPr>
          </w:p>
        </w:tc>
        <w:tc>
          <w:tcPr>
            <w:tcW w:w="970" w:type="dxa"/>
            <w:noWrap/>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推动物流服务智慧化发展</w:t>
            </w:r>
          </w:p>
        </w:tc>
        <w:tc>
          <w:tcPr>
            <w:tcW w:w="2972"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加强现代信息技术在物流领域的研发与应用，推进物流产业一体化、数字化发展，完善冷链物流、快递物流服务体系。累计建设省级物流示范载体5家。</w:t>
            </w:r>
          </w:p>
        </w:tc>
        <w:tc>
          <w:tcPr>
            <w:tcW w:w="6306"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深入贯彻落实《江苏省省级重点物流基地和省级示范物流园区认定管理办法》，推进交邮融合，发挥交通资源优势，合作开发建设邮政快递分拣中心等基础设施，不断提升苏州多式联运中心功能。</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市发改委、市交通局、市商务局</w:t>
            </w:r>
            <w:r>
              <w:rPr>
                <w:rFonts w:hint="eastAsia"/>
                <w:color w:val="000000"/>
                <w:sz w:val="21"/>
                <w:szCs w:val="21"/>
              </w:rPr>
              <w:t>市、市市场监管</w:t>
            </w:r>
            <w:r>
              <w:rPr>
                <w:color w:val="000000"/>
                <w:sz w:val="21"/>
                <w:szCs w:val="21"/>
              </w:rPr>
              <w:t>、</w:t>
            </w:r>
            <w:r>
              <w:rPr>
                <w:rFonts w:hint="eastAsia"/>
                <w:color w:val="000000"/>
                <w:sz w:val="21"/>
                <w:szCs w:val="21"/>
              </w:rPr>
              <w:t>苏州海关、</w:t>
            </w:r>
            <w:r>
              <w:rPr>
                <w:color w:val="000000"/>
                <w:sz w:val="21"/>
                <w:szCs w:val="21"/>
              </w:rPr>
              <w:t>市邮管局按职责分工负责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20" w:lineRule="exact"/>
              <w:jc w:val="center"/>
              <w:textAlignment w:val="center"/>
              <w:rPr>
                <w:bCs/>
                <w:color w:val="000000"/>
                <w:sz w:val="21"/>
                <w:szCs w:val="21"/>
              </w:rPr>
            </w:pPr>
            <w:r>
              <w:rPr>
                <w:rFonts w:hint="eastAsia"/>
                <w:bCs/>
                <w:color w:val="000000"/>
                <w:sz w:val="21"/>
                <w:szCs w:val="21"/>
              </w:rPr>
              <w:t>4</w:t>
            </w:r>
          </w:p>
        </w:tc>
        <w:tc>
          <w:tcPr>
            <w:tcW w:w="713" w:type="dxa"/>
            <w:vMerge w:val="restart"/>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知识驱动型服务业推进工程</w:t>
            </w:r>
          </w:p>
        </w:tc>
        <w:tc>
          <w:tcPr>
            <w:tcW w:w="970" w:type="dxa"/>
            <w:noWrap/>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提升科技服务支撑能力</w:t>
            </w:r>
          </w:p>
        </w:tc>
        <w:tc>
          <w:tcPr>
            <w:tcW w:w="2972" w:type="dxa"/>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积极培育市场化新型研发组织、研发中介和研发服务外包新业态，发展研发服务、技术服务、双创服务、知识产权服务。知识产权服务机构主营业务收入达22亿元。科技服务业收入达2000亿元。</w:t>
            </w:r>
          </w:p>
        </w:tc>
        <w:tc>
          <w:tcPr>
            <w:tcW w:w="6306" w:type="dxa"/>
            <w:tcMar>
              <w:top w:w="15" w:type="dxa"/>
              <w:left w:w="15" w:type="dxa"/>
              <w:right w:w="15" w:type="dxa"/>
            </w:tcMar>
            <w:vAlign w:val="center"/>
          </w:tcPr>
          <w:p>
            <w:pPr>
              <w:widowControl/>
              <w:spacing w:line="320" w:lineRule="exact"/>
              <w:textAlignment w:val="center"/>
              <w:rPr>
                <w:color w:val="000000"/>
                <w:spacing w:val="-2"/>
                <w:sz w:val="21"/>
                <w:szCs w:val="21"/>
              </w:rPr>
            </w:pPr>
            <w:r>
              <w:rPr>
                <w:rFonts w:hint="eastAsia"/>
                <w:color w:val="000000"/>
                <w:spacing w:val="-2"/>
                <w:sz w:val="21"/>
                <w:szCs w:val="21"/>
              </w:rPr>
              <w:t>组织开展市级新型研发机构新建项目申报工作，强化技术转移体系建设和政策扶持，建立技术合同认定登记季度监测通报机制，有效组织做好重点行业、重点单位、重点领域的技术合同认定登记工作，依托国家技术转移人才培养基地开展技术经纪人培训，引导科技创业孵化载体提升服务能力，进一步推进全市孵化载体建设。出台促进知识产权服务业高质量发展的政策意见，探索建立代理机构服务评价机制和信息公开制度。加大高端知识产权服务机构引进力度，支持本地机构做优做强。继续推进“蓝天”专项整治行动，加强服务平台治理，严惩恶意囤积行为，依法对机构经营异常和严重失信行为进行信用监管。</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市科技局、</w:t>
            </w:r>
            <w:r>
              <w:rPr>
                <w:rFonts w:hint="eastAsia"/>
                <w:color w:val="000000"/>
                <w:sz w:val="21"/>
                <w:szCs w:val="21"/>
              </w:rPr>
              <w:t>市人社局、</w:t>
            </w:r>
            <w:r>
              <w:rPr>
                <w:color w:val="000000"/>
                <w:sz w:val="21"/>
                <w:szCs w:val="21"/>
              </w:rPr>
              <w:t>市市场监管局按职责分工负责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20" w:lineRule="exact"/>
              <w:jc w:val="center"/>
              <w:textAlignment w:val="center"/>
              <w:rPr>
                <w:bCs/>
                <w:color w:val="000000"/>
                <w:sz w:val="21"/>
                <w:szCs w:val="21"/>
              </w:rPr>
            </w:pPr>
            <w:r>
              <w:rPr>
                <w:rFonts w:hint="eastAsia"/>
                <w:bCs/>
                <w:color w:val="000000"/>
                <w:sz w:val="21"/>
                <w:szCs w:val="21"/>
              </w:rPr>
              <w:t>5</w:t>
            </w:r>
          </w:p>
        </w:tc>
        <w:tc>
          <w:tcPr>
            <w:tcW w:w="713" w:type="dxa"/>
            <w:vMerge w:val="continue"/>
            <w:tcMar>
              <w:top w:w="15" w:type="dxa"/>
              <w:left w:w="15" w:type="dxa"/>
              <w:right w:w="15" w:type="dxa"/>
            </w:tcMar>
            <w:vAlign w:val="center"/>
          </w:tcPr>
          <w:p>
            <w:pPr>
              <w:spacing w:line="320" w:lineRule="exact"/>
              <w:rPr>
                <w:color w:val="000000"/>
                <w:sz w:val="21"/>
                <w:szCs w:val="21"/>
              </w:rPr>
            </w:pPr>
          </w:p>
        </w:tc>
        <w:tc>
          <w:tcPr>
            <w:tcW w:w="970" w:type="dxa"/>
            <w:noWrap/>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提升商务中介服务专业水平</w:t>
            </w:r>
          </w:p>
        </w:tc>
        <w:tc>
          <w:tcPr>
            <w:tcW w:w="2972" w:type="dxa"/>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鼓励财务、法律、会展等商务中介服务发展，律师行业事务所数量达400家，在苏全国百强会计师事务所（含分所）达31家。</w:t>
            </w:r>
          </w:p>
        </w:tc>
        <w:tc>
          <w:tcPr>
            <w:tcW w:w="6306" w:type="dxa"/>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鼓励全国百强事务所总部落户苏州、培育我市优质大型会计师事务所、鼓励事务所规模化发展、扶持各县级市（区）建设地方特色会计服务集聚区等。鼓励国内优秀法律服务机构落户苏州或前来设立分支机构，探索苏州律师事务所与外国律师事务所合作的方式与机制。大力引进国际知名会展企业、境内外专业组展机构、国际品牌重要展会及其上下游配套企业。</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市司法局、市财政局、市商务局、市审计局、市市场监管局</w:t>
            </w:r>
            <w:r>
              <w:rPr>
                <w:rFonts w:hint="eastAsia"/>
                <w:color w:val="000000"/>
                <w:sz w:val="21"/>
                <w:szCs w:val="21"/>
              </w:rPr>
              <w:t>、</w:t>
            </w:r>
            <w:r>
              <w:rPr>
                <w:color w:val="000000"/>
                <w:sz w:val="21"/>
                <w:szCs w:val="21"/>
              </w:rPr>
              <w:t>市金融监管局按职责分工负责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20" w:lineRule="exact"/>
              <w:jc w:val="center"/>
              <w:textAlignment w:val="center"/>
              <w:rPr>
                <w:bCs/>
                <w:color w:val="000000"/>
                <w:sz w:val="21"/>
                <w:szCs w:val="21"/>
              </w:rPr>
            </w:pPr>
            <w:r>
              <w:rPr>
                <w:rFonts w:hint="eastAsia"/>
                <w:bCs/>
                <w:color w:val="000000"/>
                <w:sz w:val="21"/>
                <w:szCs w:val="21"/>
              </w:rPr>
              <w:t>6</w:t>
            </w:r>
          </w:p>
        </w:tc>
        <w:tc>
          <w:tcPr>
            <w:tcW w:w="713" w:type="dxa"/>
            <w:vMerge w:val="continue"/>
            <w:tcMar>
              <w:top w:w="15" w:type="dxa"/>
              <w:left w:w="15" w:type="dxa"/>
              <w:right w:w="15" w:type="dxa"/>
            </w:tcMar>
            <w:vAlign w:val="center"/>
          </w:tcPr>
          <w:p>
            <w:pPr>
              <w:spacing w:line="320" w:lineRule="exact"/>
              <w:rPr>
                <w:color w:val="000000"/>
                <w:sz w:val="21"/>
                <w:szCs w:val="21"/>
              </w:rPr>
            </w:pPr>
          </w:p>
        </w:tc>
        <w:tc>
          <w:tcPr>
            <w:tcW w:w="970" w:type="dxa"/>
            <w:noWrap/>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提升设计服务品牌影响力</w:t>
            </w:r>
          </w:p>
        </w:tc>
        <w:tc>
          <w:tcPr>
            <w:tcW w:w="2972" w:type="dxa"/>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聚焦工业设计、规划设计、艺术设计领域发展设计服务。年度新增市级以上工业设计中心60家，规上专业设计类企业营收增速保持在12%以上。</w:t>
            </w:r>
          </w:p>
        </w:tc>
        <w:tc>
          <w:tcPr>
            <w:tcW w:w="6306" w:type="dxa"/>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吸引国内外知名设计企业入驻，探索打造设计产业集聚园区。鼓励企业与知名院校开展合作办学，推行校企“双导师制”，培育设计理论教育与实践培训相结合的复合型人才。</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市教育局、市工信局、市资规局</w:t>
            </w:r>
            <w:r>
              <w:rPr>
                <w:rFonts w:hint="eastAsia"/>
                <w:color w:val="000000"/>
                <w:sz w:val="21"/>
                <w:szCs w:val="21"/>
              </w:rPr>
              <w:t>、</w:t>
            </w:r>
            <w:r>
              <w:rPr>
                <w:color w:val="000000"/>
                <w:sz w:val="21"/>
                <w:szCs w:val="21"/>
              </w:rPr>
              <w:t>市住建局、</w:t>
            </w:r>
            <w:r>
              <w:rPr>
                <w:rFonts w:hint="eastAsia"/>
                <w:color w:val="000000"/>
                <w:sz w:val="21"/>
                <w:szCs w:val="21"/>
              </w:rPr>
              <w:t>市园林局、市交通局、</w:t>
            </w:r>
            <w:r>
              <w:rPr>
                <w:color w:val="000000"/>
                <w:sz w:val="21"/>
                <w:szCs w:val="21"/>
              </w:rPr>
              <w:t>市文广旅局按职责分工负责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20" w:lineRule="exact"/>
              <w:jc w:val="center"/>
              <w:textAlignment w:val="center"/>
              <w:rPr>
                <w:bCs/>
                <w:color w:val="000000"/>
                <w:sz w:val="21"/>
                <w:szCs w:val="21"/>
              </w:rPr>
            </w:pPr>
            <w:r>
              <w:rPr>
                <w:rFonts w:hint="eastAsia"/>
                <w:bCs/>
                <w:color w:val="000000"/>
                <w:sz w:val="21"/>
                <w:szCs w:val="21"/>
              </w:rPr>
              <w:t>7</w:t>
            </w:r>
          </w:p>
        </w:tc>
        <w:tc>
          <w:tcPr>
            <w:tcW w:w="713" w:type="dxa"/>
            <w:vMerge w:val="continue"/>
            <w:tcMar>
              <w:top w:w="15" w:type="dxa"/>
              <w:left w:w="15" w:type="dxa"/>
              <w:right w:w="15" w:type="dxa"/>
            </w:tcMar>
            <w:vAlign w:val="center"/>
          </w:tcPr>
          <w:p>
            <w:pPr>
              <w:spacing w:line="320" w:lineRule="exact"/>
              <w:rPr>
                <w:color w:val="000000"/>
                <w:sz w:val="21"/>
                <w:szCs w:val="21"/>
              </w:rPr>
            </w:pPr>
          </w:p>
        </w:tc>
        <w:tc>
          <w:tcPr>
            <w:tcW w:w="970" w:type="dxa"/>
            <w:noWrap/>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提升人力资源服务规模效应</w:t>
            </w:r>
          </w:p>
        </w:tc>
        <w:tc>
          <w:tcPr>
            <w:tcW w:w="2972" w:type="dxa"/>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加快发展人力资源服务贸易，做精做强人力资源服务品牌。累计建成省级人力资源服务产业园4～5家。</w:t>
            </w:r>
          </w:p>
        </w:tc>
        <w:tc>
          <w:tcPr>
            <w:tcW w:w="6306" w:type="dxa"/>
            <w:tcMar>
              <w:top w:w="15" w:type="dxa"/>
              <w:left w:w="15" w:type="dxa"/>
              <w:right w:w="15" w:type="dxa"/>
            </w:tcMar>
            <w:vAlign w:val="center"/>
          </w:tcPr>
          <w:p>
            <w:pPr>
              <w:widowControl/>
              <w:spacing w:line="320" w:lineRule="exact"/>
              <w:textAlignment w:val="center"/>
              <w:rPr>
                <w:color w:val="000000"/>
                <w:sz w:val="21"/>
                <w:szCs w:val="21"/>
              </w:rPr>
            </w:pPr>
            <w:r>
              <w:rPr>
                <w:rFonts w:hint="eastAsia"/>
                <w:color w:val="000000"/>
                <w:sz w:val="21"/>
                <w:szCs w:val="21"/>
              </w:rPr>
              <w:t>制定出台我市促进人力资源服务业高质量发展的若干政策措施，组织开展市级人力资源服务业骨干企业、杰出人物、品牌项目和诚信机构评选等活动，举办第二届中国苏州人力资源数字化创业大赛。支持苏州工业园区人力资源服务产业园申报建设省级人力资源服务产业园。</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市教育局、市人社局按职责分工负责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40" w:lineRule="exact"/>
              <w:jc w:val="center"/>
              <w:textAlignment w:val="center"/>
              <w:rPr>
                <w:bCs/>
                <w:color w:val="000000"/>
                <w:sz w:val="21"/>
                <w:szCs w:val="21"/>
              </w:rPr>
            </w:pPr>
            <w:r>
              <w:rPr>
                <w:rFonts w:hint="eastAsia"/>
                <w:bCs/>
                <w:color w:val="000000"/>
                <w:sz w:val="21"/>
                <w:szCs w:val="21"/>
              </w:rPr>
              <w:t>8</w:t>
            </w:r>
          </w:p>
        </w:tc>
        <w:tc>
          <w:tcPr>
            <w:tcW w:w="713" w:type="dxa"/>
            <w:vMerge w:val="continue"/>
            <w:tcMar>
              <w:top w:w="15" w:type="dxa"/>
              <w:left w:w="15" w:type="dxa"/>
              <w:right w:w="15" w:type="dxa"/>
            </w:tcMar>
            <w:vAlign w:val="center"/>
          </w:tcPr>
          <w:p>
            <w:pPr>
              <w:spacing w:line="340" w:lineRule="exact"/>
              <w:rPr>
                <w:color w:val="000000"/>
                <w:sz w:val="21"/>
                <w:szCs w:val="21"/>
              </w:rPr>
            </w:pPr>
          </w:p>
        </w:tc>
        <w:tc>
          <w:tcPr>
            <w:tcW w:w="970" w:type="dxa"/>
            <w:noWrap/>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提升检验检测认证服务品质</w:t>
            </w:r>
          </w:p>
        </w:tc>
        <w:tc>
          <w:tcPr>
            <w:tcW w:w="2972"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重点发展检测服务、认证服务，检验检测机构资质累计认定数650家。</w:t>
            </w:r>
          </w:p>
        </w:tc>
        <w:tc>
          <w:tcPr>
            <w:tcW w:w="6306"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以工业机器人、纳米新材料等领域为重点，加快建设省机器人及智能加工装备质检中心、省纳米材料及微纳加工产业计量测试中心，支持检验检测机构积极申报国家质检中心、国家产业计量中心，全方位满足产业链相关企业检验检测需求。</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市市场监管局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40" w:lineRule="exact"/>
              <w:jc w:val="center"/>
              <w:textAlignment w:val="center"/>
              <w:rPr>
                <w:bCs/>
                <w:color w:val="000000"/>
                <w:sz w:val="21"/>
                <w:szCs w:val="21"/>
              </w:rPr>
            </w:pPr>
            <w:r>
              <w:rPr>
                <w:rFonts w:hint="eastAsia"/>
                <w:bCs/>
                <w:color w:val="000000"/>
                <w:sz w:val="21"/>
                <w:szCs w:val="21"/>
              </w:rPr>
              <w:t>9</w:t>
            </w:r>
          </w:p>
        </w:tc>
        <w:tc>
          <w:tcPr>
            <w:tcW w:w="713" w:type="dxa"/>
            <w:vMerge w:val="continue"/>
            <w:tcMar>
              <w:top w:w="15" w:type="dxa"/>
              <w:left w:w="15" w:type="dxa"/>
              <w:right w:w="15" w:type="dxa"/>
            </w:tcMar>
            <w:vAlign w:val="center"/>
          </w:tcPr>
          <w:p>
            <w:pPr>
              <w:spacing w:line="340" w:lineRule="exact"/>
              <w:rPr>
                <w:color w:val="000000"/>
                <w:sz w:val="21"/>
                <w:szCs w:val="21"/>
              </w:rPr>
            </w:pPr>
          </w:p>
        </w:tc>
        <w:tc>
          <w:tcPr>
            <w:tcW w:w="970" w:type="dxa"/>
            <w:noWrap/>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拓宽绿色低碳服务业务领域</w:t>
            </w:r>
          </w:p>
        </w:tc>
        <w:tc>
          <w:tcPr>
            <w:tcW w:w="2972"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发展合同能源管理、工业企业节能诊断服务等服务业，增强环保领域技术创新能力。非化石能源占能源消费总量比重达10%。</w:t>
            </w:r>
          </w:p>
        </w:tc>
        <w:tc>
          <w:tcPr>
            <w:tcW w:w="6306"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发展合同能源管理、工业企业节能诊断服务、绿色制造咨询、认定和培训等绿色服务业。增强环保领域技术创新能力，积极发展环境咨询、生态环境修复、环境风险与损害评价、环境审计等新兴服务。</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w:t>
            </w:r>
            <w:r>
              <w:rPr>
                <w:rFonts w:hint="eastAsia"/>
                <w:color w:val="000000"/>
                <w:sz w:val="21"/>
                <w:szCs w:val="21"/>
              </w:rPr>
              <w:t>工信局、生态环境局</w:t>
            </w:r>
            <w:r>
              <w:rPr>
                <w:color w:val="000000"/>
                <w:sz w:val="21"/>
                <w:szCs w:val="21"/>
              </w:rPr>
              <w:t>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40" w:lineRule="exact"/>
              <w:jc w:val="center"/>
              <w:textAlignment w:val="center"/>
              <w:rPr>
                <w:bCs/>
                <w:color w:val="000000"/>
                <w:sz w:val="21"/>
                <w:szCs w:val="21"/>
              </w:rPr>
            </w:pPr>
            <w:r>
              <w:rPr>
                <w:rFonts w:hint="eastAsia"/>
                <w:bCs/>
                <w:color w:val="000000"/>
                <w:sz w:val="21"/>
                <w:szCs w:val="21"/>
              </w:rPr>
              <w:t>10</w:t>
            </w:r>
          </w:p>
        </w:tc>
        <w:tc>
          <w:tcPr>
            <w:tcW w:w="713" w:type="dxa"/>
            <w:vMerge w:val="restart"/>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消费导向型服务业推进工程</w:t>
            </w:r>
          </w:p>
        </w:tc>
        <w:tc>
          <w:tcPr>
            <w:tcW w:w="970" w:type="dxa"/>
            <w:noWrap/>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推进现代商贸业态模式创新</w:t>
            </w:r>
          </w:p>
        </w:tc>
        <w:tc>
          <w:tcPr>
            <w:tcW w:w="2972"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加快推广体验消费，大力发展线上商贸，探索新零售业态。引进各类品牌首店、旗舰店200家。</w:t>
            </w:r>
          </w:p>
        </w:tc>
        <w:tc>
          <w:tcPr>
            <w:tcW w:w="6306"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筹备首店首发大会，研究推进苏州市首发经济发展联盟成立事宜，加大对城市首店营商环境的宣传推广力度，引导国际或国内知名品牌在苏举办全球或全国新品首发活动。开展“苏新消费·笑拼苏州”2022夏季购物节系列专题活动，突出消费数字化转型，加强数字人民币应用。深入打造“夜ZUI苏州”夜经济品牌，扩大夜经济千企联盟规模，挖掘消费潜力，丰富夜间消费场景、创新夜间消费供给。</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市商务局、市文广旅局按职责分工负责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40" w:lineRule="exact"/>
              <w:jc w:val="center"/>
              <w:textAlignment w:val="center"/>
              <w:rPr>
                <w:bCs/>
                <w:color w:val="000000"/>
                <w:sz w:val="21"/>
                <w:szCs w:val="21"/>
              </w:rPr>
            </w:pPr>
            <w:r>
              <w:rPr>
                <w:rFonts w:hint="eastAsia"/>
                <w:bCs/>
                <w:color w:val="000000"/>
                <w:sz w:val="21"/>
                <w:szCs w:val="21"/>
              </w:rPr>
              <w:t>11</w:t>
            </w:r>
          </w:p>
        </w:tc>
        <w:tc>
          <w:tcPr>
            <w:tcW w:w="713" w:type="dxa"/>
            <w:vMerge w:val="continue"/>
            <w:tcMar>
              <w:top w:w="15" w:type="dxa"/>
              <w:left w:w="15" w:type="dxa"/>
              <w:right w:w="15" w:type="dxa"/>
            </w:tcMar>
            <w:vAlign w:val="center"/>
          </w:tcPr>
          <w:p>
            <w:pPr>
              <w:spacing w:line="340" w:lineRule="exact"/>
              <w:rPr>
                <w:color w:val="000000"/>
                <w:sz w:val="21"/>
                <w:szCs w:val="21"/>
              </w:rPr>
            </w:pPr>
          </w:p>
        </w:tc>
        <w:tc>
          <w:tcPr>
            <w:tcW w:w="970" w:type="dxa"/>
            <w:noWrap/>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提升文化消费供给质量</w:t>
            </w:r>
          </w:p>
        </w:tc>
        <w:tc>
          <w:tcPr>
            <w:tcW w:w="2972" w:type="dxa"/>
            <w:tcMar>
              <w:top w:w="15" w:type="dxa"/>
              <w:left w:w="15" w:type="dxa"/>
              <w:right w:w="15" w:type="dxa"/>
            </w:tcMar>
            <w:vAlign w:val="center"/>
          </w:tcPr>
          <w:p>
            <w:pPr>
              <w:widowControl/>
              <w:spacing w:line="340" w:lineRule="exact"/>
              <w:textAlignment w:val="center"/>
              <w:rPr>
                <w:color w:val="000000"/>
                <w:sz w:val="21"/>
                <w:szCs w:val="21"/>
              </w:rPr>
            </w:pPr>
            <w:r>
              <w:rPr>
                <w:rFonts w:hint="eastAsia"/>
                <w:color w:val="000000"/>
                <w:sz w:val="21"/>
                <w:szCs w:val="21"/>
              </w:rPr>
              <w:t>构建“1+N”现代文化产业体系，发展电竞动漫、体育消费、影视娱乐产业，推进先进技术与丝绸等苏工苏作融合发展。数字文化营收增速为20%。</w:t>
            </w:r>
          </w:p>
        </w:tc>
        <w:tc>
          <w:tcPr>
            <w:tcW w:w="6306" w:type="dxa"/>
            <w:tcMar>
              <w:top w:w="15" w:type="dxa"/>
              <w:left w:w="15" w:type="dxa"/>
              <w:right w:w="15" w:type="dxa"/>
            </w:tcMar>
          </w:tcPr>
          <w:p>
            <w:pPr>
              <w:widowControl/>
              <w:spacing w:line="340" w:lineRule="exact"/>
              <w:textAlignment w:val="center"/>
              <w:rPr>
                <w:color w:val="000000"/>
                <w:sz w:val="21"/>
                <w:szCs w:val="21"/>
              </w:rPr>
            </w:pPr>
            <w:r>
              <w:rPr>
                <w:rFonts w:hint="eastAsia"/>
                <w:color w:val="000000"/>
                <w:sz w:val="21"/>
                <w:szCs w:val="21"/>
              </w:rPr>
              <w:t>加快国有文艺院团市场化进程，支持传统手工艺、传统艺术产业化传承发展。建立健全标杆型、领军型、成长型数字文化企业跨行业、跨部门定向培育联动机制，定向扶持一批成长型数字类、内容类文化企业，出台年度申报指南，明确扶持重点。落实对外文化贸易政策，加大国家文化出口重点企业扶持。加大数字内容生产、数字文化服务、创意设计服务等文化核心领域大项目招引力度。鼓励社会力量参与文化招商，重点引进大型央企、国企等头部文化企业和机构、平台型数字文化企业来苏设立区域总部或功能中心，招引成长性强的优质文化企业落户苏州。2022年新增、更新健身路径（室外健身器材）115套，建成1个省级运动促进健康中心。</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w:t>
            </w:r>
            <w:r>
              <w:rPr>
                <w:rFonts w:hint="eastAsia"/>
                <w:color w:val="000000"/>
                <w:sz w:val="21"/>
                <w:szCs w:val="21"/>
              </w:rPr>
              <w:t>商务局</w:t>
            </w:r>
            <w:r>
              <w:rPr>
                <w:color w:val="000000"/>
                <w:sz w:val="21"/>
                <w:szCs w:val="21"/>
              </w:rPr>
              <w:t>、市文广旅局、市体育局按职责分工负责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70" w:lineRule="exact"/>
              <w:jc w:val="center"/>
              <w:textAlignment w:val="center"/>
              <w:rPr>
                <w:bCs/>
                <w:color w:val="000000"/>
                <w:sz w:val="21"/>
                <w:szCs w:val="21"/>
              </w:rPr>
            </w:pPr>
            <w:r>
              <w:rPr>
                <w:rFonts w:hint="eastAsia"/>
                <w:bCs/>
                <w:color w:val="000000"/>
                <w:sz w:val="21"/>
                <w:szCs w:val="21"/>
              </w:rPr>
              <w:t>12</w:t>
            </w:r>
          </w:p>
        </w:tc>
        <w:tc>
          <w:tcPr>
            <w:tcW w:w="713" w:type="dxa"/>
            <w:vMerge w:val="continue"/>
            <w:tcMar>
              <w:top w:w="15" w:type="dxa"/>
              <w:left w:w="15" w:type="dxa"/>
              <w:right w:w="15" w:type="dxa"/>
            </w:tcMar>
            <w:vAlign w:val="center"/>
          </w:tcPr>
          <w:p>
            <w:pPr>
              <w:spacing w:line="370" w:lineRule="exact"/>
              <w:rPr>
                <w:color w:val="000000"/>
                <w:sz w:val="21"/>
                <w:szCs w:val="21"/>
              </w:rPr>
            </w:pPr>
          </w:p>
        </w:tc>
        <w:tc>
          <w:tcPr>
            <w:tcW w:w="970" w:type="dxa"/>
            <w:noWrap/>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促进旅游康养特色化精品化发展</w:t>
            </w:r>
          </w:p>
        </w:tc>
        <w:tc>
          <w:tcPr>
            <w:tcW w:w="2972"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加快智慧旅游建设，推进老年医疗服务机构建设。旅游总收入2500亿元，养老机构总床位55900个。</w:t>
            </w:r>
          </w:p>
        </w:tc>
        <w:tc>
          <w:tcPr>
            <w:tcW w:w="6306"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提升完善“君到苏州”文旅总入口，更新上线2.0版本。启动智慧文旅数据中心建设，建成假日应急指挥中心。制定《苏州数字景区管理服务技术导则（试行）》，试点数字景区建设。推进文旅场所社保“一卡通”工程，完成39家重点景区及文博场所闸机改造。2022年新建养老机构总床位1200张。</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市民政局、市园林绿化局、市文广旅局、市</w:t>
            </w:r>
            <w:r>
              <w:rPr>
                <w:rFonts w:hint="eastAsia"/>
                <w:color w:val="000000"/>
                <w:sz w:val="21"/>
                <w:szCs w:val="21"/>
              </w:rPr>
              <w:t>卫生健康委</w:t>
            </w:r>
            <w:r>
              <w:rPr>
                <w:color w:val="000000"/>
                <w:sz w:val="21"/>
                <w:szCs w:val="21"/>
              </w:rPr>
              <w:t>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70" w:lineRule="exact"/>
              <w:jc w:val="center"/>
              <w:textAlignment w:val="center"/>
              <w:rPr>
                <w:bCs/>
                <w:color w:val="000000"/>
                <w:sz w:val="21"/>
                <w:szCs w:val="21"/>
              </w:rPr>
            </w:pPr>
            <w:r>
              <w:rPr>
                <w:rFonts w:hint="eastAsia"/>
                <w:bCs/>
                <w:color w:val="000000"/>
                <w:sz w:val="21"/>
                <w:szCs w:val="21"/>
              </w:rPr>
              <w:t>13</w:t>
            </w:r>
          </w:p>
        </w:tc>
        <w:tc>
          <w:tcPr>
            <w:tcW w:w="713" w:type="dxa"/>
            <w:vMerge w:val="restart"/>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新兴服务业创新企业培育工程</w:t>
            </w:r>
          </w:p>
        </w:tc>
        <w:tc>
          <w:tcPr>
            <w:tcW w:w="970"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培育创新领军企业</w:t>
            </w:r>
          </w:p>
        </w:tc>
        <w:tc>
          <w:tcPr>
            <w:tcW w:w="2972"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累计获评省、市服务业领域领军企业数量达20家。省级两业融合发展标杆典型5家。</w:t>
            </w:r>
          </w:p>
        </w:tc>
        <w:tc>
          <w:tcPr>
            <w:tcW w:w="6306"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发挥平台对资源的集聚功能，创新平台经济发展业态，抓好大型平台外引内育，打造一批平台型创新领军企业，积极组织企业申报省级服务贸易重点企业。打造两业融合标杆，推动制造服务业发展，超前谋划制造业和服务业协同创新示范布局。积极打造国家级、省级工业互联网产业示范基地，培育国家级服务型制造示范企业、示范项目、示范平台。</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市发改委、市工信局、市商务局按职责分工负责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70" w:lineRule="exact"/>
              <w:jc w:val="center"/>
              <w:textAlignment w:val="center"/>
              <w:rPr>
                <w:bCs/>
                <w:color w:val="000000"/>
                <w:sz w:val="21"/>
                <w:szCs w:val="21"/>
              </w:rPr>
            </w:pPr>
            <w:r>
              <w:rPr>
                <w:rFonts w:hint="eastAsia"/>
                <w:bCs/>
                <w:color w:val="000000"/>
                <w:sz w:val="21"/>
                <w:szCs w:val="21"/>
              </w:rPr>
              <w:t>14</w:t>
            </w:r>
          </w:p>
        </w:tc>
        <w:tc>
          <w:tcPr>
            <w:tcW w:w="713" w:type="dxa"/>
            <w:vMerge w:val="continue"/>
            <w:tcMar>
              <w:top w:w="15" w:type="dxa"/>
              <w:left w:w="15" w:type="dxa"/>
              <w:right w:w="15" w:type="dxa"/>
            </w:tcMar>
            <w:vAlign w:val="center"/>
          </w:tcPr>
          <w:p>
            <w:pPr>
              <w:spacing w:line="370" w:lineRule="exact"/>
              <w:rPr>
                <w:color w:val="000000"/>
                <w:sz w:val="21"/>
                <w:szCs w:val="21"/>
              </w:rPr>
            </w:pPr>
          </w:p>
        </w:tc>
        <w:tc>
          <w:tcPr>
            <w:tcW w:w="970"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打造高能级总部企业</w:t>
            </w:r>
          </w:p>
        </w:tc>
        <w:tc>
          <w:tcPr>
            <w:tcW w:w="2972"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累计认定市级总部企业220家。</w:t>
            </w:r>
          </w:p>
        </w:tc>
        <w:tc>
          <w:tcPr>
            <w:tcW w:w="6306"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聚焦重点优势产业总部，重点招引民营总部和央企第二总部，整合中新、中日、中德、中越、中非、对台等资源，打造跨境总部特色高地。开展2022年度总部企业复核认定工作，发布全市总部经济发展情况。</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市发改委、市商务局按职责分工负责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70" w:lineRule="exact"/>
              <w:jc w:val="center"/>
              <w:textAlignment w:val="center"/>
              <w:rPr>
                <w:bCs/>
                <w:color w:val="000000"/>
                <w:sz w:val="21"/>
                <w:szCs w:val="21"/>
              </w:rPr>
            </w:pPr>
            <w:r>
              <w:rPr>
                <w:rFonts w:hint="eastAsia"/>
                <w:bCs/>
                <w:color w:val="000000"/>
                <w:sz w:val="21"/>
                <w:szCs w:val="21"/>
              </w:rPr>
              <w:t>15</w:t>
            </w:r>
          </w:p>
        </w:tc>
        <w:tc>
          <w:tcPr>
            <w:tcW w:w="713" w:type="dxa"/>
            <w:vMerge w:val="restart"/>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新兴服务业创新人才集聚工程</w:t>
            </w:r>
          </w:p>
        </w:tc>
        <w:tc>
          <w:tcPr>
            <w:tcW w:w="970"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着力引育高端紧缺人才</w:t>
            </w:r>
          </w:p>
        </w:tc>
        <w:tc>
          <w:tcPr>
            <w:tcW w:w="2972"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实施更加开放更加便利的人才引进政策，年度入选市级以上双创人才600人。</w:t>
            </w:r>
          </w:p>
        </w:tc>
        <w:tc>
          <w:tcPr>
            <w:tcW w:w="6306"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全面了解服务业对紧缺人才的需求情况，加强对高校和职业院校在服务业紧缺专业设置及课程教学上的引导。通过各种渠道和平台，加强对应用型人才和技术技能人才成长故事的宣传，系统营造良好的人才成长环境，积极做好省双创人才的培育和申报工作。</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市委人才办</w:t>
            </w:r>
            <w:r>
              <w:rPr>
                <w:rFonts w:hint="eastAsia"/>
                <w:color w:val="000000"/>
                <w:sz w:val="21"/>
                <w:szCs w:val="21"/>
              </w:rPr>
              <w:t>、</w:t>
            </w:r>
            <w:r>
              <w:rPr>
                <w:color w:val="000000"/>
                <w:sz w:val="21"/>
                <w:szCs w:val="21"/>
              </w:rPr>
              <w:t>市发改委、市教育局、市人社局按职责分工负责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70" w:lineRule="exact"/>
              <w:jc w:val="center"/>
              <w:textAlignment w:val="center"/>
              <w:rPr>
                <w:bCs/>
                <w:color w:val="000000"/>
                <w:sz w:val="21"/>
                <w:szCs w:val="21"/>
              </w:rPr>
            </w:pPr>
            <w:r>
              <w:rPr>
                <w:rFonts w:hint="eastAsia"/>
                <w:bCs/>
                <w:color w:val="000000"/>
                <w:sz w:val="21"/>
                <w:szCs w:val="21"/>
              </w:rPr>
              <w:t>16</w:t>
            </w:r>
          </w:p>
        </w:tc>
        <w:tc>
          <w:tcPr>
            <w:tcW w:w="713" w:type="dxa"/>
            <w:vMerge w:val="continue"/>
            <w:tcMar>
              <w:top w:w="15" w:type="dxa"/>
              <w:left w:w="15" w:type="dxa"/>
              <w:right w:w="15" w:type="dxa"/>
            </w:tcMar>
            <w:vAlign w:val="center"/>
          </w:tcPr>
          <w:p>
            <w:pPr>
              <w:spacing w:line="370" w:lineRule="exact"/>
              <w:rPr>
                <w:color w:val="000000"/>
                <w:sz w:val="21"/>
                <w:szCs w:val="21"/>
              </w:rPr>
            </w:pPr>
          </w:p>
        </w:tc>
        <w:tc>
          <w:tcPr>
            <w:tcW w:w="970"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多层次培育新兴领域人才</w:t>
            </w:r>
          </w:p>
        </w:tc>
        <w:tc>
          <w:tcPr>
            <w:tcW w:w="2972"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加快培养集聚一支数量充足、结构合理、素质优良的产业型人才队伍。</w:t>
            </w:r>
          </w:p>
        </w:tc>
        <w:tc>
          <w:tcPr>
            <w:tcW w:w="6306"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紧密对接苏州新兴服务产业前沿及需求，支持有实力的骨干企业与高等院校和职业院校通过共建共管现代产业学院、企业学院等方式，深化产教融合、校企合作，提升人才培养与企业岗位需求的匹配度和适应性。</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市委人才办</w:t>
            </w:r>
            <w:r>
              <w:rPr>
                <w:rFonts w:hint="eastAsia"/>
                <w:color w:val="000000"/>
                <w:sz w:val="21"/>
                <w:szCs w:val="21"/>
              </w:rPr>
              <w:t>、</w:t>
            </w:r>
            <w:r>
              <w:rPr>
                <w:color w:val="000000"/>
                <w:sz w:val="21"/>
                <w:szCs w:val="21"/>
              </w:rPr>
              <w:t>市发改委、市教育局、市人社局按职责分工负责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70" w:lineRule="exact"/>
              <w:jc w:val="center"/>
              <w:textAlignment w:val="center"/>
              <w:rPr>
                <w:bCs/>
                <w:color w:val="000000"/>
                <w:sz w:val="21"/>
                <w:szCs w:val="21"/>
              </w:rPr>
            </w:pPr>
            <w:r>
              <w:rPr>
                <w:rFonts w:hint="eastAsia"/>
                <w:bCs/>
                <w:color w:val="000000"/>
                <w:sz w:val="21"/>
                <w:szCs w:val="21"/>
              </w:rPr>
              <w:t>17</w:t>
            </w:r>
          </w:p>
        </w:tc>
        <w:tc>
          <w:tcPr>
            <w:tcW w:w="713" w:type="dxa"/>
            <w:vMerge w:val="restart"/>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新兴服务业创新载体推进工程</w:t>
            </w:r>
          </w:p>
        </w:tc>
        <w:tc>
          <w:tcPr>
            <w:tcW w:w="970"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提升楼宇经济和集聚区发展质效</w:t>
            </w:r>
          </w:p>
        </w:tc>
        <w:tc>
          <w:tcPr>
            <w:tcW w:w="2972"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累计打造省级现代服务业高质量集聚发展示范区10家，提标升级新兴服务业创新集聚区5家。支持培育一批特色楼宇、专业楼宇、亿元楼宇，试点打造一批头部型、集约型、高密度的科技“硅楼”。</w:t>
            </w:r>
          </w:p>
        </w:tc>
        <w:tc>
          <w:tcPr>
            <w:tcW w:w="6306"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对楼宇经济开展专题调研，研究推进楼宇经济高质量发展相关举措，定期跟踪楼宇经济发展情况，对具有一定体量规模、产业服务功能和经济贡献度的优秀楼宇给予支持，持续推动楼宇经济业态结构优化和楼宇品质提升。</w:t>
            </w:r>
          </w:p>
          <w:p>
            <w:pPr>
              <w:widowControl/>
              <w:spacing w:line="370" w:lineRule="exact"/>
              <w:textAlignment w:val="center"/>
              <w:rPr>
                <w:color w:val="000000"/>
                <w:sz w:val="21"/>
                <w:szCs w:val="21"/>
              </w:rPr>
            </w:pPr>
            <w:r>
              <w:rPr>
                <w:rFonts w:hint="eastAsia"/>
                <w:color w:val="000000"/>
                <w:sz w:val="21"/>
                <w:szCs w:val="21"/>
              </w:rPr>
              <w:t>进一步增强集聚区要素吸附能力、产业支撑能力和辐射带动能力，积极培育省级现代服务业高质量发展集聚示范区。</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市发改委、</w:t>
            </w:r>
            <w:r>
              <w:rPr>
                <w:rFonts w:hint="eastAsia"/>
                <w:color w:val="000000"/>
                <w:sz w:val="21"/>
                <w:szCs w:val="21"/>
              </w:rPr>
              <w:t>市科技局、</w:t>
            </w:r>
            <w:r>
              <w:rPr>
                <w:color w:val="000000"/>
                <w:sz w:val="21"/>
                <w:szCs w:val="21"/>
              </w:rPr>
              <w:t>市商务局按职责分工负责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70" w:lineRule="exact"/>
              <w:jc w:val="center"/>
              <w:textAlignment w:val="center"/>
              <w:rPr>
                <w:bCs/>
                <w:color w:val="000000"/>
                <w:sz w:val="21"/>
                <w:szCs w:val="21"/>
              </w:rPr>
            </w:pPr>
            <w:r>
              <w:rPr>
                <w:rFonts w:hint="eastAsia"/>
                <w:bCs/>
                <w:color w:val="000000"/>
                <w:sz w:val="21"/>
                <w:szCs w:val="21"/>
              </w:rPr>
              <w:t>18</w:t>
            </w:r>
          </w:p>
        </w:tc>
        <w:tc>
          <w:tcPr>
            <w:tcW w:w="713" w:type="dxa"/>
            <w:vMerge w:val="continue"/>
            <w:tcMar>
              <w:top w:w="15" w:type="dxa"/>
              <w:left w:w="15" w:type="dxa"/>
              <w:right w:w="15" w:type="dxa"/>
            </w:tcMar>
            <w:vAlign w:val="center"/>
          </w:tcPr>
          <w:p>
            <w:pPr>
              <w:spacing w:line="370" w:lineRule="exact"/>
              <w:rPr>
                <w:color w:val="000000"/>
                <w:sz w:val="21"/>
                <w:szCs w:val="21"/>
              </w:rPr>
            </w:pPr>
          </w:p>
        </w:tc>
        <w:tc>
          <w:tcPr>
            <w:tcW w:w="970"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推动产业创新服务平台高质量发展</w:t>
            </w:r>
          </w:p>
        </w:tc>
        <w:tc>
          <w:tcPr>
            <w:tcW w:w="2972"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面向四大产业集群和重点领域，打造一批产业服务创新平台、公共服务创新平台。鼓励企业建设工程研究中心、工程技术研究中心、企业技术中心等研发机构。累计建设省市场监管重点实验室、技术创新中心1个。</w:t>
            </w:r>
          </w:p>
        </w:tc>
        <w:tc>
          <w:tcPr>
            <w:tcW w:w="6306" w:type="dxa"/>
            <w:tcMar>
              <w:top w:w="15" w:type="dxa"/>
              <w:left w:w="15" w:type="dxa"/>
              <w:right w:w="15" w:type="dxa"/>
            </w:tcMar>
            <w:vAlign w:val="center"/>
          </w:tcPr>
          <w:p>
            <w:pPr>
              <w:widowControl/>
              <w:spacing w:line="370" w:lineRule="exact"/>
              <w:textAlignment w:val="center"/>
              <w:rPr>
                <w:sz w:val="21"/>
                <w:szCs w:val="21"/>
              </w:rPr>
            </w:pPr>
            <w:r>
              <w:rPr>
                <w:rFonts w:hint="eastAsia"/>
                <w:color w:val="000000"/>
                <w:sz w:val="21"/>
                <w:szCs w:val="21"/>
              </w:rPr>
              <w:t>打造服务经济新平台，强化研发设计、信息服务、金融服务、专业技术服务、展示交易等产业服务创新平台和公共服务平台建设。</w:t>
            </w:r>
            <w:r>
              <w:rPr>
                <w:rFonts w:hint="eastAsia"/>
                <w:sz w:val="21"/>
                <w:szCs w:val="21"/>
              </w:rPr>
              <w:t>加快推进先进技术成果长三角转化中心、量子科技长三角产业创新中心等一批重量级科技转化创新平台建设。鼓励龙头企业平台化转型，加快建设一批工程研究中心、工程技术研究中心、企业技术中心等研发创新平台。</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市发改委、市教育局、市科技局、市工信局、市市场监管局</w:t>
            </w:r>
            <w:r>
              <w:rPr>
                <w:rFonts w:hint="eastAsia"/>
                <w:color w:val="000000"/>
                <w:sz w:val="21"/>
                <w:szCs w:val="21"/>
              </w:rPr>
              <w:t>、市金融监管局</w:t>
            </w:r>
            <w:r>
              <w:rPr>
                <w:color w:val="000000"/>
                <w:sz w:val="21"/>
                <w:szCs w:val="21"/>
              </w:rPr>
              <w:t>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70" w:lineRule="exact"/>
              <w:jc w:val="center"/>
              <w:textAlignment w:val="center"/>
              <w:rPr>
                <w:bCs/>
                <w:color w:val="000000"/>
                <w:sz w:val="21"/>
                <w:szCs w:val="21"/>
              </w:rPr>
            </w:pPr>
            <w:r>
              <w:rPr>
                <w:rFonts w:hint="eastAsia"/>
                <w:bCs/>
                <w:color w:val="000000"/>
                <w:sz w:val="21"/>
                <w:szCs w:val="21"/>
              </w:rPr>
              <w:t>19</w:t>
            </w:r>
          </w:p>
        </w:tc>
        <w:tc>
          <w:tcPr>
            <w:tcW w:w="713" w:type="dxa"/>
            <w:vMerge w:val="restart"/>
            <w:tcMar>
              <w:top w:w="15" w:type="dxa"/>
              <w:left w:w="15" w:type="dxa"/>
              <w:right w:w="15" w:type="dxa"/>
            </w:tcMar>
            <w:vAlign w:val="center"/>
          </w:tcPr>
          <w:p>
            <w:pPr>
              <w:spacing w:line="370" w:lineRule="exact"/>
              <w:rPr>
                <w:color w:val="000000"/>
                <w:sz w:val="21"/>
                <w:szCs w:val="21"/>
              </w:rPr>
            </w:pPr>
            <w:r>
              <w:rPr>
                <w:rFonts w:hint="eastAsia"/>
                <w:color w:val="000000"/>
                <w:sz w:val="21"/>
                <w:szCs w:val="21"/>
              </w:rPr>
              <w:t>新兴服务业创新生态营造工程</w:t>
            </w:r>
          </w:p>
        </w:tc>
        <w:tc>
          <w:tcPr>
            <w:tcW w:w="970"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提升服务支撑能力</w:t>
            </w:r>
          </w:p>
        </w:tc>
        <w:tc>
          <w:tcPr>
            <w:tcW w:w="2972"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强化科技金融支撑，深入实施知识产权战略，有效支撑新兴服务业高质量发展。全市技术合同成交额达700亿元。新增服务业上市企业2～3家。</w:t>
            </w:r>
          </w:p>
        </w:tc>
        <w:tc>
          <w:tcPr>
            <w:tcW w:w="6306" w:type="dxa"/>
            <w:tcMar>
              <w:top w:w="15" w:type="dxa"/>
              <w:left w:w="15" w:type="dxa"/>
              <w:right w:w="15" w:type="dxa"/>
            </w:tcMar>
            <w:vAlign w:val="center"/>
          </w:tcPr>
          <w:p>
            <w:pPr>
              <w:widowControl/>
              <w:spacing w:line="370" w:lineRule="exact"/>
              <w:textAlignment w:val="center"/>
              <w:rPr>
                <w:color w:val="000000"/>
                <w:sz w:val="21"/>
                <w:szCs w:val="21"/>
              </w:rPr>
            </w:pPr>
            <w:r>
              <w:rPr>
                <w:rFonts w:hint="eastAsia"/>
                <w:color w:val="000000"/>
                <w:sz w:val="21"/>
                <w:szCs w:val="21"/>
              </w:rPr>
              <w:t>聚焦科技金融服务领域，持续完善科技贷款政策框架，进一步扩大政策性科技投资受惠面，强化对优秀人才企业、创新载体的投资力度。聚焦要素配置工程，围绕关键技术攻关项目实施10项高价值专利培育计划项目，引导创新主体加强技术与专利“双研发”，加强海内外专利布局，培育一批具有核心竞争力的高价值专利组合。实施10项知识产权运营引导计划，引导更多的知识产权资源和苏州企业对接。开展知识产权金融入园惠企行动，扩大知识产权质押融资惠企覆盖面。完善知识产权保护网络体系，逐步形成市、区、乡镇三级知识产权保护服务体系。</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市科技局、市财政局、市市场监管局、市金融监管局、人行苏州中支按职责分工负责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543" w:type="dxa"/>
            <w:tcMar>
              <w:top w:w="15" w:type="dxa"/>
              <w:left w:w="15" w:type="dxa"/>
              <w:right w:w="15" w:type="dxa"/>
            </w:tcMar>
            <w:vAlign w:val="center"/>
          </w:tcPr>
          <w:p>
            <w:pPr>
              <w:widowControl/>
              <w:spacing w:line="360" w:lineRule="exact"/>
              <w:jc w:val="center"/>
              <w:textAlignment w:val="center"/>
              <w:rPr>
                <w:bCs/>
                <w:color w:val="000000"/>
                <w:sz w:val="21"/>
                <w:szCs w:val="21"/>
              </w:rPr>
            </w:pPr>
            <w:r>
              <w:rPr>
                <w:rFonts w:hint="eastAsia"/>
                <w:bCs/>
                <w:color w:val="000000"/>
                <w:sz w:val="21"/>
                <w:szCs w:val="21"/>
              </w:rPr>
              <w:t>20</w:t>
            </w:r>
          </w:p>
        </w:tc>
        <w:tc>
          <w:tcPr>
            <w:tcW w:w="713" w:type="dxa"/>
            <w:vMerge w:val="continue"/>
            <w:tcMar>
              <w:top w:w="15" w:type="dxa"/>
              <w:left w:w="15" w:type="dxa"/>
              <w:right w:w="15" w:type="dxa"/>
            </w:tcMar>
            <w:vAlign w:val="center"/>
          </w:tcPr>
          <w:p>
            <w:pPr>
              <w:spacing w:line="360" w:lineRule="exact"/>
              <w:rPr>
                <w:color w:val="000000"/>
                <w:sz w:val="21"/>
                <w:szCs w:val="21"/>
              </w:rPr>
            </w:pPr>
          </w:p>
        </w:tc>
        <w:tc>
          <w:tcPr>
            <w:tcW w:w="970" w:type="dxa"/>
            <w:tcMar>
              <w:top w:w="15" w:type="dxa"/>
              <w:left w:w="15" w:type="dxa"/>
              <w:right w:w="15" w:type="dxa"/>
            </w:tcMar>
            <w:vAlign w:val="center"/>
          </w:tcPr>
          <w:p>
            <w:pPr>
              <w:widowControl/>
              <w:spacing w:line="360" w:lineRule="exact"/>
              <w:textAlignment w:val="center"/>
              <w:rPr>
                <w:color w:val="000000"/>
                <w:sz w:val="21"/>
                <w:szCs w:val="21"/>
              </w:rPr>
            </w:pPr>
            <w:r>
              <w:rPr>
                <w:rFonts w:hint="eastAsia"/>
                <w:color w:val="000000"/>
                <w:sz w:val="21"/>
                <w:szCs w:val="21"/>
              </w:rPr>
              <w:t>打造营商环境优势</w:t>
            </w:r>
          </w:p>
        </w:tc>
        <w:tc>
          <w:tcPr>
            <w:tcW w:w="2972" w:type="dxa"/>
            <w:tcMar>
              <w:top w:w="15" w:type="dxa"/>
              <w:left w:w="15" w:type="dxa"/>
              <w:right w:w="15" w:type="dxa"/>
            </w:tcMar>
            <w:vAlign w:val="center"/>
          </w:tcPr>
          <w:p>
            <w:pPr>
              <w:widowControl/>
              <w:spacing w:line="360" w:lineRule="exact"/>
              <w:textAlignment w:val="center"/>
              <w:rPr>
                <w:color w:val="000000"/>
                <w:sz w:val="21"/>
                <w:szCs w:val="21"/>
              </w:rPr>
            </w:pPr>
            <w:r>
              <w:rPr>
                <w:rFonts w:hint="eastAsia"/>
                <w:color w:val="000000"/>
                <w:sz w:val="21"/>
                <w:szCs w:val="21"/>
              </w:rPr>
              <w:t>进一步完善法人服务总入口“苏商通”，持续优化营商环境。培育一批跨境、跨区域、辐射带动力强的细分服务业市场。</w:t>
            </w:r>
          </w:p>
        </w:tc>
        <w:tc>
          <w:tcPr>
            <w:tcW w:w="6306" w:type="dxa"/>
            <w:tcMar>
              <w:top w:w="15" w:type="dxa"/>
              <w:left w:w="15" w:type="dxa"/>
              <w:right w:w="15" w:type="dxa"/>
            </w:tcMar>
            <w:vAlign w:val="center"/>
          </w:tcPr>
          <w:p>
            <w:pPr>
              <w:widowControl/>
              <w:spacing w:line="360" w:lineRule="exact"/>
              <w:textAlignment w:val="center"/>
              <w:rPr>
                <w:color w:val="000000"/>
                <w:sz w:val="21"/>
                <w:szCs w:val="21"/>
              </w:rPr>
            </w:pPr>
            <w:r>
              <w:rPr>
                <w:rFonts w:hint="eastAsia"/>
                <w:color w:val="000000"/>
                <w:sz w:val="21"/>
                <w:szCs w:val="21"/>
              </w:rPr>
              <w:t>集成新兴服务业相关政策和服务，让法人只进“一个入口”就能高效办理“一批事”，实现营商惠企。打造“一企一码一库”，推广“苏商通”法人码应用，提供“码上授权”“扫码取号”“扫码亮证”等便捷服务。深化沪苏产业协同，主动承接上海现代服务业溢出效应。认真检查梳理各项试点任务的推进情况，总结试点工作成效，把各项任务的推进落实与服务贸易创新发展有机结合，高质量完成全面深化试点任务。</w:t>
            </w:r>
          </w:p>
        </w:tc>
        <w:tc>
          <w:tcPr>
            <w:tcW w:w="1537" w:type="dxa"/>
            <w:tcMar>
              <w:top w:w="15" w:type="dxa"/>
              <w:left w:w="15" w:type="dxa"/>
              <w:right w:w="15" w:type="dxa"/>
            </w:tcMar>
            <w:vAlign w:val="center"/>
          </w:tcPr>
          <w:p>
            <w:pPr>
              <w:widowControl/>
              <w:spacing w:line="340" w:lineRule="exact"/>
              <w:textAlignment w:val="center"/>
              <w:rPr>
                <w:color w:val="000000"/>
                <w:sz w:val="21"/>
                <w:szCs w:val="21"/>
              </w:rPr>
            </w:pPr>
            <w:r>
              <w:rPr>
                <w:color w:val="000000"/>
                <w:sz w:val="21"/>
                <w:szCs w:val="21"/>
              </w:rPr>
              <w:t>市优化营商环境工作领导小组各成员单位按职责分工负责</w:t>
            </w:r>
          </w:p>
        </w:tc>
      </w:tr>
    </w:tbl>
    <w:p/>
    <w:sectPr>
      <w:footerReference r:id="rId6" w:type="even"/>
      <w:type w:val="evenPage"/>
      <w:pgSz w:w="16838" w:h="11906" w:orient="landscape"/>
      <w:pgMar w:top="1588" w:right="2041" w:bottom="1474" w:left="1985" w:header="851" w:footer="1134" w:gutter="0"/>
      <w:pgNumType w:chapStyle="1"/>
      <w:cols w:space="425" w:num="1"/>
      <w:docGrid w:type="lines" w:linePitch="58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鼎CS仿宋体">
    <w:altName w:val="宋体"/>
    <w:panose1 w:val="00000000000000000000"/>
    <w:charset w:val="86"/>
    <w:family w:val="modern"/>
    <w:pitch w:val="default"/>
    <w:sig w:usb0="00000000" w:usb1="00000000" w:usb2="0000001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20" w:leftChars="100" w:right="320" w:rightChars="100"/>
      <w:jc w:val="right"/>
      <w:rPr>
        <w:sz w:val="28"/>
        <w:szCs w:val="28"/>
      </w:rPr>
    </w:pPr>
    <w:r>
      <w:rPr>
        <w:rStyle w:val="19"/>
        <w:rFonts w:hint="eastAsia" w:eastAsia="宋体"/>
        <w:sz w:val="28"/>
        <w:szCs w:val="28"/>
      </w:rPr>
      <w:t>—</w:t>
    </w:r>
    <w:r>
      <w:rPr>
        <w:rStyle w:val="19"/>
        <w:rFonts w:ascii="Times New Roman"/>
        <w:sz w:val="28"/>
        <w:szCs w:val="28"/>
      </w:rPr>
      <w:t xml:space="preserve"> </w:t>
    </w:r>
    <w:r>
      <w:rPr>
        <w:rStyle w:val="19"/>
        <w:rFonts w:ascii="宋体" w:hAnsi="宋体" w:eastAsia="宋体"/>
        <w:sz w:val="28"/>
        <w:szCs w:val="28"/>
      </w:rPr>
      <w:fldChar w:fldCharType="begin"/>
    </w:r>
    <w:r>
      <w:rPr>
        <w:rStyle w:val="19"/>
        <w:rFonts w:ascii="宋体" w:hAnsi="宋体" w:eastAsia="宋体"/>
        <w:sz w:val="28"/>
        <w:szCs w:val="28"/>
      </w:rPr>
      <w:instrText xml:space="preserve">PAGE  </w:instrText>
    </w:r>
    <w:r>
      <w:rPr>
        <w:rStyle w:val="19"/>
        <w:rFonts w:ascii="宋体" w:hAnsi="宋体" w:eastAsia="宋体"/>
        <w:sz w:val="28"/>
        <w:szCs w:val="28"/>
      </w:rPr>
      <w:fldChar w:fldCharType="separate"/>
    </w:r>
    <w:r>
      <w:rPr>
        <w:rStyle w:val="19"/>
        <w:rFonts w:ascii="宋体" w:hAnsi="宋体" w:eastAsia="宋体"/>
        <w:sz w:val="28"/>
        <w:szCs w:val="28"/>
      </w:rPr>
      <w:t>2</w:t>
    </w:r>
    <w:r>
      <w:rPr>
        <w:rStyle w:val="19"/>
        <w:rFonts w:ascii="宋体" w:hAnsi="宋体" w:eastAsia="宋体"/>
        <w:sz w:val="28"/>
        <w:szCs w:val="28"/>
      </w:rPr>
      <w:fldChar w:fldCharType="end"/>
    </w:r>
    <w:r>
      <w:rPr>
        <w:rStyle w:val="19"/>
        <w:rFonts w:ascii="Times New Roman"/>
        <w:sz w:val="28"/>
        <w:szCs w:val="28"/>
      </w:rPr>
      <w:t xml:space="preserve"> </w:t>
    </w:r>
    <w:r>
      <w:rPr>
        <w:rStyle w:val="19"/>
        <w:rFonts w:hint="eastAsia"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20" w:leftChars="100" w:right="320" w:rightChars="100"/>
    </w:pPr>
    <w:r>
      <w:rPr>
        <w:rStyle w:val="19"/>
        <w:rFonts w:hint="eastAsia" w:eastAsia="宋体"/>
        <w:sz w:val="28"/>
        <w:szCs w:val="28"/>
      </w:rPr>
      <w:t>—</w:t>
    </w:r>
    <w:r>
      <w:rPr>
        <w:rStyle w:val="19"/>
        <w:rFonts w:hint="eastAsia"/>
        <w:sz w:val="28"/>
        <w:szCs w:val="28"/>
      </w:rPr>
      <w:t xml:space="preserve"> </w:t>
    </w:r>
    <w:r>
      <w:rPr>
        <w:rStyle w:val="19"/>
        <w:rFonts w:ascii="宋体" w:hAnsi="宋体" w:eastAsia="宋体"/>
        <w:sz w:val="28"/>
        <w:szCs w:val="28"/>
      </w:rPr>
      <w:fldChar w:fldCharType="begin"/>
    </w:r>
    <w:r>
      <w:rPr>
        <w:rStyle w:val="19"/>
        <w:rFonts w:ascii="宋体" w:hAnsi="宋体" w:eastAsia="宋体"/>
        <w:sz w:val="28"/>
        <w:szCs w:val="28"/>
      </w:rPr>
      <w:instrText xml:space="preserve">PAGE  </w:instrText>
    </w:r>
    <w:r>
      <w:rPr>
        <w:rStyle w:val="19"/>
        <w:rFonts w:ascii="宋体" w:hAnsi="宋体" w:eastAsia="宋体"/>
        <w:sz w:val="28"/>
        <w:szCs w:val="28"/>
      </w:rPr>
      <w:fldChar w:fldCharType="separate"/>
    </w:r>
    <w:r>
      <w:rPr>
        <w:rStyle w:val="19"/>
        <w:rFonts w:ascii="宋体" w:hAnsi="宋体" w:eastAsia="宋体"/>
        <w:sz w:val="28"/>
        <w:szCs w:val="28"/>
      </w:rPr>
      <w:t>2</w:t>
    </w:r>
    <w:r>
      <w:rPr>
        <w:rStyle w:val="19"/>
        <w:rFonts w:ascii="宋体" w:hAnsi="宋体" w:eastAsia="宋体"/>
        <w:sz w:val="28"/>
        <w:szCs w:val="28"/>
      </w:rPr>
      <w:fldChar w:fldCharType="end"/>
    </w:r>
    <w:r>
      <w:rPr>
        <w:rStyle w:val="19"/>
        <w:rFonts w:hint="eastAsia"/>
        <w:sz w:val="28"/>
        <w:szCs w:val="28"/>
      </w:rPr>
      <w:t xml:space="preserve"> </w:t>
    </w:r>
    <w:r>
      <w:rPr>
        <w:rStyle w:val="19"/>
        <w:rFonts w:hint="eastAsia"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32"/>
      </w:rPr>
    </w:pPr>
    <w:r>
      <w:rPr>
        <w:rStyle w:val="19"/>
        <w:rFonts w:hint="eastAsia"/>
        <w:sz w:val="32"/>
      </w:rPr>
      <w:t xml:space="preserve">— </w:t>
    </w:r>
    <w:r>
      <w:rPr>
        <w:rStyle w:val="19"/>
        <w:rFonts w:hint="eastAsia"/>
        <w:sz w:val="30"/>
      </w:rPr>
      <w:fldChar w:fldCharType="begin"/>
    </w:r>
    <w:r>
      <w:rPr>
        <w:rStyle w:val="19"/>
        <w:rFonts w:hint="eastAsia"/>
        <w:sz w:val="30"/>
      </w:rPr>
      <w:instrText xml:space="preserve"> PAGE </w:instrText>
    </w:r>
    <w:r>
      <w:rPr>
        <w:rStyle w:val="19"/>
        <w:rFonts w:hint="eastAsia"/>
        <w:sz w:val="30"/>
      </w:rPr>
      <w:fldChar w:fldCharType="separate"/>
    </w:r>
    <w:r>
      <w:rPr>
        <w:rStyle w:val="19"/>
        <w:sz w:val="30"/>
      </w:rPr>
      <w:t>1</w:t>
    </w:r>
    <w:r>
      <w:rPr>
        <w:rStyle w:val="19"/>
        <w:rFonts w:hint="eastAsia"/>
        <w:sz w:val="30"/>
      </w:rPr>
      <w:fldChar w:fldCharType="end"/>
    </w:r>
    <w:r>
      <w:rPr>
        <w:rStyle w:val="19"/>
        <w:rFonts w:hint="eastAsia"/>
        <w:sz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20" w:leftChars="100" w:right="320" w:rightChars="100"/>
    </w:pPr>
    <w:r>
      <w:rPr>
        <w:rStyle w:val="19"/>
        <w:rFonts w:hint="eastAsia" w:eastAsia="宋体"/>
        <w:sz w:val="28"/>
        <w:szCs w:val="28"/>
      </w:rPr>
      <w:t>—</w:t>
    </w:r>
    <w:r>
      <w:rPr>
        <w:rStyle w:val="19"/>
        <w:rFonts w:hint="eastAsia"/>
        <w:sz w:val="28"/>
        <w:szCs w:val="28"/>
      </w:rPr>
      <w:t xml:space="preserve"> </w:t>
    </w:r>
    <w:r>
      <w:rPr>
        <w:rStyle w:val="19"/>
        <w:rFonts w:hint="eastAsia" w:ascii="宋体" w:hAnsi="宋体" w:eastAsia="宋体"/>
        <w:sz w:val="28"/>
        <w:szCs w:val="28"/>
      </w:rPr>
      <w:t>30</w:t>
    </w:r>
    <w:r>
      <w:rPr>
        <w:rStyle w:val="19"/>
        <w:rFonts w:hint="eastAsia"/>
        <w:sz w:val="28"/>
        <w:szCs w:val="28"/>
      </w:rPr>
      <w:t xml:space="preserve"> </w:t>
    </w:r>
    <w:r>
      <w:rPr>
        <w:rStyle w:val="19"/>
        <w:rFonts w:hint="eastAsia"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705BA"/>
    <w:multiLevelType w:val="multilevel"/>
    <w:tmpl w:val="548705BA"/>
    <w:lvl w:ilvl="0" w:tentative="0">
      <w:start w:val="1"/>
      <w:numFmt w:val="japaneseCounting"/>
      <w:pStyle w:val="26"/>
      <w:lvlText w:val="（%1）"/>
      <w:lvlJc w:val="left"/>
      <w:pPr>
        <w:tabs>
          <w:tab w:val="left" w:pos="1707"/>
        </w:tabs>
        <w:ind w:left="1707" w:hanging="1080"/>
      </w:pPr>
      <w:rPr>
        <w:rFonts w:hint="eastAsia"/>
      </w:rPr>
    </w:lvl>
    <w:lvl w:ilvl="1" w:tentative="0">
      <w:start w:val="1"/>
      <w:numFmt w:val="lowerLetter"/>
      <w:lvlText w:val="%2)"/>
      <w:lvlJc w:val="left"/>
      <w:pPr>
        <w:tabs>
          <w:tab w:val="left" w:pos="1467"/>
        </w:tabs>
        <w:ind w:left="1467" w:hanging="420"/>
      </w:pPr>
    </w:lvl>
    <w:lvl w:ilvl="2" w:tentative="0">
      <w:start w:val="1"/>
      <w:numFmt w:val="lowerRoman"/>
      <w:lvlText w:val="%3."/>
      <w:lvlJc w:val="right"/>
      <w:pPr>
        <w:tabs>
          <w:tab w:val="left" w:pos="1887"/>
        </w:tabs>
        <w:ind w:left="1887" w:hanging="420"/>
      </w:pPr>
    </w:lvl>
    <w:lvl w:ilvl="3" w:tentative="0">
      <w:start w:val="1"/>
      <w:numFmt w:val="decimal"/>
      <w:lvlText w:val="%4."/>
      <w:lvlJc w:val="left"/>
      <w:pPr>
        <w:tabs>
          <w:tab w:val="left" w:pos="2307"/>
        </w:tabs>
        <w:ind w:left="2307" w:hanging="420"/>
      </w:pPr>
    </w:lvl>
    <w:lvl w:ilvl="4" w:tentative="0">
      <w:start w:val="1"/>
      <w:numFmt w:val="lowerLetter"/>
      <w:lvlText w:val="%5)"/>
      <w:lvlJc w:val="left"/>
      <w:pPr>
        <w:tabs>
          <w:tab w:val="left" w:pos="2727"/>
        </w:tabs>
        <w:ind w:left="2727" w:hanging="420"/>
      </w:pPr>
    </w:lvl>
    <w:lvl w:ilvl="5" w:tentative="0">
      <w:start w:val="1"/>
      <w:numFmt w:val="lowerRoman"/>
      <w:lvlText w:val="%6."/>
      <w:lvlJc w:val="right"/>
      <w:pPr>
        <w:tabs>
          <w:tab w:val="left" w:pos="3147"/>
        </w:tabs>
        <w:ind w:left="3147" w:hanging="420"/>
      </w:pPr>
    </w:lvl>
    <w:lvl w:ilvl="6" w:tentative="0">
      <w:start w:val="1"/>
      <w:numFmt w:val="decimal"/>
      <w:lvlText w:val="%7."/>
      <w:lvlJc w:val="left"/>
      <w:pPr>
        <w:tabs>
          <w:tab w:val="left" w:pos="3567"/>
        </w:tabs>
        <w:ind w:left="3567" w:hanging="420"/>
      </w:pPr>
    </w:lvl>
    <w:lvl w:ilvl="7" w:tentative="0">
      <w:start w:val="1"/>
      <w:numFmt w:val="lowerLetter"/>
      <w:lvlText w:val="%8)"/>
      <w:lvlJc w:val="left"/>
      <w:pPr>
        <w:tabs>
          <w:tab w:val="left" w:pos="3987"/>
        </w:tabs>
        <w:ind w:left="3987" w:hanging="420"/>
      </w:pPr>
    </w:lvl>
    <w:lvl w:ilvl="8" w:tentative="0">
      <w:start w:val="1"/>
      <w:numFmt w:val="lowerRoman"/>
      <w:lvlText w:val="%9."/>
      <w:lvlJc w:val="right"/>
      <w:pPr>
        <w:tabs>
          <w:tab w:val="left" w:pos="4407"/>
        </w:tabs>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attachedTemplate r:id="rId1"/>
  <w:documentProtection w:enforcement="0"/>
  <w:defaultTabStop w:val="420"/>
  <w:drawingGridHorizontalSpacing w:val="158"/>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AE"/>
    <w:rsid w:val="000011EB"/>
    <w:rsid w:val="00004058"/>
    <w:rsid w:val="000043A3"/>
    <w:rsid w:val="00010BCB"/>
    <w:rsid w:val="00011BD7"/>
    <w:rsid w:val="0007710A"/>
    <w:rsid w:val="00077BA6"/>
    <w:rsid w:val="00092DBD"/>
    <w:rsid w:val="00094AB6"/>
    <w:rsid w:val="000A551C"/>
    <w:rsid w:val="000B0BA9"/>
    <w:rsid w:val="000B3FB9"/>
    <w:rsid w:val="000B5C8D"/>
    <w:rsid w:val="000B756E"/>
    <w:rsid w:val="000C31BC"/>
    <w:rsid w:val="000D0B49"/>
    <w:rsid w:val="000E150B"/>
    <w:rsid w:val="000E362A"/>
    <w:rsid w:val="00104C6F"/>
    <w:rsid w:val="001151A4"/>
    <w:rsid w:val="00117346"/>
    <w:rsid w:val="00117539"/>
    <w:rsid w:val="001279A8"/>
    <w:rsid w:val="0015474D"/>
    <w:rsid w:val="001649D8"/>
    <w:rsid w:val="001671E5"/>
    <w:rsid w:val="00171838"/>
    <w:rsid w:val="00177DED"/>
    <w:rsid w:val="001851DF"/>
    <w:rsid w:val="00185A6C"/>
    <w:rsid w:val="00193FB2"/>
    <w:rsid w:val="001A447F"/>
    <w:rsid w:val="001B11DF"/>
    <w:rsid w:val="001B70F3"/>
    <w:rsid w:val="001D307E"/>
    <w:rsid w:val="001D3A09"/>
    <w:rsid w:val="001E1E9A"/>
    <w:rsid w:val="00200649"/>
    <w:rsid w:val="00201C66"/>
    <w:rsid w:val="00250057"/>
    <w:rsid w:val="0025247C"/>
    <w:rsid w:val="00256EA2"/>
    <w:rsid w:val="002663BF"/>
    <w:rsid w:val="00293F64"/>
    <w:rsid w:val="002A5224"/>
    <w:rsid w:val="002B1523"/>
    <w:rsid w:val="002B6B7D"/>
    <w:rsid w:val="002C5D4A"/>
    <w:rsid w:val="002E547F"/>
    <w:rsid w:val="002F1F82"/>
    <w:rsid w:val="003037D6"/>
    <w:rsid w:val="0030655D"/>
    <w:rsid w:val="00330727"/>
    <w:rsid w:val="00330E10"/>
    <w:rsid w:val="003353D4"/>
    <w:rsid w:val="003465D2"/>
    <w:rsid w:val="003531D0"/>
    <w:rsid w:val="0035391D"/>
    <w:rsid w:val="00357934"/>
    <w:rsid w:val="0036428B"/>
    <w:rsid w:val="0037035F"/>
    <w:rsid w:val="00376849"/>
    <w:rsid w:val="00396EE3"/>
    <w:rsid w:val="003A1F1C"/>
    <w:rsid w:val="003A6744"/>
    <w:rsid w:val="003B5CB5"/>
    <w:rsid w:val="003E69FE"/>
    <w:rsid w:val="003F467B"/>
    <w:rsid w:val="00412C22"/>
    <w:rsid w:val="0042038A"/>
    <w:rsid w:val="004434A9"/>
    <w:rsid w:val="0045754D"/>
    <w:rsid w:val="004642BD"/>
    <w:rsid w:val="00464303"/>
    <w:rsid w:val="0047105E"/>
    <w:rsid w:val="0048374C"/>
    <w:rsid w:val="0049263A"/>
    <w:rsid w:val="00497F5A"/>
    <w:rsid w:val="004A042A"/>
    <w:rsid w:val="004B05B9"/>
    <w:rsid w:val="004B06ED"/>
    <w:rsid w:val="004B1B57"/>
    <w:rsid w:val="004B3DAF"/>
    <w:rsid w:val="004C0122"/>
    <w:rsid w:val="004D0945"/>
    <w:rsid w:val="004D3088"/>
    <w:rsid w:val="004E1506"/>
    <w:rsid w:val="004F3A9F"/>
    <w:rsid w:val="00500619"/>
    <w:rsid w:val="00502E28"/>
    <w:rsid w:val="0050326D"/>
    <w:rsid w:val="00521CF2"/>
    <w:rsid w:val="00554E1F"/>
    <w:rsid w:val="00555439"/>
    <w:rsid w:val="005574A1"/>
    <w:rsid w:val="00566340"/>
    <w:rsid w:val="00586F5E"/>
    <w:rsid w:val="005877BE"/>
    <w:rsid w:val="00592B35"/>
    <w:rsid w:val="00593B3A"/>
    <w:rsid w:val="00597563"/>
    <w:rsid w:val="005C63E4"/>
    <w:rsid w:val="005D0C3C"/>
    <w:rsid w:val="005D27D3"/>
    <w:rsid w:val="005E2F40"/>
    <w:rsid w:val="00622AAE"/>
    <w:rsid w:val="00624858"/>
    <w:rsid w:val="00641647"/>
    <w:rsid w:val="00646F92"/>
    <w:rsid w:val="00650663"/>
    <w:rsid w:val="006527D3"/>
    <w:rsid w:val="0065433A"/>
    <w:rsid w:val="00656CE8"/>
    <w:rsid w:val="00657EB0"/>
    <w:rsid w:val="00663751"/>
    <w:rsid w:val="00665F3E"/>
    <w:rsid w:val="00680B41"/>
    <w:rsid w:val="0068332A"/>
    <w:rsid w:val="006A3A31"/>
    <w:rsid w:val="006D05E4"/>
    <w:rsid w:val="006D1B15"/>
    <w:rsid w:val="006D1B9A"/>
    <w:rsid w:val="006D783B"/>
    <w:rsid w:val="006E536F"/>
    <w:rsid w:val="00720551"/>
    <w:rsid w:val="00725292"/>
    <w:rsid w:val="00726445"/>
    <w:rsid w:val="00731968"/>
    <w:rsid w:val="0073568F"/>
    <w:rsid w:val="00761204"/>
    <w:rsid w:val="00783836"/>
    <w:rsid w:val="00784ADD"/>
    <w:rsid w:val="007867DD"/>
    <w:rsid w:val="00795F68"/>
    <w:rsid w:val="007B2127"/>
    <w:rsid w:val="007B24A2"/>
    <w:rsid w:val="007B41E5"/>
    <w:rsid w:val="007D43D7"/>
    <w:rsid w:val="007D6CEA"/>
    <w:rsid w:val="007E1275"/>
    <w:rsid w:val="007E54C0"/>
    <w:rsid w:val="007E6112"/>
    <w:rsid w:val="007F2A93"/>
    <w:rsid w:val="00806074"/>
    <w:rsid w:val="008119AF"/>
    <w:rsid w:val="00813A5F"/>
    <w:rsid w:val="00815443"/>
    <w:rsid w:val="0082384A"/>
    <w:rsid w:val="00835B83"/>
    <w:rsid w:val="00855BB7"/>
    <w:rsid w:val="008676C9"/>
    <w:rsid w:val="00873A72"/>
    <w:rsid w:val="008A648D"/>
    <w:rsid w:val="008D3F64"/>
    <w:rsid w:val="008D5E84"/>
    <w:rsid w:val="008E4578"/>
    <w:rsid w:val="008E790D"/>
    <w:rsid w:val="008F1A8A"/>
    <w:rsid w:val="00910F69"/>
    <w:rsid w:val="00927CE7"/>
    <w:rsid w:val="009343F0"/>
    <w:rsid w:val="00946AB7"/>
    <w:rsid w:val="009544FD"/>
    <w:rsid w:val="00963CF0"/>
    <w:rsid w:val="009860ED"/>
    <w:rsid w:val="00990745"/>
    <w:rsid w:val="00996ACB"/>
    <w:rsid w:val="009A12FE"/>
    <w:rsid w:val="009A4006"/>
    <w:rsid w:val="009A7AE1"/>
    <w:rsid w:val="009B3336"/>
    <w:rsid w:val="009C13B5"/>
    <w:rsid w:val="009C3117"/>
    <w:rsid w:val="009C4AB4"/>
    <w:rsid w:val="009F1085"/>
    <w:rsid w:val="009F49B3"/>
    <w:rsid w:val="00A06498"/>
    <w:rsid w:val="00A2118F"/>
    <w:rsid w:val="00A2228C"/>
    <w:rsid w:val="00A3545F"/>
    <w:rsid w:val="00A42D5E"/>
    <w:rsid w:val="00A56AA0"/>
    <w:rsid w:val="00A619E3"/>
    <w:rsid w:val="00A64A26"/>
    <w:rsid w:val="00A66763"/>
    <w:rsid w:val="00A83409"/>
    <w:rsid w:val="00A84695"/>
    <w:rsid w:val="00A94790"/>
    <w:rsid w:val="00AA4ECC"/>
    <w:rsid w:val="00AB141C"/>
    <w:rsid w:val="00AB439C"/>
    <w:rsid w:val="00AB4D6F"/>
    <w:rsid w:val="00AB7B57"/>
    <w:rsid w:val="00AC2516"/>
    <w:rsid w:val="00AC2BA9"/>
    <w:rsid w:val="00AE2491"/>
    <w:rsid w:val="00AE42A9"/>
    <w:rsid w:val="00AF52B6"/>
    <w:rsid w:val="00B02548"/>
    <w:rsid w:val="00B076B8"/>
    <w:rsid w:val="00B1546A"/>
    <w:rsid w:val="00B171E0"/>
    <w:rsid w:val="00B21DF0"/>
    <w:rsid w:val="00B26C31"/>
    <w:rsid w:val="00B37125"/>
    <w:rsid w:val="00B41AB5"/>
    <w:rsid w:val="00B41E2F"/>
    <w:rsid w:val="00B41EE6"/>
    <w:rsid w:val="00B5216C"/>
    <w:rsid w:val="00B61C37"/>
    <w:rsid w:val="00B87BD0"/>
    <w:rsid w:val="00B963B3"/>
    <w:rsid w:val="00BB4307"/>
    <w:rsid w:val="00BB471B"/>
    <w:rsid w:val="00BF0878"/>
    <w:rsid w:val="00C010B0"/>
    <w:rsid w:val="00C21997"/>
    <w:rsid w:val="00C25B30"/>
    <w:rsid w:val="00C276C5"/>
    <w:rsid w:val="00C27F53"/>
    <w:rsid w:val="00C334E9"/>
    <w:rsid w:val="00C428FC"/>
    <w:rsid w:val="00C50EE0"/>
    <w:rsid w:val="00C53D10"/>
    <w:rsid w:val="00C56E7B"/>
    <w:rsid w:val="00C60702"/>
    <w:rsid w:val="00C864ED"/>
    <w:rsid w:val="00C96C5E"/>
    <w:rsid w:val="00CA4178"/>
    <w:rsid w:val="00CA48EA"/>
    <w:rsid w:val="00CA5EDA"/>
    <w:rsid w:val="00CB0360"/>
    <w:rsid w:val="00CB113F"/>
    <w:rsid w:val="00CC2BA8"/>
    <w:rsid w:val="00CC2F65"/>
    <w:rsid w:val="00CC4F47"/>
    <w:rsid w:val="00CC5C33"/>
    <w:rsid w:val="00CF4F1D"/>
    <w:rsid w:val="00D11FCE"/>
    <w:rsid w:val="00D15871"/>
    <w:rsid w:val="00D167E1"/>
    <w:rsid w:val="00D16B0F"/>
    <w:rsid w:val="00D21BB9"/>
    <w:rsid w:val="00D30E41"/>
    <w:rsid w:val="00D42322"/>
    <w:rsid w:val="00D45125"/>
    <w:rsid w:val="00D504F3"/>
    <w:rsid w:val="00D51B84"/>
    <w:rsid w:val="00D6388F"/>
    <w:rsid w:val="00D82355"/>
    <w:rsid w:val="00DA3A80"/>
    <w:rsid w:val="00DB50AF"/>
    <w:rsid w:val="00DD0655"/>
    <w:rsid w:val="00DD5DA6"/>
    <w:rsid w:val="00DE0DCA"/>
    <w:rsid w:val="00DE3428"/>
    <w:rsid w:val="00DE3ECF"/>
    <w:rsid w:val="00DF6770"/>
    <w:rsid w:val="00E12448"/>
    <w:rsid w:val="00E16B61"/>
    <w:rsid w:val="00E22258"/>
    <w:rsid w:val="00E2792F"/>
    <w:rsid w:val="00E30BDA"/>
    <w:rsid w:val="00E44EC2"/>
    <w:rsid w:val="00E47684"/>
    <w:rsid w:val="00E5194D"/>
    <w:rsid w:val="00E6136C"/>
    <w:rsid w:val="00E8265A"/>
    <w:rsid w:val="00E86047"/>
    <w:rsid w:val="00E9418F"/>
    <w:rsid w:val="00E96769"/>
    <w:rsid w:val="00EA33AE"/>
    <w:rsid w:val="00EB25AA"/>
    <w:rsid w:val="00EB3EEE"/>
    <w:rsid w:val="00ED0C2A"/>
    <w:rsid w:val="00ED4CE6"/>
    <w:rsid w:val="00F006A0"/>
    <w:rsid w:val="00F01808"/>
    <w:rsid w:val="00F04A92"/>
    <w:rsid w:val="00F3482B"/>
    <w:rsid w:val="00F36909"/>
    <w:rsid w:val="00F446CF"/>
    <w:rsid w:val="00F62BE2"/>
    <w:rsid w:val="00F63707"/>
    <w:rsid w:val="00F67A50"/>
    <w:rsid w:val="00F765E5"/>
    <w:rsid w:val="00F80252"/>
    <w:rsid w:val="00F9021A"/>
    <w:rsid w:val="00FA1C52"/>
    <w:rsid w:val="00FB3B25"/>
    <w:rsid w:val="00FB5D05"/>
    <w:rsid w:val="00FC28A0"/>
    <w:rsid w:val="00FD5971"/>
    <w:rsid w:val="00FE6084"/>
    <w:rsid w:val="00FF22B2"/>
    <w:rsid w:val="73FE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z w:val="32"/>
      <w:szCs w:val="32"/>
      <w:lang w:val="en-US" w:eastAsia="zh-CN" w:bidi="ar-SA"/>
    </w:rPr>
  </w:style>
  <w:style w:type="paragraph" w:styleId="2">
    <w:name w:val="heading 3"/>
    <w:basedOn w:val="1"/>
    <w:next w:val="1"/>
    <w:link w:val="33"/>
    <w:qFormat/>
    <w:uiPriority w:val="99"/>
    <w:pPr>
      <w:keepNext/>
      <w:keepLines/>
      <w:outlineLvl w:val="2"/>
    </w:pPr>
    <w:rPr>
      <w:rFonts w:ascii="Calibri" w:hAnsi="Calibri" w:eastAsia="宋体" w:cs="Calibri"/>
      <w:b/>
      <w:bCs/>
      <w:sz w:val="21"/>
      <w:szCs w:val="21"/>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ody Text 3"/>
    <w:basedOn w:val="1"/>
    <w:semiHidden/>
    <w:qFormat/>
    <w:uiPriority w:val="0"/>
    <w:pPr>
      <w:spacing w:line="560" w:lineRule="atLeast"/>
      <w:ind w:right="-544" w:rightChars="-259"/>
    </w:pPr>
    <w:rPr>
      <w:rFonts w:ascii="黑体" w:eastAsia="黑体"/>
      <w:sz w:val="24"/>
    </w:rPr>
  </w:style>
  <w:style w:type="paragraph" w:styleId="4">
    <w:name w:val="Body Text"/>
    <w:basedOn w:val="1"/>
    <w:semiHidden/>
    <w:uiPriority w:val="0"/>
    <w:pPr>
      <w:adjustRightInd w:val="0"/>
      <w:snapToGrid w:val="0"/>
      <w:spacing w:line="480" w:lineRule="auto"/>
      <w:ind w:right="706" w:rightChars="310"/>
      <w:jc w:val="center"/>
    </w:pPr>
    <w:rPr>
      <w:rFonts w:ascii="宋体" w:eastAsia="宋体"/>
      <w:sz w:val="44"/>
      <w:szCs w:val="44"/>
    </w:rPr>
  </w:style>
  <w:style w:type="paragraph" w:styleId="5">
    <w:name w:val="Body Text Indent"/>
    <w:basedOn w:val="1"/>
    <w:qFormat/>
    <w:uiPriority w:val="0"/>
    <w:pPr>
      <w:spacing w:line="580" w:lineRule="exact"/>
      <w:ind w:firstLine="624" w:firstLineChars="200"/>
    </w:pPr>
  </w:style>
  <w:style w:type="paragraph" w:styleId="6">
    <w:name w:val="Plain Text"/>
    <w:basedOn w:val="1"/>
    <w:uiPriority w:val="0"/>
    <w:rPr>
      <w:rFonts w:ascii="宋体" w:hAnsi="Courier New" w:eastAsia="宋体"/>
      <w:sz w:val="21"/>
      <w:szCs w:val="20"/>
    </w:rPr>
  </w:style>
  <w:style w:type="paragraph" w:styleId="7">
    <w:name w:val="Date"/>
    <w:basedOn w:val="1"/>
    <w:next w:val="1"/>
    <w:qFormat/>
    <w:uiPriority w:val="0"/>
    <w:pPr>
      <w:adjustRightInd w:val="0"/>
      <w:spacing w:line="312" w:lineRule="atLeast"/>
      <w:jc w:val="right"/>
      <w:textAlignment w:val="baseline"/>
    </w:pPr>
    <w:rPr>
      <w:rFonts w:eastAsia="宋体"/>
      <w:sz w:val="21"/>
      <w:szCs w:val="20"/>
    </w:rPr>
  </w:style>
  <w:style w:type="paragraph" w:styleId="8">
    <w:name w:val="Body Text Indent 2"/>
    <w:basedOn w:val="1"/>
    <w:semiHidden/>
    <w:qFormat/>
    <w:uiPriority w:val="0"/>
    <w:pPr>
      <w:pBdr>
        <w:top w:val="single" w:color="auto" w:sz="6" w:space="0"/>
        <w:bottom w:val="single" w:color="auto" w:sz="6" w:space="1"/>
      </w:pBdr>
      <w:spacing w:line="554" w:lineRule="exact"/>
      <w:ind w:firstLine="312" w:firstLineChars="100"/>
    </w:pPr>
  </w:style>
  <w:style w:type="paragraph" w:styleId="9">
    <w:name w:val="Balloon Text"/>
    <w:basedOn w:val="1"/>
    <w:semiHidden/>
    <w:qFormat/>
    <w:uiPriority w:val="0"/>
    <w:rPr>
      <w:rFonts w:eastAsia="宋体"/>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semiHidden/>
    <w:qFormat/>
    <w:uiPriority w:val="0"/>
    <w:pPr>
      <w:adjustRightInd w:val="0"/>
      <w:snapToGrid w:val="0"/>
      <w:spacing w:line="520" w:lineRule="atLeast"/>
      <w:ind w:firstLine="640" w:firstLineChars="200"/>
    </w:pPr>
    <w:rPr>
      <w:rFonts w:ascii="黑体" w:eastAsia="黑体"/>
    </w:rPr>
  </w:style>
  <w:style w:type="paragraph" w:styleId="13">
    <w:name w:val="Body Text 2"/>
    <w:basedOn w:val="1"/>
    <w:semiHidden/>
    <w:qFormat/>
    <w:uiPriority w:val="0"/>
    <w:pPr>
      <w:spacing w:line="580" w:lineRule="exact"/>
      <w:jc w:val="center"/>
    </w:pPr>
    <w:rPr>
      <w:rFonts w:eastAsia="方正小标宋简体"/>
      <w:sz w:val="44"/>
    </w:rPr>
  </w:style>
  <w:style w:type="paragraph" w:styleId="14">
    <w:name w:val="Normal (Web)"/>
    <w:basedOn w:val="1"/>
    <w:qFormat/>
    <w:uiPriority w:val="0"/>
    <w:pPr>
      <w:widowControl/>
      <w:spacing w:before="100" w:beforeAutospacing="1" w:after="100" w:afterAutospacing="1"/>
      <w:jc w:val="left"/>
    </w:pPr>
    <w:rPr>
      <w:rFonts w:ascii="宋体" w:hAnsi="宋体" w:eastAsia="宋体"/>
      <w:sz w:val="21"/>
      <w:szCs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0"/>
    <w:rPr>
      <w:rFonts w:ascii="Times New Roman" w:eastAsia="宋体"/>
      <w:b/>
      <w:color w:val="000000"/>
      <w:spacing w:val="0"/>
      <w:w w:val="100"/>
      <w:sz w:val="21"/>
      <w:u w:val="none" w:color="000000"/>
      <w:vertAlign w:val="baseline"/>
      <w:lang w:val="en-US" w:eastAsia="zh-CN"/>
    </w:rPr>
  </w:style>
  <w:style w:type="character" w:styleId="19">
    <w:name w:val="page number"/>
    <w:basedOn w:val="17"/>
    <w:qFormat/>
    <w:uiPriority w:val="0"/>
  </w:style>
  <w:style w:type="character" w:customStyle="1" w:styleId="20">
    <w:name w:val="richtextmngstyle1"/>
    <w:basedOn w:val="17"/>
    <w:qFormat/>
    <w:uiPriority w:val="0"/>
    <w:rPr>
      <w:color w:val="000000"/>
      <w:spacing w:val="20"/>
      <w:sz w:val="28"/>
      <w:szCs w:val="28"/>
      <w:u w:val="none"/>
    </w:rPr>
  </w:style>
  <w:style w:type="character" w:customStyle="1" w:styleId="21">
    <w:name w:val="unnamed21"/>
    <w:basedOn w:val="17"/>
    <w:uiPriority w:val="0"/>
    <w:rPr>
      <w:sz w:val="24"/>
      <w:szCs w:val="24"/>
      <w:u w:val="none"/>
    </w:rPr>
  </w:style>
  <w:style w:type="character" w:customStyle="1" w:styleId="22">
    <w:name w:val="10p1"/>
    <w:basedOn w:val="17"/>
    <w:qFormat/>
    <w:uiPriority w:val="0"/>
    <w:rPr>
      <w:sz w:val="21"/>
      <w:szCs w:val="21"/>
    </w:rPr>
  </w:style>
  <w:style w:type="paragraph" w:customStyle="1" w:styleId="23">
    <w:name w:val="标题3"/>
    <w:basedOn w:val="1"/>
    <w:next w:val="1"/>
    <w:qFormat/>
    <w:uiPriority w:val="0"/>
    <w:pPr>
      <w:autoSpaceDE w:val="0"/>
      <w:autoSpaceDN w:val="0"/>
      <w:snapToGrid w:val="0"/>
      <w:spacing w:line="590" w:lineRule="atLeast"/>
      <w:ind w:firstLine="624"/>
    </w:pPr>
    <w:rPr>
      <w:rFonts w:ascii="方正黑体_GBK" w:eastAsia="方正黑体_GBK"/>
      <w:snapToGrid w:val="0"/>
      <w:szCs w:val="20"/>
    </w:rPr>
  </w:style>
  <w:style w:type="character" w:customStyle="1" w:styleId="24">
    <w:name w:val="纯文本 Char"/>
    <w:basedOn w:val="17"/>
    <w:uiPriority w:val="0"/>
    <w:rPr>
      <w:rFonts w:ascii="宋体" w:hAnsi="Courier New"/>
      <w:kern w:val="2"/>
      <w:sz w:val="21"/>
    </w:rPr>
  </w:style>
  <w:style w:type="character" w:customStyle="1" w:styleId="25">
    <w:name w:val="p91"/>
    <w:basedOn w:val="17"/>
    <w:uiPriority w:val="0"/>
    <w:rPr>
      <w:color w:val="000000"/>
      <w:sz w:val="18"/>
      <w:szCs w:val="18"/>
      <w:u w:val="none"/>
    </w:rPr>
  </w:style>
  <w:style w:type="paragraph" w:customStyle="1" w:styleId="26">
    <w:name w:val="Char Char Char Char"/>
    <w:basedOn w:val="1"/>
    <w:uiPriority w:val="0"/>
    <w:pPr>
      <w:numPr>
        <w:ilvl w:val="0"/>
        <w:numId w:val="1"/>
      </w:numPr>
    </w:pPr>
    <w:rPr>
      <w:rFonts w:eastAsia="宋体"/>
      <w:sz w:val="24"/>
    </w:rPr>
  </w:style>
  <w:style w:type="paragraph" w:customStyle="1" w:styleId="27">
    <w:name w:val="Char2 Char Char Char"/>
    <w:basedOn w:val="1"/>
    <w:qFormat/>
    <w:uiPriority w:val="0"/>
    <w:rPr>
      <w:rFonts w:ascii="Tahoma" w:hAnsi="Tahoma" w:eastAsia="宋体"/>
      <w:sz w:val="24"/>
      <w:szCs w:val="20"/>
    </w:rPr>
  </w:style>
  <w:style w:type="paragraph" w:customStyle="1" w:styleId="28">
    <w:name w:val="Char1"/>
    <w:basedOn w:val="1"/>
    <w:qFormat/>
    <w:uiPriority w:val="0"/>
    <w:rPr>
      <w:rFonts w:eastAsia="宋体"/>
      <w:sz w:val="21"/>
    </w:rPr>
  </w:style>
  <w:style w:type="character" w:customStyle="1" w:styleId="29">
    <w:name w:val="页眉 Char"/>
    <w:basedOn w:val="17"/>
    <w:link w:val="11"/>
    <w:uiPriority w:val="0"/>
    <w:rPr>
      <w:rFonts w:eastAsia="文鼎CS仿宋体"/>
      <w:spacing w:val="-4"/>
      <w:kern w:val="2"/>
      <w:sz w:val="18"/>
      <w:szCs w:val="18"/>
    </w:rPr>
  </w:style>
  <w:style w:type="paragraph" w:customStyle="1" w:styleId="30">
    <w:name w:val="普通 (Web)"/>
    <w:basedOn w:val="1"/>
    <w:uiPriority w:val="0"/>
    <w:pPr>
      <w:widowControl/>
      <w:spacing w:before="100" w:beforeAutospacing="1" w:after="100" w:afterAutospacing="1"/>
      <w:jc w:val="left"/>
    </w:pPr>
    <w:rPr>
      <w:rFonts w:ascii="宋体" w:hAnsi="宋体" w:eastAsia="宋体"/>
      <w:sz w:val="24"/>
    </w:rPr>
  </w:style>
  <w:style w:type="paragraph" w:customStyle="1" w:styleId="31">
    <w:name w:val="标题1"/>
    <w:basedOn w:val="1"/>
    <w:next w:val="1"/>
    <w:qFormat/>
    <w:uiPriority w:val="0"/>
    <w:pPr>
      <w:tabs>
        <w:tab w:val="left" w:pos="9193"/>
        <w:tab w:val="left" w:pos="9827"/>
      </w:tabs>
      <w:autoSpaceDE w:val="0"/>
      <w:autoSpaceDN w:val="0"/>
      <w:snapToGrid w:val="0"/>
      <w:spacing w:line="700" w:lineRule="atLeast"/>
      <w:jc w:val="center"/>
    </w:pPr>
    <w:rPr>
      <w:rFonts w:ascii="汉鼎简大宋" w:eastAsia="汉鼎简大宋"/>
      <w:sz w:val="44"/>
      <w:szCs w:val="20"/>
    </w:rPr>
  </w:style>
  <w:style w:type="paragraph" w:customStyle="1" w:styleId="32">
    <w:name w:val="Char Char Char Char Char Char Char"/>
    <w:basedOn w:val="1"/>
    <w:uiPriority w:val="0"/>
    <w:pPr>
      <w:widowControl/>
      <w:spacing w:after="160" w:line="240" w:lineRule="exact"/>
      <w:jc w:val="left"/>
    </w:pPr>
    <w:rPr>
      <w:rFonts w:eastAsia="宋体"/>
      <w:sz w:val="21"/>
      <w:szCs w:val="20"/>
    </w:rPr>
  </w:style>
  <w:style w:type="character" w:customStyle="1" w:styleId="33">
    <w:name w:val="标题 3 Char"/>
    <w:basedOn w:val="17"/>
    <w:link w:val="2"/>
    <w:qFormat/>
    <w:uiPriority w:val="99"/>
    <w:rPr>
      <w:rFonts w:ascii="Calibri" w:hAnsi="Calibri" w:cs="Calibri"/>
      <w:b/>
      <w:bCs/>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wen\AppData\Roaming\Microsoft\Templates\&#33487;&#24220;&#211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苏府办</Template>
  <Company>jgys</Company>
  <Pages>9</Pages>
  <Words>5801</Words>
  <Characters>6069</Characters>
  <Lines>141</Lines>
  <Paragraphs>58</Paragraphs>
  <TotalTime>34</TotalTime>
  <ScaleCrop>false</ScaleCrop>
  <LinksUpToDate>false</LinksUpToDate>
  <CharactersWithSpaces>6069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2022-08-17T01:39:00Z</dcterms:created>
  <dc:creator>王悦</dc:creator>
  <cp:lastModifiedBy>没有人了</cp:lastModifiedBy>
  <cp:lastPrinted>2013-07-12T06:11:00Z</cp:lastPrinted>
  <dcterms:modified xsi:type="dcterms:W3CDTF">2022-09-15T06:00:08Z</dcterms:modified>
  <dc:title>苏府办</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5A31869FE5A14229A179100D19523812</vt:lpwstr>
  </property>
</Properties>
</file>