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0" w:leftChars="0" w:firstLine="0" w:firstLineChars="0"/>
        <w:jc w:val="center"/>
      </w:pPr>
      <w:r>
        <w:rPr>
          <w:rFonts w:ascii="方正大标宋简体" w:hAnsi="方正大标宋简体" w:eastAsia="方正大标宋简体" w:cs="方正大标宋简体"/>
          <w:color w:val="000000"/>
          <w:kern w:val="0"/>
          <w:sz w:val="42"/>
          <w:szCs w:val="42"/>
          <w:lang w:val="en-US" w:eastAsia="zh-CN" w:bidi="ar"/>
        </w:rPr>
        <w:t>关于同意北京城建集团有限责任公司向</w:t>
      </w:r>
      <w:r>
        <w:rPr>
          <w:rFonts w:hint="eastAsia" w:ascii="方正大标宋简体" w:hAnsi="方正大标宋简体" w:eastAsia="方正大标宋简体" w:cs="方正大标宋简体"/>
          <w:color w:val="000000"/>
          <w:kern w:val="0"/>
          <w:sz w:val="42"/>
          <w:szCs w:val="42"/>
          <w:lang w:val="en-US" w:eastAsia="zh-CN" w:bidi="ar"/>
        </w:rPr>
        <w:t>专业投资者公开发行公司债券注册的批复</w:t>
      </w:r>
    </w:p>
    <w:p>
      <w:pPr>
        <w:pStyle w:val="2"/>
        <w:keepNext w:val="0"/>
        <w:keepLines w:val="0"/>
        <w:widowControl/>
        <w:suppressLineNumbers w:val="0"/>
        <w:ind w:left="0" w:leftChars="0" w:firstLine="0" w:firstLineChars="0"/>
        <w:rPr>
          <w:rFonts w:ascii="方正仿宋简体" w:hAnsi="方正仿宋简体" w:eastAsia="方正仿宋简体" w:cs="方正仿宋简体"/>
          <w:color w:val="000000"/>
          <w:sz w:val="30"/>
          <w:szCs w:val="30"/>
        </w:rPr>
      </w:pPr>
    </w:p>
    <w:p>
      <w:pPr>
        <w:pStyle w:val="2"/>
        <w:keepNext w:val="0"/>
        <w:keepLines w:val="0"/>
        <w:widowControl/>
        <w:suppressLineNumbers w:val="0"/>
        <w:ind w:left="0" w:leftChars="0" w:firstLine="0" w:firstLineChars="0"/>
      </w:pPr>
      <w:r>
        <w:rPr>
          <w:rFonts w:ascii="方正仿宋简体" w:hAnsi="方正仿宋简体" w:eastAsia="方正仿宋简体" w:cs="方正仿宋简体"/>
          <w:color w:val="000000"/>
          <w:sz w:val="30"/>
          <w:szCs w:val="30"/>
        </w:rPr>
        <w:t>北京城建集团有限责任公司：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中国证券监督管理委员会收到上海证券交易所报送的关于你公司向专业投资者公开发行公司债券的审核意见及你公司注册申请文件。根据《公司法》《证券法》《国务院办公厅关于贯彻实施修订后的证券法有关工作的通知》《公司债券发行与交易管理办法》（证监会令第</w:t>
      </w:r>
      <w:r>
        <w:rPr>
          <w:rFonts w:hint="default" w:ascii="Times New Roman" w:hAnsi="Times New Roman" w:cs="Times New Roman"/>
          <w:color w:val="000000"/>
          <w:sz w:val="30"/>
          <w:szCs w:val="30"/>
        </w:rPr>
        <w:t>180</w:t>
      </w:r>
      <w:r>
        <w:rPr>
          <w:rFonts w:hint="eastAsia" w:ascii="方正仿宋简体" w:hAnsi="方正仿宋简体" w:eastAsia="方正仿宋简体" w:cs="方正仿宋简体"/>
          <w:color w:val="000000"/>
          <w:sz w:val="30"/>
          <w:szCs w:val="30"/>
        </w:rPr>
        <w:t>号）等有关规定，经审阅上海证券交易所审核意见及你公司注册申请文件，现批复如下：</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一、同意你公司向专业投资者公开发行面值总额不超过</w:t>
      </w:r>
      <w:r>
        <w:rPr>
          <w:rFonts w:hint="default" w:ascii="Times New Roman" w:hAnsi="Times New Roman" w:cs="Times New Roman"/>
          <w:color w:val="000000"/>
          <w:sz w:val="30"/>
          <w:szCs w:val="30"/>
        </w:rPr>
        <w:t>100</w:t>
      </w:r>
      <w:r>
        <w:rPr>
          <w:rFonts w:hint="eastAsia" w:ascii="方正仿宋简体" w:hAnsi="方正仿宋简体" w:eastAsia="方正仿宋简体" w:cs="方正仿宋简体"/>
          <w:color w:val="000000"/>
          <w:sz w:val="30"/>
          <w:szCs w:val="30"/>
        </w:rPr>
        <w:t>亿元公司债券的注册申请。</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二、本次发行公司债券应</w:t>
      </w:r>
      <w:bookmarkStart w:id="0" w:name="_GoBack"/>
      <w:bookmarkEnd w:id="0"/>
      <w:r>
        <w:rPr>
          <w:rFonts w:hint="eastAsia" w:ascii="方正仿宋简体" w:hAnsi="方正仿宋简体" w:eastAsia="方正仿宋简体" w:cs="方正仿宋简体"/>
          <w:color w:val="000000"/>
          <w:sz w:val="30"/>
          <w:szCs w:val="30"/>
        </w:rPr>
        <w:t>严格按照报送上海证券交易所的募集说明书进行。</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三、本批复自同意注册之日起</w:t>
      </w:r>
      <w:r>
        <w:rPr>
          <w:rFonts w:hint="default" w:ascii="Times New Roman" w:hAnsi="Times New Roman" w:cs="Times New Roman"/>
          <w:color w:val="000000"/>
          <w:sz w:val="30"/>
          <w:szCs w:val="30"/>
        </w:rPr>
        <w:t>24</w:t>
      </w:r>
      <w:r>
        <w:rPr>
          <w:rFonts w:hint="eastAsia" w:ascii="方正仿宋简体" w:hAnsi="方正仿宋简体" w:eastAsia="方正仿宋简体" w:cs="方正仿宋简体"/>
          <w:color w:val="000000"/>
          <w:sz w:val="30"/>
          <w:szCs w:val="30"/>
        </w:rPr>
        <w:t>个月内有效，你公司在注册有效期内可以分期发行公司债券。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四、自同意注册之日起至本次公司债券发行结束前，你公司如发生重大事项，应及时报告并按有关规定处理。</w:t>
      </w:r>
      <w:r>
        <w:br w:type="textWrapping"/>
      </w:r>
      <w:r>
        <w:br w:type="textWrapping"/>
      </w:r>
    </w:p>
    <w:p>
      <w:pPr>
        <w:pStyle w:val="2"/>
        <w:keepNext w:val="0"/>
        <w:keepLines w:val="0"/>
        <w:widowControl/>
        <w:suppressLineNumbers w:val="0"/>
        <w:ind w:left="0" w:firstLine="640"/>
      </w:pPr>
      <w:r>
        <w:t>                   </w:t>
      </w:r>
      <w:r>
        <w:rPr>
          <w:rFonts w:hint="default"/>
        </w:rPr>
        <w:t xml:space="preserve">      </w:t>
      </w:r>
      <w:r>
        <w:rPr>
          <w:rFonts w:hint="eastAsia" w:ascii="方正仿宋简体" w:hAnsi="方正仿宋简体" w:eastAsia="方正仿宋简体" w:cs="方正仿宋简体"/>
          <w:color w:val="000000"/>
          <w:sz w:val="30"/>
          <w:szCs w:val="30"/>
        </w:rPr>
        <w:t>中国证监会</w:t>
      </w:r>
      <w:r>
        <w:br w:type="textWrapping"/>
      </w:r>
      <w:r>
        <w:t>                       </w:t>
      </w:r>
      <w:r>
        <w:rPr>
          <w:rFonts w:hint="default" w:ascii="Times New Roman" w:hAnsi="Times New Roman" w:cs="Times New Roman"/>
          <w:color w:val="000000"/>
          <w:sz w:val="30"/>
          <w:szCs w:val="30"/>
        </w:rPr>
        <w:t>2022</w:t>
      </w:r>
      <w:r>
        <w:rPr>
          <w:rFonts w:hint="eastAsia" w:ascii="方正仿宋简体" w:hAnsi="方正仿宋简体" w:eastAsia="方正仿宋简体" w:cs="方正仿宋简体"/>
          <w:color w:val="000000"/>
          <w:sz w:val="30"/>
          <w:szCs w:val="30"/>
        </w:rPr>
        <w:t>年</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月</w:t>
      </w:r>
      <w:r>
        <w:rPr>
          <w:rFonts w:hint="default" w:ascii="Times New Roman" w:hAnsi="Times New Roman" w:cs="Times New Roman"/>
          <w:color w:val="000000"/>
          <w:sz w:val="30"/>
          <w:szCs w:val="30"/>
        </w:rPr>
        <w:t>5</w:t>
      </w:r>
      <w:r>
        <w:rPr>
          <w:rFonts w:hint="eastAsia" w:ascii="方正仿宋简体" w:hAnsi="方正仿宋简体" w:eastAsia="方正仿宋简体" w:cs="方正仿宋简体"/>
          <w:color w:val="000000"/>
          <w:sz w:val="30"/>
          <w:szCs w:val="30"/>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3F34DE"/>
    <w:rsid w:val="67F78429"/>
    <w:rsid w:val="773F34DE"/>
    <w:rsid w:val="7DF3EF50"/>
    <w:rsid w:val="B71C0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640" w:firstLineChars="200"/>
      <w:jc w:val="both"/>
    </w:pPr>
    <w:rPr>
      <w:rFonts w:ascii="Times New Roman" w:hAnsi="Times New Roman" w:eastAsia="仿宋_GB2312"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2022-08-12T14:35:00Z</dcterms:created>
  <dc:creator>李云帆</dc:creator>
  <cp:lastModifiedBy>李云帆</cp:lastModifiedBy>
  <dcterms:modified xsi:type="dcterms:W3CDTF">2022-08-12T14:35:48Z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