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17"/>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u w:val="none"/>
        </w:rPr>
      </w:pPr>
      <w:r>
        <w:rPr>
          <w:rFonts w:hint="eastAsia" w:ascii="微软雅黑" w:hAnsi="微软雅黑" w:eastAsia="微软雅黑" w:cs="微软雅黑"/>
          <w:i w:val="0"/>
          <w:iCs w:val="0"/>
          <w:caps w:val="0"/>
          <w:color w:val="333333"/>
          <w:spacing w:val="0"/>
          <w:u w:val="none"/>
          <w:bdr w:val="none" w:color="auto" w:sz="0" w:space="0"/>
          <w:shd w:val="clear" w:fill="FFFFFF"/>
        </w:rPr>
        <w:t>关于北京恒业世纪科技股份有限公司申请向特定对象发行股票的审核意见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200" w:afterAutospacing="0" w:line="320" w:lineRule="atLeast"/>
        <w:ind w:left="0" w:right="0"/>
        <w:rPr>
          <w:rFonts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7"/>
        <w:jc w:val="lef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北京恒业世纪科技股份有限公司（以下简称申请人），注册地址为北京市海淀区学院南路15号院7号楼18层2118，成立于1998年6月8日，2006年11月16日改制为股份公司，并于2007年6月15日进入股份报价转让系统进行报价转让。截至股权登记日（2016年9月9日），共有股东226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申请人法定代表人为刘燕生，控股股东为北京恒业电子科技有限公司，实际控制人为刘燕生，注册资本为89,419,564元，总股本为 89,419,564股。申请人主营业务为消防报警产品、建筑工程自控设备、建筑能效运营管理系统、铁路专用通信设备的研究、开发、设计、生产、安装和服务。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向特定对象发行股票的行政许可申请于2017年6月27日正式受理。申请人于2017年6月30日提交了财务报表有效期延期一个月的申请。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2017年7月3日向申请人发出书面反馈。落实反馈期间，申请人因财务报表超过有效期于2017年7月31日提交了中止审查申请，待补充2017年半年报后，申请人和主办券商向我会提交了恢复审查的申请以及按照2017年半年度报告更新的申请材料。2018年1月17日，申请人、主办券商、律师及会计师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全国股转公司就本次发行出具了《关于北京恒业世纪科技股份有限公司股票发行的自律监管情况函》（见附件2），其中确认截至2017年6月30日，未发现申请人在公司治理、信息披露方面存在违法违规问题，日常监管中也未发现其他重大违法违规问题。申请人在全国股转系统进行过两次股票发行备案，融资过程中未发现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申请人在全国股转系统履行信息披露义务的历次分红派息、转增股本情况如下：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2014年6月9日根据2013年年度股东大会决议，每10股派1.2元人民币（含税）；2015年6月8日根据2014年年度股东大会决议，每10股送5股派1.5元人民币（含税）；2016年4月7日根据2015年年度股东大会决议，每10股派2.00元人民币现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（一）关于本次发行决策程序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申请人没有披露审议本次定向发行方案的董事会、股东大会具体的出席和表决情况。要求申请人补充披露审议本次定向发行方案的董事会、股东大会具体的出席和表决情况。请主办券商、律师核查本次发行决策程序的合法合规性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申请人补充披露了本次发行的董事会、股东大会的出席和表决情况，具体情况如下：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于2016年8月25日召开第三届董事会第二十三次会议，审议了《关于&lt;公司股票发行方案&gt;的议案》《关于募集资金管理制度的议案》以及《关于提请股东大会授权董事会全权办理本次股票发行相关事宜的议案》，并提请股东大会审议。本次董事会会议应到董事7人，实到7人，表决结果为：同意7票，反对0票，弃权0票。2016年8月29日，申请人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申请人于2016年9月14日召开2016年第六次临时股东大会，出席本次股东大会的股东及股东代理人均为股权登记日登记在册的申请人股东及其委托代理人，出席人数共29人，持有表决权的股份 60,575,160 股，占股份总数的 67.74%。本次股东大会审议通过了《关于&lt;公司股票发行方案&gt;的议案》《关于募集资金管理制度的议案》以及《关于提请股东大会授权董事会全权办理本次股票发行相关事宜的议案》。表决结果为：同意股数60,575,160股，占参加会议股东所代表股份总数的100.00%。2016年9月19日，申请人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主办券商及律师认为本次发行决议程序及内容合法、有效；申请人履行了必要的信息披露义务，符合非上市公众公司有关信息披露方面的规定。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（二）关于发行方案与定向发行说明书披露不一致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材料显示，申请人申报的《定向发行说明书》中已经明确了具体的发行对象，并签署了附生效条件的股份认购协议。但经董事会、股东大会审议通过的发行方案中没有明确具体的发行对象。《定向发行说明书》披露和发行方案不一致。要求申请人对照发行方案，补充披露本次申报的《定向发行说明书》内容是否与经董事会、股东大会审议通过的发行方案一致。请主办券商、律师核查并发表明确意见，并就自身是否勤勉尽责地履行核查和推荐义务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回复称，截至《定向发行说明书》出具之日，申请人董事会虽然尚未确定具体的发行对象，但已明确了发行对象范围、确定方法以及认购方式，申请人在发行方案经董事会、股东大会审议通过后与本次拟认购的发行对象签订了附生效条件的认购协议。目前，申请人已与上述投资人签署了终止协议，约定终止投资协议当中一切权利义务，待本次股票发行通过证监会核准后再进行相关发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本次发行发行对象范围为：股权登记日（2016年9月9日）在册股东以及其他符合《公司法》《公众公司办法》《全国中小企业股份转让系统业务规则（试行）》和《全国中小企业股份转让系统股票发行业务细则（试行）》等法律法规规定的合格投资者。除在册股东外，其余符合适当性管理规定的投资者合计不超过35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主办券商、律师将对此次定向发行过程持续跟踪，一旦确定了具体的发行对象，则立刻核查该外部投资者的适当性资格。在定向发行认购缴款结束后对所有缴款的外部投资者逐一核查，以确保最终定向发行对象合法合规，不存在不符合或者涉嫌规避投资者适当性管理规定的外部投资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综上，主办券商及律师认为，在与投资人签署终止协议后，申请人本次申报的《定向发行说明书》内容与经董事会、股东大会审议通过的发行方案一致。主办券商勤勉尽责地履行了核查和推荐义务。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（三）关于投资者适当性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材料显示，申请人本次股票发行认购对象之一赵福君为新增合格自然人投资者。要求申请人补充披露赵福君与申请人是否存在关联关系以及赵福君本次认购的资金来源。请主办券商、律师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回复如下，本次新增合格投资者赵福君为外部自然人，与申请人不存在关联关系，根据赵福君本人出具的承诺，其参加本次定向发行的认购资金全部为自有资金，未接受申请人实际控制人及其关联方提供的任何财务资助或补偿，且不包含任何杠杆融资结构化设计产品及结构化安排，不存在任何结构化融资方式。另外，申请人已与赵福君签订了股票发行认购终止协议，待本次股票发行通过证监会核准后再进行相关发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11"/>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主办券商及律师认为，赵福君与申请人不存在关联关系，认购资金来源为自有资金，资金来源合法。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45"/>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（四）关于应收账款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7"/>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材料显示，报告期内申请人应收账款余额较大。要求申请人结合客户情况或信用政策等补充披露应收账款余额较大的合理性，是否符合申请人经营特点及行业特点。请主办券商及会计师核查上述情况以及申请人是否存在利用应收账款提前确认收入或虚增收入的情形，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7"/>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1、申请人2016年应收账款余额较2015年增长13.68%，增加主要来源于主营业务中的消防报警业务及建筑工程业务，具体增长情况如下表所示：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420"/>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单位：元</w:t>
      </w:r>
    </w:p>
    <w:tbl>
      <w:tblPr>
        <w:tblW w:w="10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5"/>
        <w:gridCol w:w="1559"/>
        <w:gridCol w:w="1560"/>
        <w:gridCol w:w="1509"/>
        <w:gridCol w:w="1559"/>
        <w:gridCol w:w="1559"/>
        <w:gridCol w:w="1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jc w:val="center"/>
        </w:trPr>
        <w:tc>
          <w:tcPr>
            <w:tcW w:w="1185"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项 目</w:t>
            </w:r>
          </w:p>
        </w:tc>
        <w:tc>
          <w:tcPr>
            <w:tcW w:w="155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2016年营业收入</w:t>
            </w:r>
          </w:p>
        </w:tc>
        <w:tc>
          <w:tcPr>
            <w:tcW w:w="1560"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2015年营业收入</w:t>
            </w:r>
          </w:p>
        </w:tc>
        <w:tc>
          <w:tcPr>
            <w:tcW w:w="150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差额</w:t>
            </w:r>
          </w:p>
        </w:tc>
        <w:tc>
          <w:tcPr>
            <w:tcW w:w="155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w:t>
            </w:r>
          </w:p>
        </w:tc>
        <w:tc>
          <w:tcPr>
            <w:tcW w:w="155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w:t>
            </w:r>
          </w:p>
        </w:tc>
        <w:tc>
          <w:tcPr>
            <w:tcW w:w="1460"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185"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消防报警业务</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153,132,710.56</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145,046,954.06</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8,085,756.50</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85,031,107.06</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73,965,329.59</w:t>
            </w:r>
          </w:p>
        </w:tc>
        <w:tc>
          <w:tcPr>
            <w:tcW w:w="1460"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11,065,777.47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185"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建筑工程业务</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58,472,322.38</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49,736,521.02</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8,735,801.36</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25,738,612.13</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17,177,349.32</w:t>
            </w:r>
          </w:p>
        </w:tc>
        <w:tc>
          <w:tcPr>
            <w:tcW w:w="1460"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8,561,262.81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185"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合同能源业务</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14,703,008.80</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7,873,116.44</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6,829,892.36</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2,201,459.97</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1,691,217.23</w:t>
            </w:r>
          </w:p>
        </w:tc>
        <w:tc>
          <w:tcPr>
            <w:tcW w:w="1460"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510,242.74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jc w:val="center"/>
        </w:trPr>
        <w:tc>
          <w:tcPr>
            <w:tcW w:w="1185"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专用通信业务</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7,311,985.79</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16,810,684.21</w:t>
            </w:r>
          </w:p>
        </w:tc>
        <w:tc>
          <w:tcPr>
            <w:tcW w:w="150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-9,498,698.42</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6,877,153.03</w:t>
            </w:r>
          </w:p>
        </w:tc>
        <w:tc>
          <w:tcPr>
            <w:tcW w:w="155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12,590,306.50</w:t>
            </w:r>
          </w:p>
        </w:tc>
        <w:tc>
          <w:tcPr>
            <w:tcW w:w="1460"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-5,713,153.47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jc w:val="center"/>
        </w:trPr>
        <w:tc>
          <w:tcPr>
            <w:tcW w:w="1185"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 计</w:t>
            </w:r>
          </w:p>
        </w:tc>
        <w:tc>
          <w:tcPr>
            <w:tcW w:w="155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233,620,027.53</w:t>
            </w:r>
          </w:p>
        </w:tc>
        <w:tc>
          <w:tcPr>
            <w:tcW w:w="1560"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219,467,275.73</w:t>
            </w:r>
          </w:p>
        </w:tc>
        <w:tc>
          <w:tcPr>
            <w:tcW w:w="150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14,152,751.80</w:t>
            </w:r>
          </w:p>
        </w:tc>
        <w:tc>
          <w:tcPr>
            <w:tcW w:w="155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119,848,332.19</w:t>
            </w:r>
          </w:p>
        </w:tc>
        <w:tc>
          <w:tcPr>
            <w:tcW w:w="155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105,424,202.64</w:t>
            </w:r>
          </w:p>
        </w:tc>
        <w:tc>
          <w:tcPr>
            <w:tcW w:w="1460"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14,424,129.55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1）申请人消防报警业务收入在分类业务中占比最大，相应应收账款余额最大。申请人成立以来就专注于消防自动报警产品的设计、研发和销售，因此，前十大客户主要为消防报警业务的客户，由于申请人与客户长期稳定的合作关系，因此给予客户的信用期较为宽松，账期基本维持在发货后3个月内。2016年消防报警业务维持稳定增长，申请人继续维持原有的信用政策。因此应收账款余额较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建筑工程业务应收账款余额的增加主要由于工程业务的特殊性，申请人工程合同量小，但单一合同金额较大且业务实施周期长，申请人按照工程进度确认收入和应收账款的回款情况。2015年末申请人与中国通广电子公司签订1,000万工程合同，2016年末该工程按照完工进度确认80%收入，此外，客户考虑到工程质量问题，工程款会延缓支付，使得2016年建筑工程业务应收账款大幅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（3）申请人业务开展存在行业周期性，四季度收入占比较大，而回款主要在下一年度实现，因而导致应收账款期末余额较高。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2017年上半年应收账款余额较大的原因主要为消防报警业务及建筑工程业务期末应收增长较大，申请人的主要收入来源于消防报警业务，消防报警业务主要客户的账期为3个月左右。建筑工程业务由于业务的特殊性，合同周期长，按照工程进度确认收入和应收账款，客户考虑工程质量问题，工程款会延期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2、应收账款期后回款情况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240" w:lineRule="atLeast"/>
        <w:ind w:left="420" w:right="0" w:firstLine="105"/>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63"/>
        <w:gridCol w:w="2625"/>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18"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2016年前五大客户</w:t>
            </w:r>
          </w:p>
        </w:tc>
        <w:tc>
          <w:tcPr>
            <w:tcW w:w="2625" w:type="dxa"/>
            <w:tcBorders>
              <w:top w:val="single" w:color="000000" w:sz="18"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（截至2016.12.31）</w:t>
            </w:r>
          </w:p>
        </w:tc>
        <w:tc>
          <w:tcPr>
            <w:tcW w:w="2434" w:type="dxa"/>
            <w:tcBorders>
              <w:top w:val="single" w:color="000000" w:sz="18"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期后回款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（截至2017.6.30）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海湾安全技术有限公司</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19,452,851.00 </w:t>
            </w:r>
          </w:p>
        </w:tc>
        <w:tc>
          <w:tcPr>
            <w:tcW w:w="2434" w:type="dxa"/>
            <w:tcBorders>
              <w:top w:val="single" w:color="000000" w:sz="4"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19,452,851.00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北大青鸟环宇消防设备股份有限公司</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11,498,489.91 </w:t>
            </w:r>
          </w:p>
        </w:tc>
        <w:tc>
          <w:tcPr>
            <w:tcW w:w="2434" w:type="dxa"/>
            <w:tcBorders>
              <w:top w:val="single" w:color="000000" w:sz="4"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11,498,489.91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深圳市泰和安科技有限公司</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8,791,105.00 </w:t>
            </w:r>
          </w:p>
        </w:tc>
        <w:tc>
          <w:tcPr>
            <w:tcW w:w="2434" w:type="dxa"/>
            <w:tcBorders>
              <w:top w:val="single" w:color="000000" w:sz="4"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8,791,105.00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北京利达华信电子有限公司</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5,499,510.52 </w:t>
            </w:r>
          </w:p>
        </w:tc>
        <w:tc>
          <w:tcPr>
            <w:tcW w:w="2434" w:type="dxa"/>
            <w:tcBorders>
              <w:top w:val="single" w:color="000000" w:sz="4"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5,300,000.00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上海松江飞繁电子有限公司</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727,912.00</w:t>
            </w:r>
          </w:p>
        </w:tc>
        <w:tc>
          <w:tcPr>
            <w:tcW w:w="2434" w:type="dxa"/>
            <w:tcBorders>
              <w:top w:val="single" w:color="000000" w:sz="4" w:space="0"/>
              <w:left w:val="single" w:color="000000" w:sz="4" w:space="0"/>
              <w:bottom w:val="single" w:color="000000" w:sz="4"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727,912.00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3463" w:type="dxa"/>
            <w:tcBorders>
              <w:top w:val="single" w:color="000000" w:sz="4" w:space="0"/>
              <w:left w:val="single" w:color="000000" w:sz="18" w:space="0"/>
              <w:bottom w:val="single" w:color="000000" w:sz="18"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合计</w:t>
            </w:r>
          </w:p>
        </w:tc>
        <w:tc>
          <w:tcPr>
            <w:tcW w:w="2625" w:type="dxa"/>
            <w:tcBorders>
              <w:top w:val="single" w:color="000000" w:sz="4" w:space="0"/>
              <w:left w:val="single" w:color="000000" w:sz="4" w:space="0"/>
              <w:bottom w:val="single" w:color="000000" w:sz="18"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45,969,868.43</w:t>
            </w:r>
          </w:p>
        </w:tc>
        <w:tc>
          <w:tcPr>
            <w:tcW w:w="2434" w:type="dxa"/>
            <w:tcBorders>
              <w:top w:val="single" w:color="000000" w:sz="4" w:space="0"/>
              <w:left w:val="single" w:color="000000" w:sz="4" w:space="0"/>
              <w:bottom w:val="single" w:color="000000" w:sz="18" w:space="0"/>
              <w:right w:val="single" w:color="000000" w:sz="1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45,770,357.91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截至2017年6月30日，前五大客户回款情况良好，期后回款金额占应收账款余额的99.57%。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3、同行业对比情况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240" w:lineRule="atLeast"/>
        <w:ind w:left="420" w:right="0" w:firstLine="105"/>
        <w:jc w:val="right"/>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单位：元</w:t>
      </w:r>
    </w:p>
    <w:tbl>
      <w:tblPr>
        <w:tblW w:w="979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7"/>
        <w:gridCol w:w="1514"/>
        <w:gridCol w:w="1591"/>
        <w:gridCol w:w="1085"/>
        <w:gridCol w:w="1686"/>
        <w:gridCol w:w="1529"/>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1217" w:type="dxa"/>
            <w:tcBorders>
              <w:top w:val="single" w:color="000000" w:sz="12"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单位</w:t>
            </w:r>
          </w:p>
        </w:tc>
        <w:tc>
          <w:tcPr>
            <w:tcW w:w="1514"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2016收入</w:t>
            </w:r>
          </w:p>
        </w:tc>
        <w:tc>
          <w:tcPr>
            <w:tcW w:w="1591"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应收余额</w:t>
            </w:r>
          </w:p>
        </w:tc>
        <w:tc>
          <w:tcPr>
            <w:tcW w:w="1085"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w:t>
            </w:r>
            <w:r>
              <w:rPr>
                <w:rFonts w:hint="eastAsia" w:ascii="微软雅黑" w:hAnsi="微软雅黑" w:eastAsia="微软雅黑" w:cs="微软雅黑"/>
                <w:sz w:val="16"/>
                <w:szCs w:val="16"/>
                <w:u w:val="none"/>
                <w:bdr w:val="none" w:color="auto" w:sz="0" w:space="0"/>
              </w:rPr>
              <w:br w:type="textWrapping"/>
            </w:r>
            <w:r>
              <w:rPr>
                <w:rFonts w:hint="eastAsia" w:ascii="微软雅黑" w:hAnsi="微软雅黑" w:eastAsia="微软雅黑" w:cs="微软雅黑"/>
                <w:sz w:val="16"/>
                <w:szCs w:val="16"/>
                <w:u w:val="none"/>
                <w:bdr w:val="none" w:color="auto" w:sz="0" w:space="0"/>
              </w:rPr>
              <w:t>占收入比例</w:t>
            </w:r>
          </w:p>
        </w:tc>
        <w:tc>
          <w:tcPr>
            <w:tcW w:w="1686"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2015收入</w:t>
            </w:r>
          </w:p>
        </w:tc>
        <w:tc>
          <w:tcPr>
            <w:tcW w:w="1529" w:type="dxa"/>
            <w:tcBorders>
              <w:top w:val="single" w:color="000000" w:sz="12"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2015年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应收余额</w:t>
            </w:r>
          </w:p>
        </w:tc>
        <w:tc>
          <w:tcPr>
            <w:tcW w:w="1174" w:type="dxa"/>
            <w:tcBorders>
              <w:top w:val="single" w:color="000000" w:sz="12"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应收账款</w:t>
            </w:r>
            <w:r>
              <w:rPr>
                <w:rFonts w:hint="eastAsia" w:ascii="微软雅黑" w:hAnsi="微软雅黑" w:eastAsia="微软雅黑" w:cs="微软雅黑"/>
                <w:sz w:val="16"/>
                <w:szCs w:val="16"/>
                <w:u w:val="none"/>
                <w:bdr w:val="none" w:color="auto" w:sz="0" w:space="0"/>
              </w:rPr>
              <w:br w:type="textWrapping"/>
            </w:r>
            <w:r>
              <w:rPr>
                <w:rFonts w:hint="eastAsia" w:ascii="微软雅黑" w:hAnsi="微软雅黑" w:eastAsia="微软雅黑" w:cs="微软雅黑"/>
                <w:sz w:val="16"/>
                <w:szCs w:val="16"/>
                <w:u w:val="none"/>
                <w:bdr w:val="none" w:color="auto" w:sz="0" w:space="0"/>
              </w:rPr>
              <w:t>占收入比例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1217"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辉煌科技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（002296）</w:t>
            </w:r>
          </w:p>
        </w:tc>
        <w:tc>
          <w:tcPr>
            <w:tcW w:w="1514"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514,609,100.90 </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558,878,547.80 </w:t>
            </w:r>
          </w:p>
        </w:tc>
        <w:tc>
          <w:tcPr>
            <w:tcW w:w="108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108.60%</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566,026,914.60 </w:t>
            </w:r>
          </w:p>
        </w:tc>
        <w:tc>
          <w:tcPr>
            <w:tcW w:w="152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563,378,429.20 </w:t>
            </w:r>
          </w:p>
        </w:tc>
        <w:tc>
          <w:tcPr>
            <w:tcW w:w="1174"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1217"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鼎汉技术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（300011）</w:t>
            </w:r>
          </w:p>
        </w:tc>
        <w:tc>
          <w:tcPr>
            <w:tcW w:w="1514"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953,988,371.80 </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925,223,507.80 </w:t>
            </w:r>
          </w:p>
        </w:tc>
        <w:tc>
          <w:tcPr>
            <w:tcW w:w="108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96.98%</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1,144,577,635.00 </w:t>
            </w:r>
          </w:p>
        </w:tc>
        <w:tc>
          <w:tcPr>
            <w:tcW w:w="152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909,113,144.60 </w:t>
            </w:r>
          </w:p>
        </w:tc>
        <w:tc>
          <w:tcPr>
            <w:tcW w:w="1174"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79.43%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1217" w:type="dxa"/>
            <w:tcBorders>
              <w:top w:val="single" w:color="000000" w:sz="4" w:space="0"/>
              <w:left w:val="single" w:color="000000" w:sz="12"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世纪瑞尔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（300150）</w:t>
            </w:r>
          </w:p>
        </w:tc>
        <w:tc>
          <w:tcPr>
            <w:tcW w:w="1514"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469,693,746.30 </w:t>
            </w:r>
          </w:p>
        </w:tc>
        <w:tc>
          <w:tcPr>
            <w:tcW w:w="1591"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519,337,977.70 </w:t>
            </w:r>
          </w:p>
        </w:tc>
        <w:tc>
          <w:tcPr>
            <w:tcW w:w="1085"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110.57%</w:t>
            </w:r>
          </w:p>
        </w:tc>
        <w:tc>
          <w:tcPr>
            <w:tcW w:w="1686"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391,890,175.30 </w:t>
            </w:r>
          </w:p>
        </w:tc>
        <w:tc>
          <w:tcPr>
            <w:tcW w:w="1529" w:type="dxa"/>
            <w:tcBorders>
              <w:top w:val="single" w:color="000000" w:sz="4" w:space="0"/>
              <w:left w:val="single" w:color="000000" w:sz="4" w:space="0"/>
              <w:bottom w:val="single" w:color="000000" w:sz="4"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415,688,690.40 </w:t>
            </w:r>
          </w:p>
        </w:tc>
        <w:tc>
          <w:tcPr>
            <w:tcW w:w="1174" w:type="dxa"/>
            <w:tcBorders>
              <w:top w:val="single" w:color="000000" w:sz="4" w:space="0"/>
              <w:left w:val="single" w:color="000000" w:sz="4" w:space="0"/>
              <w:bottom w:val="single" w:color="000000" w:sz="4"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217" w:type="dxa"/>
            <w:tcBorders>
              <w:top w:val="single" w:color="000000" w:sz="4" w:space="0"/>
              <w:left w:val="single" w:color="000000" w:sz="12"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恒业世纪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（430014）</w:t>
            </w:r>
          </w:p>
        </w:tc>
        <w:tc>
          <w:tcPr>
            <w:tcW w:w="1514"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233,620,027.50 </w:t>
            </w:r>
          </w:p>
        </w:tc>
        <w:tc>
          <w:tcPr>
            <w:tcW w:w="1591"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119,848,332.20 </w:t>
            </w:r>
          </w:p>
        </w:tc>
        <w:tc>
          <w:tcPr>
            <w:tcW w:w="1085"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51.30%</w:t>
            </w:r>
          </w:p>
        </w:tc>
        <w:tc>
          <w:tcPr>
            <w:tcW w:w="1686"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219,467,275.70 </w:t>
            </w:r>
          </w:p>
        </w:tc>
        <w:tc>
          <w:tcPr>
            <w:tcW w:w="1529" w:type="dxa"/>
            <w:tcBorders>
              <w:top w:val="single" w:color="000000" w:sz="4" w:space="0"/>
              <w:left w:val="single" w:color="000000" w:sz="4" w:space="0"/>
              <w:bottom w:val="single" w:color="000000" w:sz="12" w:space="0"/>
              <w:right w:val="single" w:color="000000"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105,424,202.60 </w:t>
            </w:r>
          </w:p>
        </w:tc>
        <w:tc>
          <w:tcPr>
            <w:tcW w:w="1174" w:type="dxa"/>
            <w:tcBorders>
              <w:top w:val="single" w:color="000000" w:sz="4" w:space="0"/>
              <w:left w:val="single" w:color="000000" w:sz="4" w:space="0"/>
              <w:bottom w:val="single" w:color="000000" w:sz="12" w:space="0"/>
              <w:right w:val="single" w:color="000000" w:sz="12"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rFonts w:hint="eastAsia" w:ascii="微软雅黑" w:hAnsi="微软雅黑" w:eastAsia="微软雅黑" w:cs="微软雅黑"/>
                <w:sz w:val="16"/>
                <w:szCs w:val="16"/>
                <w:u w:val="none"/>
              </w:rPr>
            </w:pPr>
            <w:r>
              <w:rPr>
                <w:rFonts w:hint="eastAsia" w:ascii="微软雅黑" w:hAnsi="微软雅黑" w:eastAsia="微软雅黑" w:cs="微软雅黑"/>
                <w:sz w:val="16"/>
                <w:szCs w:val="16"/>
                <w:u w:val="none"/>
                <w:bdr w:val="none" w:color="auto" w:sz="0" w:space="0"/>
              </w:rPr>
              <w:t>48.04%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40" w:lineRule="atLeast"/>
        <w:ind w:left="0" w:right="0" w:firstLine="42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注：数据源自东方财富网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同行业上市公司应收账款余额占营业收入的比例均较高，基本在90%以上，而申请人相应比例保持在50%左右，应收账款占收入的比例较低，申请人客户稳定且信用良好，回款周期较短且回款情况良好。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主办券商认为，申请人不存在利用应收账款提前确认收入或虚增收入的情形。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会计师认为，申请人主要客户采购和付款的特殊性导致申请人报告期内应收账款期末余额一直保持较高水平；申请人不存在利用应收账款提前确认收入或虚增收入的情形。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（五）关于资金占用、以及股权质押、违规担保等情况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主办券商、会计师及律师未对报告期内申请人是否存在资金占用、违规担保等情形发表明确意见。要求申请人补充披露报告期内存在的资金占用、违规担保、股权质押的具体情形及原因。请主办券商及律师、会计师核查违规担保、股权质押、资金占用及的情形，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亚太（集团）会计师事务所（特殊普通合伙）对申请人2015年控股股东、实际控制人及其关联方资金占用情况进行了审核，于2016年3月9日出具了“亚太B核字（2016）0490号”《关于北京恒业世纪科技股份有限公司控股股东及其他关联方占用资金情况的专项说明》，于2016年4月8日在全国股转系统披露。该报告显示，申请人在2015年度内不存在关联方占用资金的发生额及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亚太（集团）会计师事务所（特殊普通合伙）对申请人2016年度内控股股东、实际控制人及其关联方资金占用情况进行了审核，并于2017年4月19日出具了“亚太B核字（2017）0209号”《关于北京恒业世纪科技股份有限公司控股股东及其他关联方占用资金情况的专项说明》。该报告显示，申请人在2016年度内不存在关联方占用资金的发生额及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经查阅申请人报告期内其他应收款明细账、银行流水单据，报告期内至发行说明书签署日，申请人不存在控股股东、实际控制人及其关联方占用资金的情形。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报告期内，申请人曾发生过股权质押行为，申请人控股股东北京恒业电子科技有限公司质押500万股，占总股本0.07%。质押期限为2015年6月5日起至2016年4月13日止。质押股份用于贷款，质押权人为杭州银行股份有限公司北京中关村支行，质押权人与质押股东不存在关联关系。2015年4月15日，质押股份在中国结算办理质押登记，2016年4月8日，质押股份在中国结算办理了解质押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主办券商及会计师认为，报告期内及期后至说明书签署日，申请人不存在控股股东、实际控制人及其关联方占用资金的情形，不存在申请人及其附属公司违规对外提供担保且尚未解除的情形，申请人控股股东曾发生过股权质押，并已于2016年4月8日完成了解质押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（六）关于中介机构发表意见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申请材料显示，中介机构发表意见不完整。要求主办券商、律师按照《挂牌公司股票发行常见问答（三）——募集资金管理、认购协议中特殊条款、特殊类型挂牌公司融资》，对申请人募集资金使用、管理是否合法合规发表明确意见。要求律师围绕《非上市公众公司信息披露内容与格式准则第3号——定向发行说明书和发行情况报告书》逐条进行核查并发表明确意见，包括并不限于本次发行的价格、限售安排、本次发行对申请人的影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主办券商在推荐报告中、律师在法律意见书中已针对募集资金使用、管理是否合法合规发表了明确意见；且律师针对本次发行价格、限售安排、本次发行对申请人的影响在法律意见书中补充发表了核查意见。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主办券商认为，申请人历次募集资金均已用于主营业务及相关业务领域，募集资金使用与公告情况一致；申请人未将资金用于持有交易性金融资产和可供出售金融资产、借予他人、委托理财等财务性投资，直接或间接投资于以买卖有价证券为主要业务的公司；申请人亦不存在其他与主营业务无关的投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both"/>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律师认为，本次发行价格合理，限售安排及自愿锁定承诺符合《公司法》《发行业务细则》的相关规定；本次发行可提高财务稳健性，增强偿债能力，为申请人的未来发展提供有力支撑。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rPr>
          <w:rFonts w:hint="eastAsia" w:ascii="微软雅黑" w:hAnsi="微软雅黑" w:eastAsia="微软雅黑" w:cs="微软雅黑"/>
          <w:sz w:val="16"/>
          <w:szCs w:val="16"/>
          <w:u w:val="none"/>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t>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北京恒业世纪科技股份有限公司向特定对象发行股票的申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TYxYTQ2NWNhYzg0Yjk0NmNkZjcyOTY2YmEzMjMifQ=="/>
  </w:docVars>
  <w:rsids>
    <w:rsidRoot w:val="00000000"/>
    <w:rsid w:val="2350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2022-09-07T02:19:20Z</dcterms:created>
  <dc:creator>Lenovo</dc:creator>
  <cp:lastModifiedBy>Lenovo</cp:lastModifiedBy>
  <dcterms:modified xsi:type="dcterms:W3CDTF">2022-09-07T02:19:52Z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E8E735219D9E4208A589CDAD32D6F57A</vt:lpwstr>
  </property>
</Properties>
</file>