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21"/>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u w:val="none"/>
          <w:bdr w:val="none" w:color="auto" w:sz="0" w:space="0"/>
          <w:shd w:val="clear" w:fill="FFFFFF"/>
        </w:rPr>
      </w:pPr>
      <w:r>
        <w:rPr>
          <w:rFonts w:hint="eastAsia" w:ascii="微软雅黑" w:hAnsi="微软雅黑" w:eastAsia="微软雅黑" w:cs="微软雅黑"/>
          <w:i w:val="0"/>
          <w:iCs w:val="0"/>
          <w:caps w:val="0"/>
          <w:color w:val="333333"/>
          <w:spacing w:val="0"/>
          <w:u w:val="none"/>
          <w:bdr w:val="none" w:color="auto" w:sz="0" w:space="0"/>
          <w:shd w:val="clear" w:fill="FFFFFF"/>
        </w:rPr>
        <w:t>关于福建森达电气股份有限公司申请向特定对象发行股票的审核意见</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jc w:val="left"/>
        <w:rPr>
          <w:rFonts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一、审核情况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7"/>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（一）申请人基本情况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福建森达电气股份有限公司（以下简称申请人），住所地址为福州市仓山区金山大道618号鼓楼园11座，成立于1995年5月31日，2014年5月13日改制为股份公司，并于2014年12月3日在全国中小企业股份转让系统（以下简称全国股转系统）挂牌公开转让。截至股权登记日（2018年6月8日），申请人共有股东322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申请人法定代表人、控股股东、实际控制人均为李建民，注册资本为10,080万元，总股本为10,080万股，主营业务为高、低压成套开关设备及配套元器件的研发、生产和销售。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向特定对象发行股票的行政许可申请于2018年6月27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规性审核，并于6月29日向申请人发出了书面反馈，申请人、主办券商、律师及会计师于2018年7月27日提交了第一次反馈意见回复，申请人已提交财务报表有效期延期一个月的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全国股转公司就本次发行出具了《关于福建森达电气股份有限公司股票发行的自律监管情况函》（见附件2），其中确认截至2018年6月27日，未发现申请人在公司治理、信息披露及日常监管中存在重大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申请人自挂牌以来进行过一次股票发行，融资过程中不存在违法违规问题。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申请人自挂牌以来于2016年4月29日完成过一次权益分派，以总股本6,000万股为基数，向全体股东每10股转增6.8股，派现1元，分红后总股本增至100,80万股。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二、审核中关注的问题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4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（一）关于流动资金测算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材料显示，报告期内申请人营业收入分别增长6.92%、8.11%，预测期为三年，增长率分别为15.00%、20.00%、25.00%，且测算流动资金时考虑了货币资金、其他应收款、应付职工薪酬、应交税费、其他应付款的变动。要求申请人按照报告期内营业收入的平均增长情况，经营性应收（应收账款、预付账款及应收票据）、经营性应付（应付账款、预收账款及应付票据）及存货项目对流动资金的占用情况，补充披露本次补充流动资金的测算过程。请主办券商、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申请人2016年度、2017年度的营业收入分别为17,376.14万元、18,784.52万元，增长率分别为6.92%、8.11%，复合增长率为7.51%。因此，预计2018年、2019年、2020年增长率均为7.51%。营业收入预测情况如下：</w:t>
      </w:r>
    </w:p>
    <w:tbl>
      <w:tblPr>
        <w:tblW w:w="86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653"/>
        <w:gridCol w:w="1670"/>
        <w:gridCol w:w="1670"/>
        <w:gridCol w:w="1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3653" w:type="dxa"/>
            <w:tcBorders>
              <w:top w:val="single" w:color="000000" w:sz="12" w:space="0"/>
              <w:left w:val="single" w:color="000000" w:sz="12" w:space="0"/>
              <w:bottom w:val="single" w:color="000000" w:sz="6" w:space="0"/>
              <w:right w:val="single" w:color="000000" w:sz="6"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项目</w:t>
            </w:r>
          </w:p>
        </w:tc>
        <w:tc>
          <w:tcPr>
            <w:tcW w:w="1670" w:type="dxa"/>
            <w:tcBorders>
              <w:top w:val="single" w:color="000000" w:sz="12" w:space="0"/>
              <w:left w:val="single" w:color="000000" w:sz="6" w:space="0"/>
              <w:bottom w:val="single" w:color="000000" w:sz="6" w:space="0"/>
              <w:right w:val="single" w:color="000000" w:sz="6"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2018年</w:t>
            </w:r>
          </w:p>
        </w:tc>
        <w:tc>
          <w:tcPr>
            <w:tcW w:w="1670" w:type="dxa"/>
            <w:tcBorders>
              <w:top w:val="single" w:color="000000" w:sz="12" w:space="0"/>
              <w:left w:val="single" w:color="000000" w:sz="6" w:space="0"/>
              <w:bottom w:val="single" w:color="000000" w:sz="6" w:space="0"/>
              <w:right w:val="single" w:color="000000" w:sz="6"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2019年</w:t>
            </w:r>
          </w:p>
        </w:tc>
        <w:tc>
          <w:tcPr>
            <w:tcW w:w="1670" w:type="dxa"/>
            <w:tcBorders>
              <w:top w:val="single" w:color="000000" w:sz="12" w:space="0"/>
              <w:left w:val="single" w:color="000000" w:sz="6" w:space="0"/>
              <w:bottom w:val="single" w:color="000000" w:sz="6" w:space="0"/>
              <w:right w:val="single" w:color="000000" w:sz="12" w:space="0"/>
            </w:tcBorders>
            <w:shd w:val="clear" w:color="auto" w:fill="BFBFB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3653" w:type="dxa"/>
            <w:tcBorders>
              <w:top w:val="single" w:color="000000" w:sz="6" w:space="0"/>
              <w:left w:val="single" w:color="000000" w:sz="12"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营业收入预测值（万元）</w:t>
            </w:r>
          </w:p>
        </w:tc>
        <w:tc>
          <w:tcPr>
            <w:tcW w:w="1670" w:type="dxa"/>
            <w:tcBorders>
              <w:top w:val="single" w:color="000000" w:sz="6" w:space="0"/>
              <w:left w:val="single" w:color="000000" w:sz="6"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20,195.23</w:t>
            </w:r>
          </w:p>
        </w:tc>
        <w:tc>
          <w:tcPr>
            <w:tcW w:w="1670" w:type="dxa"/>
            <w:tcBorders>
              <w:top w:val="single" w:color="000000" w:sz="6" w:space="0"/>
              <w:left w:val="single" w:color="000000" w:sz="6"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21,711.90</w:t>
            </w:r>
          </w:p>
        </w:tc>
        <w:tc>
          <w:tcPr>
            <w:tcW w:w="1670" w:type="dxa"/>
            <w:tcBorders>
              <w:top w:val="single" w:color="000000" w:sz="6" w:space="0"/>
              <w:left w:val="single" w:color="000000" w:sz="6"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23,342.46</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新增流动资金需求量的测算过程如下：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8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单位：万元</w:t>
      </w:r>
    </w:p>
    <w:tbl>
      <w:tblPr>
        <w:tblW w:w="86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279"/>
        <w:gridCol w:w="1255"/>
        <w:gridCol w:w="1365"/>
        <w:gridCol w:w="1254"/>
        <w:gridCol w:w="1254"/>
        <w:gridCol w:w="1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2279" w:type="dxa"/>
            <w:vMerge w:val="restart"/>
            <w:tcBorders>
              <w:top w:val="single" w:color="000000" w:sz="12" w:space="0"/>
              <w:left w:val="single" w:color="000000" w:sz="12" w:space="0"/>
              <w:bottom w:val="single" w:color="000000" w:sz="6" w:space="0"/>
              <w:right w:val="single" w:color="000000" w:sz="6"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项目</w:t>
            </w:r>
          </w:p>
        </w:tc>
        <w:tc>
          <w:tcPr>
            <w:tcW w:w="2620" w:type="dxa"/>
            <w:gridSpan w:val="2"/>
            <w:tcBorders>
              <w:top w:val="single" w:color="000000" w:sz="12" w:space="0"/>
              <w:left w:val="single" w:color="000000" w:sz="6" w:space="0"/>
              <w:bottom w:val="single" w:color="000000" w:sz="6" w:space="0"/>
              <w:right w:val="single" w:color="000000" w:sz="6"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基期</w:t>
            </w:r>
          </w:p>
        </w:tc>
        <w:tc>
          <w:tcPr>
            <w:tcW w:w="3764" w:type="dxa"/>
            <w:gridSpan w:val="3"/>
            <w:tcBorders>
              <w:top w:val="single" w:color="000000" w:sz="12" w:space="0"/>
              <w:left w:val="single" w:color="000000" w:sz="6" w:space="0"/>
              <w:bottom w:val="single" w:color="000000" w:sz="6" w:space="0"/>
              <w:right w:val="single" w:color="000000" w:sz="12"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预测期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2279" w:type="dxa"/>
            <w:vMerge w:val="continue"/>
            <w:tcBorders>
              <w:top w:val="single" w:color="000000" w:sz="12" w:space="0"/>
              <w:left w:val="single" w:color="000000" w:sz="12" w:space="0"/>
              <w:bottom w:val="single" w:color="000000" w:sz="6" w:space="0"/>
              <w:right w:val="single" w:color="000000" w:sz="6" w:space="0"/>
            </w:tcBorders>
            <w:shd w:val="clear" w:color="auto" w:fill="BFBFBF"/>
            <w:vAlign w:val="center"/>
          </w:tcPr>
          <w:p>
            <w:pPr>
              <w:rPr>
                <w:rFonts w:hint="eastAsia" w:ascii="微软雅黑" w:hAnsi="微软雅黑" w:eastAsia="微软雅黑" w:cs="微软雅黑"/>
                <w:i w:val="0"/>
                <w:iCs w:val="0"/>
                <w:caps w:val="0"/>
                <w:color w:val="333333"/>
                <w:spacing w:val="0"/>
                <w:sz w:val="19"/>
                <w:szCs w:val="19"/>
                <w:u w:val="none"/>
              </w:rPr>
            </w:pPr>
          </w:p>
        </w:tc>
        <w:tc>
          <w:tcPr>
            <w:tcW w:w="1255" w:type="dxa"/>
            <w:tcBorders>
              <w:top w:val="single" w:color="000000" w:sz="6" w:space="0"/>
              <w:left w:val="single" w:color="000000" w:sz="6" w:space="0"/>
              <w:bottom w:val="single" w:color="000000" w:sz="6" w:space="0"/>
              <w:right w:val="single" w:color="000000" w:sz="6"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2017年</w:t>
            </w:r>
          </w:p>
        </w:tc>
        <w:tc>
          <w:tcPr>
            <w:tcW w:w="1365" w:type="dxa"/>
            <w:tcBorders>
              <w:top w:val="single" w:color="000000" w:sz="6" w:space="0"/>
              <w:left w:val="single" w:color="000000" w:sz="6" w:space="0"/>
              <w:bottom w:val="single" w:color="000000" w:sz="6" w:space="0"/>
              <w:right w:val="single" w:color="000000" w:sz="6"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占收入比例</w:t>
            </w:r>
          </w:p>
        </w:tc>
        <w:tc>
          <w:tcPr>
            <w:tcW w:w="1254" w:type="dxa"/>
            <w:tcBorders>
              <w:top w:val="single" w:color="000000" w:sz="6" w:space="0"/>
              <w:left w:val="single" w:color="000000" w:sz="6" w:space="0"/>
              <w:bottom w:val="single" w:color="000000" w:sz="6" w:space="0"/>
              <w:right w:val="single" w:color="000000" w:sz="6"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2018年</w:t>
            </w:r>
          </w:p>
        </w:tc>
        <w:tc>
          <w:tcPr>
            <w:tcW w:w="1254" w:type="dxa"/>
            <w:tcBorders>
              <w:top w:val="single" w:color="000000" w:sz="6" w:space="0"/>
              <w:left w:val="single" w:color="000000" w:sz="6" w:space="0"/>
              <w:bottom w:val="single" w:color="000000" w:sz="6" w:space="0"/>
              <w:right w:val="single" w:color="000000" w:sz="6"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2019年</w:t>
            </w:r>
          </w:p>
        </w:tc>
        <w:tc>
          <w:tcPr>
            <w:tcW w:w="1256" w:type="dxa"/>
            <w:tcBorders>
              <w:top w:val="single" w:color="000000" w:sz="6" w:space="0"/>
              <w:left w:val="single" w:color="000000" w:sz="6" w:space="0"/>
              <w:bottom w:val="single" w:color="000000" w:sz="6" w:space="0"/>
              <w:right w:val="single" w:color="000000" w:sz="12"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2279"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营业收入</w:t>
            </w:r>
          </w:p>
        </w:tc>
        <w:tc>
          <w:tcPr>
            <w:tcW w:w="125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18,784.52</w:t>
            </w:r>
          </w:p>
        </w:tc>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20,195.23</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21,711.90</w:t>
            </w:r>
          </w:p>
        </w:tc>
        <w:tc>
          <w:tcPr>
            <w:tcW w:w="1256"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23,342.46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2279"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应收票据</w:t>
            </w:r>
          </w:p>
        </w:tc>
        <w:tc>
          <w:tcPr>
            <w:tcW w:w="125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256"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2279"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应收账款</w:t>
            </w:r>
          </w:p>
        </w:tc>
        <w:tc>
          <w:tcPr>
            <w:tcW w:w="125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10,759.24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57.28%</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11,567.26</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12,435.96</w:t>
            </w:r>
          </w:p>
        </w:tc>
        <w:tc>
          <w:tcPr>
            <w:tcW w:w="1256"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13,369.90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2279"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预付账款</w:t>
            </w:r>
          </w:p>
        </w:tc>
        <w:tc>
          <w:tcPr>
            <w:tcW w:w="125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230.18</w:t>
            </w:r>
          </w:p>
        </w:tc>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1.23%</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247.47</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266.05</w:t>
            </w:r>
          </w:p>
        </w:tc>
        <w:tc>
          <w:tcPr>
            <w:tcW w:w="1256"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286.03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2279"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存货</w:t>
            </w:r>
          </w:p>
        </w:tc>
        <w:tc>
          <w:tcPr>
            <w:tcW w:w="125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2,886.54</w:t>
            </w:r>
          </w:p>
        </w:tc>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15.37%</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3,103.32</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3,336.38</w:t>
            </w:r>
          </w:p>
        </w:tc>
        <w:tc>
          <w:tcPr>
            <w:tcW w:w="1256"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3,586.94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2279"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经营性流动资产合计</w:t>
            </w:r>
          </w:p>
        </w:tc>
        <w:tc>
          <w:tcPr>
            <w:tcW w:w="125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13,875.96</w:t>
            </w:r>
          </w:p>
        </w:tc>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73.88%</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14,918.05</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16,038.39</w:t>
            </w:r>
          </w:p>
        </w:tc>
        <w:tc>
          <w:tcPr>
            <w:tcW w:w="1256"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17,242.87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279"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应付票据</w:t>
            </w:r>
          </w:p>
        </w:tc>
        <w:tc>
          <w:tcPr>
            <w:tcW w:w="125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1,371.85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7.30%</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1,474.88</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1,585.64</w:t>
            </w:r>
          </w:p>
        </w:tc>
        <w:tc>
          <w:tcPr>
            <w:tcW w:w="1256"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1,704.72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279"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应付账款</w:t>
            </w:r>
          </w:p>
        </w:tc>
        <w:tc>
          <w:tcPr>
            <w:tcW w:w="125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2,928.47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15.59%</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3,148.40</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3,384.84</w:t>
            </w:r>
          </w:p>
        </w:tc>
        <w:tc>
          <w:tcPr>
            <w:tcW w:w="1256"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3,639.04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2279"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预收账款</w:t>
            </w:r>
          </w:p>
        </w:tc>
        <w:tc>
          <w:tcPr>
            <w:tcW w:w="125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360.45</w:t>
            </w:r>
          </w:p>
        </w:tc>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1.92%</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387.52</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416.63</w:t>
            </w:r>
          </w:p>
        </w:tc>
        <w:tc>
          <w:tcPr>
            <w:tcW w:w="1256"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447.92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279"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经营性流动负债合计</w:t>
            </w:r>
          </w:p>
        </w:tc>
        <w:tc>
          <w:tcPr>
            <w:tcW w:w="125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4,660.77</w:t>
            </w:r>
          </w:p>
        </w:tc>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24.81%</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5,010.80</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5,387.11</w:t>
            </w:r>
          </w:p>
        </w:tc>
        <w:tc>
          <w:tcPr>
            <w:tcW w:w="1256"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5,791.68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2279"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流动资金需求</w:t>
            </w:r>
          </w:p>
        </w:tc>
        <w:tc>
          <w:tcPr>
            <w:tcW w:w="125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9,215.19</w:t>
            </w:r>
          </w:p>
        </w:tc>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49.06%</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9,907.25</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10,651.28</w:t>
            </w:r>
          </w:p>
        </w:tc>
        <w:tc>
          <w:tcPr>
            <w:tcW w:w="1256"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11,451.19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2279"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新增流动资金需求</w:t>
            </w:r>
          </w:p>
        </w:tc>
        <w:tc>
          <w:tcPr>
            <w:tcW w:w="125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692.06</w:t>
            </w:r>
          </w:p>
        </w:tc>
        <w:tc>
          <w:tcPr>
            <w:tcW w:w="1254"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744.03</w:t>
            </w:r>
          </w:p>
        </w:tc>
        <w:tc>
          <w:tcPr>
            <w:tcW w:w="1256"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799.91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4899" w:type="dxa"/>
            <w:gridSpan w:val="3"/>
            <w:tcBorders>
              <w:top w:val="single" w:color="000000" w:sz="6" w:space="0"/>
              <w:left w:val="single" w:color="000000" w:sz="12"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2018年至2020年新增流动资金需求</w:t>
            </w:r>
          </w:p>
        </w:tc>
        <w:tc>
          <w:tcPr>
            <w:tcW w:w="3764" w:type="dxa"/>
            <w:gridSpan w:val="3"/>
            <w:tcBorders>
              <w:top w:val="single" w:color="000000" w:sz="6" w:space="0"/>
              <w:left w:val="single" w:color="000000" w:sz="6"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2,236.00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注：本方案中公司对营业收入、相关财务比率的预测分析并不构成公司业绩承诺，投资者不应依据此进行投资决策，投资者据此进行投资决策造成损失的，公司不承担赔偿责任。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根据上表测算，2018年预计新增流动资金692.06万元，2019年预计新增流动资金744.03万元，2020年预计新增流动资金799.91万元，累计新增流动资金2,236.00万元。申请人拟使用本次募集资金补充流动资金2,200.00万元，有利于缓解资金压力，满足稳定可持续性发展的需要，符合现阶段实际经营情况，未超过资金的实际需求量，符合有关规定。此次募集资金不能满足资金需求的部分，申请人将自行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同时，申请人召开第二届董事会第十次会议及2018年第三次临时股东大会，审议通过了对发行方案中募集资金用途进行修改的议案。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主办券商、会计师认为，申请人已按照报告期内营业收入的平均增长情况，经营性应收(应收账款、预付账款及应收票据)、经营性应付(应付账款、预收账款及应付票据)及存货项目对流动资金的占用情况对本次补充流动资金的测算过程进行了调整，并对募集资金用途进行了修订。本次股票发行方案变更已经申请人第二届董事会第十次会议审议通过并经2018年第三次临时股东大会审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（二）关于本次收购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材料显示，本次定向发行后，周海珠成为申请人的控股股东、实际控制人。要求申请人：（1）按照《非上市公众公司收购管理办法》第六条、第七条、第八条等规定，补充披露是否存在相关情形；（2）在定向发行说明书中，按照《非上市公众公司信息披露内容与格式准则第5号》第四章相关规定补充披露相关内容。请主办券商、律师和会计师补充核查并根据《非上市公众公司收购管理办法》《非上市公众公司信息披露内容与格式准则第5号》相关规定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申请人按照《非上市公众公司收购管理办法》《非上市公众公司信息披露内容与格式准则第5号》要求补充披露如下：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（1）收购人主体资格核查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本次收购人为自然人周海珠先生，根据收购人提供的其本人的《个人征信报告》《无犯罪记录证明》及其本人出具的声明承诺并经主办券商核查，收购人不存在《非上市公众公司收购管理办法》第六条规定的不得收购公众公司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15" w:right="0" w:hanging="15"/>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（2）被收购人的控股股东、实际控制人、董事、监事、高级管理人员行为核查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本次收购前，被收购人的控股股东和实际控制人为李建民。经核查申请人挂牌以来三会会议文件（包括会议通知、会议记录、表决票、会议决议等文件）、挂牌以来临时公告文件、定期报告等文件，被收购人自挂牌以来，按照全国股转系统相关规则及公司章程召开董事会、监事会、股东大会，涉及关联交易议案，关联方均予以回避表决，申请人控股股东、实际控制人李建民不存在滥用股东权利损害公司或者其他股东合法权益的情形。被收购公司的董事、监事、高级管理人员不存在滥用职权对本次收购设置不适当的障碍，不存在利用公司资源为相关收购人提供任何形式的财务资助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（3）收购人所控制的核心企业和核心业务、关联企业及主要业务情况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收购人周海珠控制的核心企业的具体情况如下：</w:t>
      </w:r>
    </w:p>
    <w:tbl>
      <w:tblPr>
        <w:tblW w:w="86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2"/>
        <w:gridCol w:w="821"/>
        <w:gridCol w:w="865"/>
        <w:gridCol w:w="865"/>
        <w:gridCol w:w="4610"/>
        <w:gridCol w:w="1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jc w:val="center"/>
        </w:trPr>
        <w:tc>
          <w:tcPr>
            <w:tcW w:w="442" w:type="dxa"/>
            <w:tcBorders>
              <w:top w:val="single" w:color="000000" w:sz="12" w:space="0"/>
              <w:left w:val="single" w:color="000000" w:sz="12"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序号</w:t>
            </w:r>
          </w:p>
        </w:tc>
        <w:tc>
          <w:tcPr>
            <w:tcW w:w="821" w:type="dxa"/>
            <w:tcBorders>
              <w:top w:val="single" w:color="000000" w:sz="12" w:space="0"/>
              <w:left w:val="single" w:color="000000" w:sz="4"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公司名称</w:t>
            </w:r>
          </w:p>
        </w:tc>
        <w:tc>
          <w:tcPr>
            <w:tcW w:w="865" w:type="dxa"/>
            <w:tcBorders>
              <w:top w:val="single" w:color="000000" w:sz="12" w:space="0"/>
              <w:left w:val="single" w:color="000000" w:sz="4"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注册资本(万元)</w:t>
            </w:r>
          </w:p>
        </w:tc>
        <w:tc>
          <w:tcPr>
            <w:tcW w:w="865" w:type="dxa"/>
            <w:tcBorders>
              <w:top w:val="single" w:color="000000" w:sz="12" w:space="0"/>
              <w:left w:val="single" w:color="000000" w:sz="4"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关联关系</w:t>
            </w:r>
          </w:p>
        </w:tc>
        <w:tc>
          <w:tcPr>
            <w:tcW w:w="4610" w:type="dxa"/>
            <w:tcBorders>
              <w:top w:val="single" w:color="000000" w:sz="12" w:space="0"/>
              <w:left w:val="single" w:color="000000" w:sz="4"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营业范围</w:t>
            </w:r>
          </w:p>
        </w:tc>
        <w:tc>
          <w:tcPr>
            <w:tcW w:w="1060" w:type="dxa"/>
            <w:tcBorders>
              <w:top w:val="single" w:color="000000" w:sz="12" w:space="0"/>
              <w:left w:val="single" w:color="000000" w:sz="4" w:space="0"/>
              <w:bottom w:val="single" w:color="000000" w:sz="4" w:space="0"/>
              <w:right w:val="single" w:color="000000" w:sz="12"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主营业务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4" w:hRule="atLeast"/>
          <w:jc w:val="center"/>
        </w:trPr>
        <w:tc>
          <w:tcPr>
            <w:tcW w:w="442"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福建越众科技发展有限公司</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5,050</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周海珠持股70%</w:t>
            </w:r>
          </w:p>
        </w:tc>
        <w:tc>
          <w:tcPr>
            <w:tcW w:w="4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通讯产品的研究开发;通讯产品生产及销售(另设分支机构经营);电力成套设备、电气产品及其配件、电线电缆、光缆、通信设备及器材(不含无线发射装置、卫星地面接收设施)、仪器仪表、建筑材料、消防器材、安防设备、金属材料、机电设备、环保设备、五金交电(不含电动自行车)的批发、代购代销;计算机系统集成;电子产品设计开发与技术服务;电力成套设备、电气产品及机电设备的维修、维护及技术服务;通信工程、建筑工程及环保工程的设计、施工(以资质证书为准);自营和代理各类商品和技术的进出口,但国家限定公司经营或禁止进出口的商品和技术除外。</w:t>
            </w:r>
          </w:p>
        </w:tc>
        <w:tc>
          <w:tcPr>
            <w:tcW w:w="1060"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通讯产品、电气产品的销售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50" w:hRule="atLeast"/>
          <w:jc w:val="center"/>
        </w:trPr>
        <w:tc>
          <w:tcPr>
            <w:tcW w:w="442"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82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迪酷通讯科技（上海）有限公司</w:t>
            </w:r>
          </w:p>
        </w:tc>
        <w:tc>
          <w:tcPr>
            <w:tcW w:w="86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w:t>
            </w:r>
          </w:p>
        </w:tc>
        <w:tc>
          <w:tcPr>
            <w:tcW w:w="86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周海珠之配偶持股75%</w:t>
            </w:r>
          </w:p>
        </w:tc>
        <w:tc>
          <w:tcPr>
            <w:tcW w:w="461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从事通讯科技、电子科技、信息科技、计算机科技、网络科技、智能化科技领域内的技术研发、技术转让、技术服务、技术咨询,通讯设备、电子产品、计算机、软件及辅助设备(除计算机信息系统安全专用产品)的研发、销售,从事货物与技术的进出口业务。</w:t>
            </w:r>
          </w:p>
        </w:tc>
        <w:tc>
          <w:tcPr>
            <w:tcW w:w="1060"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通讯设备及儿童手表的销售</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收购人周海珠其他关联企业的基本情况如下：</w:t>
      </w:r>
    </w:p>
    <w:tbl>
      <w:tblPr>
        <w:tblW w:w="86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1"/>
        <w:gridCol w:w="1040"/>
        <w:gridCol w:w="936"/>
        <w:gridCol w:w="1152"/>
        <w:gridCol w:w="4035"/>
        <w:gridCol w:w="1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jc w:val="center"/>
        </w:trPr>
        <w:tc>
          <w:tcPr>
            <w:tcW w:w="441" w:type="dxa"/>
            <w:tcBorders>
              <w:top w:val="single" w:color="000000" w:sz="12" w:space="0"/>
              <w:left w:val="single" w:color="000000" w:sz="12"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序号</w:t>
            </w:r>
          </w:p>
        </w:tc>
        <w:tc>
          <w:tcPr>
            <w:tcW w:w="1040" w:type="dxa"/>
            <w:tcBorders>
              <w:top w:val="single" w:color="000000" w:sz="12" w:space="0"/>
              <w:left w:val="single" w:color="000000" w:sz="4"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公司名称</w:t>
            </w:r>
          </w:p>
        </w:tc>
        <w:tc>
          <w:tcPr>
            <w:tcW w:w="936" w:type="dxa"/>
            <w:tcBorders>
              <w:top w:val="single" w:color="000000" w:sz="12" w:space="0"/>
              <w:left w:val="single" w:color="000000" w:sz="4"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注册资本(万元)</w:t>
            </w:r>
          </w:p>
        </w:tc>
        <w:tc>
          <w:tcPr>
            <w:tcW w:w="1152" w:type="dxa"/>
            <w:tcBorders>
              <w:top w:val="single" w:color="000000" w:sz="12" w:space="0"/>
              <w:left w:val="single" w:color="000000" w:sz="4"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关联关系</w:t>
            </w:r>
          </w:p>
        </w:tc>
        <w:tc>
          <w:tcPr>
            <w:tcW w:w="4035" w:type="dxa"/>
            <w:tcBorders>
              <w:top w:val="single" w:color="000000" w:sz="12" w:space="0"/>
              <w:left w:val="single" w:color="000000" w:sz="4"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营业范围</w:t>
            </w:r>
          </w:p>
        </w:tc>
        <w:tc>
          <w:tcPr>
            <w:tcW w:w="1059" w:type="dxa"/>
            <w:tcBorders>
              <w:top w:val="single" w:color="000000" w:sz="12" w:space="0"/>
              <w:left w:val="single" w:color="000000" w:sz="4" w:space="0"/>
              <w:bottom w:val="single" w:color="000000" w:sz="4" w:space="0"/>
              <w:right w:val="single" w:color="000000" w:sz="12"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主营业务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40" w:hRule="atLeast"/>
          <w:jc w:val="center"/>
        </w:trPr>
        <w:tc>
          <w:tcPr>
            <w:tcW w:w="44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萨奇米信息科技（上海）有限公司</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周海珠之弟媳持股100%</w:t>
            </w:r>
          </w:p>
        </w:tc>
        <w:tc>
          <w:tcPr>
            <w:tcW w:w="4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从事信息科技、网络科技、通讯科技、电子科技、智能化科技领域内的技术开发、技术服务、技术咨询、技术转让,计算机软件、智能终端软件、通讯设备的研发、销售,从事货物与技术的进出口业务。 </w:t>
            </w:r>
          </w:p>
        </w:tc>
        <w:tc>
          <w:tcPr>
            <w:tcW w:w="1059"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仪器仪表、智能终端软件的销售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jc w:val="center"/>
        </w:trPr>
        <w:tc>
          <w:tcPr>
            <w:tcW w:w="44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杭州富阳鑫诺物资有限公司</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1,500</w:t>
            </w:r>
          </w:p>
        </w:tc>
        <w:tc>
          <w:tcPr>
            <w:tcW w:w="11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周海珠之妻兄持股70%</w:t>
            </w:r>
          </w:p>
        </w:tc>
        <w:tc>
          <w:tcPr>
            <w:tcW w:w="4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再生物资回收;金属材料、机电产品、五金交电、建筑材料、矿产品、纸制品、通信器材、电缆、光缆批发,零售。</w:t>
            </w:r>
          </w:p>
        </w:tc>
        <w:tc>
          <w:tcPr>
            <w:tcW w:w="1059"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废旧电缆的回收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9" w:hRule="atLeast"/>
          <w:jc w:val="center"/>
        </w:trPr>
        <w:tc>
          <w:tcPr>
            <w:tcW w:w="441"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10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福建志翔科技有限公司</w:t>
            </w:r>
          </w:p>
        </w:tc>
        <w:tc>
          <w:tcPr>
            <w:tcW w:w="936"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5,000</w:t>
            </w:r>
          </w:p>
        </w:tc>
        <w:tc>
          <w:tcPr>
            <w:tcW w:w="1152"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周海珠之妻兄的配偶持股30%</w:t>
            </w:r>
          </w:p>
        </w:tc>
        <w:tc>
          <w:tcPr>
            <w:tcW w:w="40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通讯产品、电子产品的研发;输配电及控制设备、电气设备、通信设备、光缆、仪器仪表、建材、消防器材、金属材料、机电设备、环境保护专用设备、电子产品、五金产品的批发、代购代销;信息系统集成服务;企业管理咨询服务;企业形象策划服务;贸易咨询服务;会议与展览服务;设计、制作、代理、发布国内各类广告;通信工程、房屋建筑工程、环保工程的设计、施工;对外贸易;通讯设备生产及销售(仅限分支机构经营)。</w:t>
            </w:r>
          </w:p>
        </w:tc>
        <w:tc>
          <w:tcPr>
            <w:tcW w:w="1059"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输配电及控制设备和电气设备等产品的销售</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（4）收购人最近两年所受处罚及诉讼、仲裁情况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收购人最近两年涉及与经济纠纷有关的重大诉讼情况如下：</w:t>
      </w:r>
    </w:p>
    <w:tbl>
      <w:tblPr>
        <w:tblW w:w="866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38"/>
        <w:gridCol w:w="1022"/>
        <w:gridCol w:w="2431"/>
        <w:gridCol w:w="1409"/>
        <w:gridCol w:w="1022"/>
        <w:gridCol w:w="1024"/>
        <w:gridCol w:w="1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5" w:hRule="atLeast"/>
        </w:trPr>
        <w:tc>
          <w:tcPr>
            <w:tcW w:w="738" w:type="dxa"/>
            <w:tcBorders>
              <w:top w:val="single" w:color="000000" w:sz="12" w:space="0"/>
              <w:left w:val="single" w:color="000000" w:sz="12"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序号</w:t>
            </w:r>
          </w:p>
        </w:tc>
        <w:tc>
          <w:tcPr>
            <w:tcW w:w="1022" w:type="dxa"/>
            <w:tcBorders>
              <w:top w:val="single" w:color="000000" w:sz="12" w:space="0"/>
              <w:left w:val="single" w:color="000000" w:sz="4"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原告</w:t>
            </w:r>
          </w:p>
        </w:tc>
        <w:tc>
          <w:tcPr>
            <w:tcW w:w="2431" w:type="dxa"/>
            <w:tcBorders>
              <w:top w:val="single" w:color="000000" w:sz="12" w:space="0"/>
              <w:left w:val="single" w:color="000000" w:sz="4"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被告（被执行人）</w:t>
            </w:r>
          </w:p>
        </w:tc>
        <w:tc>
          <w:tcPr>
            <w:tcW w:w="1409" w:type="dxa"/>
            <w:tcBorders>
              <w:top w:val="single" w:color="000000" w:sz="12" w:space="0"/>
              <w:left w:val="single" w:color="000000" w:sz="4"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案号</w:t>
            </w:r>
          </w:p>
        </w:tc>
        <w:tc>
          <w:tcPr>
            <w:tcW w:w="1022" w:type="dxa"/>
            <w:tcBorders>
              <w:top w:val="single" w:color="000000" w:sz="12" w:space="0"/>
              <w:left w:val="single" w:color="000000" w:sz="4"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案由</w:t>
            </w:r>
          </w:p>
        </w:tc>
        <w:tc>
          <w:tcPr>
            <w:tcW w:w="1024" w:type="dxa"/>
            <w:tcBorders>
              <w:top w:val="single" w:color="000000" w:sz="12" w:space="0"/>
              <w:left w:val="single" w:color="000000" w:sz="4"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涉案金额（万元）</w:t>
            </w:r>
          </w:p>
        </w:tc>
        <w:tc>
          <w:tcPr>
            <w:tcW w:w="1017" w:type="dxa"/>
            <w:tcBorders>
              <w:top w:val="single" w:color="000000" w:sz="12" w:space="0"/>
              <w:left w:val="single" w:color="000000" w:sz="4" w:space="0"/>
              <w:bottom w:val="single" w:color="000000" w:sz="4" w:space="0"/>
              <w:right w:val="single" w:color="000000" w:sz="12"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案件状态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38"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收购人</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厦门路羊科技有限公司、杨昔忠、魏荣枝、叶旭阳、寇海英、叶川</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（2017）闽02执226号</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民间借贷纠纷</w:t>
            </w:r>
          </w:p>
        </w:tc>
        <w:tc>
          <w:tcPr>
            <w:tcW w:w="10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307.70</w:t>
            </w:r>
          </w:p>
        </w:tc>
        <w:tc>
          <w:tcPr>
            <w:tcW w:w="101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中止执行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5" w:hRule="atLeast"/>
        </w:trPr>
        <w:tc>
          <w:tcPr>
            <w:tcW w:w="738"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收购人</w:t>
            </w:r>
          </w:p>
        </w:tc>
        <w:tc>
          <w:tcPr>
            <w:tcW w:w="2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李健</w:t>
            </w:r>
          </w:p>
        </w:tc>
        <w:tc>
          <w:tcPr>
            <w:tcW w:w="14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（2016）闽0102民初5038号</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民间借贷纠纷</w:t>
            </w:r>
          </w:p>
        </w:tc>
        <w:tc>
          <w:tcPr>
            <w:tcW w:w="10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31.20</w:t>
            </w:r>
          </w:p>
        </w:tc>
        <w:tc>
          <w:tcPr>
            <w:tcW w:w="1017"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申请强制执行中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5" w:hRule="atLeast"/>
        </w:trPr>
        <w:tc>
          <w:tcPr>
            <w:tcW w:w="738"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1022"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收购人</w:t>
            </w:r>
          </w:p>
        </w:tc>
        <w:tc>
          <w:tcPr>
            <w:tcW w:w="243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周高平、周道芳</w:t>
            </w:r>
          </w:p>
        </w:tc>
        <w:tc>
          <w:tcPr>
            <w:tcW w:w="140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（2016）民01执299号</w:t>
            </w:r>
          </w:p>
        </w:tc>
        <w:tc>
          <w:tcPr>
            <w:tcW w:w="1022"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民间借贷纠纷</w:t>
            </w:r>
          </w:p>
        </w:tc>
        <w:tc>
          <w:tcPr>
            <w:tcW w:w="1024"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263.33</w:t>
            </w:r>
          </w:p>
        </w:tc>
        <w:tc>
          <w:tcPr>
            <w:tcW w:w="1017"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中止执行</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除上述诉讼外，收购人最近两年不存在受到行政处罚、刑事处罚或者与经济纠纷有关的重大诉讼或仲裁的情况。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（5）收购人本次收购资金总额、资金来源及支付方式情况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收购人将通过现金认购的方式收购申请人，所需资金将以收购人自有及自筹资金支付。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根据收购人周海珠出具的承诺；“本次收购所需资金以自有及自筹资金支付本次收购款项，具有履行相关付款义务的能力，资金来源合法，支付方式为现金；本人不存在收购资金直接或间接来源于本次收购的被收购企业或其关联方的情况，不存在直接或间接利用被收购人资源获得其任何形式财务资助的情形，也不存在利用本次收购的股份向银行等金融机构质押取得融资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（6）本次收购事实发生日前六个月内，收购人不存在买卖被收购方股票的情况。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（7）收购人及其关联方以及各自的董事、监事、高级管理人员在收购报告日前二十四个月内与被收购方的交易情况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收购人周海珠控制的企业福建越众科技发展有限公司及收购人周海珠的关联企业萨奇米信息科技（上海）有限公司与申请人的交易情况如下：</w:t>
      </w:r>
    </w:p>
    <w:tbl>
      <w:tblPr>
        <w:tblW w:w="866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518"/>
        <w:gridCol w:w="1949"/>
        <w:gridCol w:w="1400"/>
        <w:gridCol w:w="1400"/>
        <w:gridCol w:w="1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2518" w:type="dxa"/>
            <w:tcBorders>
              <w:top w:val="single" w:color="000000" w:sz="12" w:space="0"/>
              <w:left w:val="single" w:color="000000" w:sz="12"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关联方</w:t>
            </w:r>
          </w:p>
        </w:tc>
        <w:tc>
          <w:tcPr>
            <w:tcW w:w="1949" w:type="dxa"/>
            <w:tcBorders>
              <w:top w:val="single" w:color="000000" w:sz="12" w:space="0"/>
              <w:left w:val="single" w:color="000000" w:sz="4"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交易内容</w:t>
            </w:r>
          </w:p>
        </w:tc>
        <w:tc>
          <w:tcPr>
            <w:tcW w:w="1400" w:type="dxa"/>
            <w:tcBorders>
              <w:top w:val="single" w:color="000000" w:sz="12" w:space="0"/>
              <w:left w:val="single" w:color="000000" w:sz="4"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交易金额（万元）</w:t>
            </w:r>
          </w:p>
        </w:tc>
        <w:tc>
          <w:tcPr>
            <w:tcW w:w="1400" w:type="dxa"/>
            <w:tcBorders>
              <w:top w:val="single" w:color="000000" w:sz="12" w:space="0"/>
              <w:left w:val="single" w:color="000000" w:sz="4" w:space="0"/>
              <w:bottom w:val="single" w:color="000000" w:sz="4" w:space="0"/>
              <w:right w:val="single" w:color="000000" w:sz="4" w:space="0"/>
            </w:tcBorders>
            <w:shd w:val="clear" w:color="auto" w:fill="BFBFB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占森达电气同类交易金额比例</w:t>
            </w:r>
          </w:p>
        </w:tc>
        <w:tc>
          <w:tcPr>
            <w:tcW w:w="1396" w:type="dxa"/>
            <w:tcBorders>
              <w:top w:val="single" w:color="000000" w:sz="12" w:space="0"/>
              <w:left w:val="single" w:color="000000" w:sz="4" w:space="0"/>
              <w:bottom w:val="single" w:color="000000" w:sz="4" w:space="0"/>
              <w:right w:val="single" w:color="000000" w:sz="12"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发生时间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2518"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福建越众科技发展有限公司</w:t>
            </w: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森达电气向其销售低压柜、母线槽</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1,287.98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6.86%</w:t>
            </w:r>
          </w:p>
        </w:tc>
        <w:tc>
          <w:tcPr>
            <w:tcW w:w="1396"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518"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福建越众科技发展有限公司</w:t>
            </w: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森达电气向其采购断路器</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0.86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0.01%</w:t>
            </w:r>
          </w:p>
        </w:tc>
        <w:tc>
          <w:tcPr>
            <w:tcW w:w="1396"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518"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萨奇米信息科技（上海）有限公司</w:t>
            </w: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森达电气向其采购多功能仪表、电容器等</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29.10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0.20%</w:t>
            </w:r>
          </w:p>
        </w:tc>
        <w:tc>
          <w:tcPr>
            <w:tcW w:w="1396"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518"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萨奇米信息科技（上海）有限公司</w:t>
            </w:r>
          </w:p>
        </w:tc>
        <w:tc>
          <w:tcPr>
            <w:tcW w:w="194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森达电气向其采购多功能仪表等</w:t>
            </w:r>
          </w:p>
        </w:tc>
        <w:tc>
          <w:tcPr>
            <w:tcW w:w="14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3.83</w:t>
            </w:r>
          </w:p>
        </w:tc>
        <w:tc>
          <w:tcPr>
            <w:tcW w:w="14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w:t>
            </w:r>
          </w:p>
        </w:tc>
        <w:tc>
          <w:tcPr>
            <w:tcW w:w="1396"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2018年1-4月</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（8）收购的目的及后续计划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1）收购目的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通过本次收购，收购人将取得申请人控股股东地位，优化申请人股权结构和财务结构，补充了公司运营资金，增强申请人的持续盈利能力和长期发展潜力。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本次收购完成后，收购人将根据公司章程行使股东权利，本着认真负责的态度适时向董事会、股东大会提出相关的发展建议，并由公司董事会、股东大会依照有关法律、法规及公司章程的规定制定相关发展计划，以切实改善申请人生产经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2）收购人对公众公司的后续计划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对主要业务的调整计划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本次收购完成后，申请人主要业务在未来12个月内并不会因本次收购而进行调整，收购人在申请人现有业务的基础上，拟根据市场需求，拓展业务领域，以提升申请人的资产规模、盈利能力和持续经营能力。收购人在制定实施相应项目计划时，将会严格履行相应的法律程序和信息披露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对管理层的调整计划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本次收购完成后，收购人在未来12个月内将根据实际需要，本着有利于维护公司和全体股东的合法权益的原则，按照《公司法》《公司章程》等相关规定，适时对董事会成员、监事会成员和高级管理人员提出必要的调整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对组织结构的调整计划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收购人在本次收购完成后，在未来12个月内将根据实际经营需要并根据《公司法》《证券法》以及《非上市公众公司监督管理办法》等有关法律法规的规定向董事会、股东大会提出进一步完善公司组织架构的有关建议，确保公司平稳健康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对《公司章程》的修改计划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本次收购完成后，收购人在未来12个月内将根据申请人《公司章程》并依据《公司法》《证券法》等有关法律、法规规定行使股东权利，本着对全体股东负责的态度，适时对申请人公司章程进行修改。收购人将严格按照相关法律法规的要求，依法执行相关批准程序及履行信息披露义务。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对申请人资产处置的计划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收购人暂无对申请人资产进行处置的计划，本次收购完成后若收购人存在对申请人资产进行处置的计划，收购人将依法履行相应的法定程序和义务。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对员工聘用做出调整的计划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本次收购完成后，收购人在未来12个月内将根据收购后的业务发展需求，适时调整公司员工聘用计划，进一步优化人才结构。如果未来对员工进行聘用或解聘的，申请人将严格按照法律法规的规定实施。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3）收购完成后的影响分析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收购人在成为申请人控股股东、实际控制人后，将遵循相关法律、法规、规章、规范性文件及《公司章程》的相关规定，依法行使股东权利，不利用控股股东、实际控制人身份影响申请人的独立性，保持申请人在资产、人员、财务、机构和业务方面的完整性和独立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收购人与申请人的同业竞争及其规范措施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截至本报告书签署之日，收购人周海珠控制的核心企业的具体情况如下：</w:t>
      </w:r>
    </w:p>
    <w:tbl>
      <w:tblPr>
        <w:tblW w:w="86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3"/>
        <w:gridCol w:w="821"/>
        <w:gridCol w:w="865"/>
        <w:gridCol w:w="865"/>
        <w:gridCol w:w="4610"/>
        <w:gridCol w:w="1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jc w:val="center"/>
        </w:trPr>
        <w:tc>
          <w:tcPr>
            <w:tcW w:w="443" w:type="dxa"/>
            <w:tcBorders>
              <w:top w:val="single" w:color="000000" w:sz="12" w:space="0"/>
              <w:left w:val="single" w:color="000000" w:sz="12"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序号</w:t>
            </w:r>
          </w:p>
        </w:tc>
        <w:tc>
          <w:tcPr>
            <w:tcW w:w="821" w:type="dxa"/>
            <w:tcBorders>
              <w:top w:val="single" w:color="000000" w:sz="12" w:space="0"/>
              <w:left w:val="single" w:color="000000" w:sz="4"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公司名称</w:t>
            </w:r>
          </w:p>
        </w:tc>
        <w:tc>
          <w:tcPr>
            <w:tcW w:w="865" w:type="dxa"/>
            <w:tcBorders>
              <w:top w:val="single" w:color="000000" w:sz="12" w:space="0"/>
              <w:left w:val="single" w:color="000000" w:sz="4"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注册资本(万元)</w:t>
            </w:r>
          </w:p>
        </w:tc>
        <w:tc>
          <w:tcPr>
            <w:tcW w:w="865" w:type="dxa"/>
            <w:tcBorders>
              <w:top w:val="single" w:color="000000" w:sz="12" w:space="0"/>
              <w:left w:val="single" w:color="000000" w:sz="4"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关联关系</w:t>
            </w:r>
          </w:p>
        </w:tc>
        <w:tc>
          <w:tcPr>
            <w:tcW w:w="4610" w:type="dxa"/>
            <w:tcBorders>
              <w:top w:val="single" w:color="000000" w:sz="12" w:space="0"/>
              <w:left w:val="single" w:color="000000" w:sz="4" w:space="0"/>
              <w:bottom w:val="single" w:color="000000" w:sz="4" w:space="0"/>
              <w:right w:val="single" w:color="000000" w:sz="4"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营业范围</w:t>
            </w:r>
          </w:p>
        </w:tc>
        <w:tc>
          <w:tcPr>
            <w:tcW w:w="1059" w:type="dxa"/>
            <w:tcBorders>
              <w:top w:val="single" w:color="000000" w:sz="12" w:space="0"/>
              <w:left w:val="single" w:color="000000" w:sz="4" w:space="0"/>
              <w:bottom w:val="single" w:color="000000" w:sz="4" w:space="0"/>
              <w:right w:val="single" w:color="000000" w:sz="12"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主营业务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2" w:hRule="atLeast"/>
          <w:jc w:val="center"/>
        </w:trPr>
        <w:tc>
          <w:tcPr>
            <w:tcW w:w="443" w:type="dxa"/>
            <w:tcBorders>
              <w:top w:val="single" w:color="000000" w:sz="4" w:space="0"/>
              <w:left w:val="single" w:color="000000" w:sz="12"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福建越众科技发展有限公司</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5,050</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周海珠持股70%</w:t>
            </w:r>
          </w:p>
        </w:tc>
        <w:tc>
          <w:tcPr>
            <w:tcW w:w="4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通讯产品的研究开发;通讯产品生产及销售(另设分支机构经营);电力成套设备、电气产品及其配件、电线电缆、光缆、通信设备及器材(不含无线发射装置、卫星地面接收设施)、仪器仪表、建筑材料、消防器材、安防设备、金属材料、机电设备、环保设备、五金交电(不含电动自行车)的批发、代购代销;计算机系统集成;电子产品设计开发与技术服务;电力成套设备、电气产品及机电设备的维修、维护及技术服务;通信工程、建筑工程及环保工程的设计、施工(以资质证书为准);自营和代理各类商品和技术的进出口,但国家限定公司经营或禁止进出口的商品和技术除外。</w:t>
            </w:r>
          </w:p>
        </w:tc>
        <w:tc>
          <w:tcPr>
            <w:tcW w:w="1059" w:type="dxa"/>
            <w:tcBorders>
              <w:top w:val="single" w:color="000000" w:sz="4" w:space="0"/>
              <w:left w:val="single" w:color="000000" w:sz="4" w:space="0"/>
              <w:bottom w:val="single" w:color="000000" w:sz="4"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通讯产品、电气产品的销售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50" w:hRule="atLeast"/>
          <w:jc w:val="center"/>
        </w:trPr>
        <w:tc>
          <w:tcPr>
            <w:tcW w:w="443" w:type="dxa"/>
            <w:tcBorders>
              <w:top w:val="single" w:color="000000" w:sz="4" w:space="0"/>
              <w:left w:val="single" w:color="000000" w:sz="12"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821"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迪酷通讯科技（上海）有限公司</w:t>
            </w:r>
          </w:p>
        </w:tc>
        <w:tc>
          <w:tcPr>
            <w:tcW w:w="86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w:t>
            </w:r>
          </w:p>
        </w:tc>
        <w:tc>
          <w:tcPr>
            <w:tcW w:w="86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周海珠之配偶持股75%</w:t>
            </w:r>
          </w:p>
        </w:tc>
        <w:tc>
          <w:tcPr>
            <w:tcW w:w="461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从事通讯科技、电子科技、信息科技、计算机科技、网络科技、智能化科技领域内的技术研发、技术转让、技术服务、技术咨询,通讯设备、电子产品、计算机、软件及辅助设备(除计算机信息系统安全专用产品)的研发、销售,从事货物与技术的进出口业务。</w:t>
            </w:r>
          </w:p>
        </w:tc>
        <w:tc>
          <w:tcPr>
            <w:tcW w:w="1059" w:type="dxa"/>
            <w:tcBorders>
              <w:top w:val="single" w:color="000000" w:sz="4" w:space="0"/>
              <w:left w:val="single" w:color="000000" w:sz="4"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通讯设备及儿童手表的销售</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福建越众科技发展有限公司主营业务为通讯产品、电气产品的销售，与申请人经营相同业务，存在同业竞争的情形。为解决同业竞争，2018年5月24日，越众科技实际控制人周海珠承诺：本次收购经中国证监会核准并完成定向增发后6个月内，通过向无关联第三方转让股权或者停止经营与森达电气相似、相同或其他相竞争的业务等方式解决同业竞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迪酷通讯科技（上海）有限公司主营业务通讯设备及儿童手表的销售，与申请人不存在同业竞争。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为避免未来与申请人发生同业竞争，收购人承诺如下：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“在成为福建森达电气股份有限公司实际控制人后，将不以新设、投资、收购、兼并中国境内或境外与公司现有业务及产品相同或相似的公司或其他经济组织的形式与公司发生任何形式的同业竞争。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本承诺函自签署之日起生效，如本人违反上述承诺，本人愿意承担由此给公司造成的经济损失。”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（9）收购人作出的公开承诺及约束措施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收购人已针对信息披露、最近两年所受处罚及诉讼、仲裁、收购人资格、保持公众公司独立性、规范与公众公司关联交易、避免与公众公司同业竞争、股份锁定、认购资金来源及不存在代持、不存在业绩补偿、未能履行承诺事项时的约束措施等方面出具了承诺并披露了承诺的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（10）参与本次收购的中介机构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根据收购报告书，本次收购方财务顾问为九州证券股份有限公司，本次收购方法律顾问为福建天衡联合（福州）律师事务所，被收购方法律顾问为北京大成（福州）律师事务所。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截至收购报告书签署之日，本次收购的各中介机构与收购人、公众公司以及本次收购行为之间不存在关联关系。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（11）关于收购财务顾问报告的说明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收购人聘请九州证券股份有限公司（以下简称“九州证券”）作为其开展本次收购行为的财务顾问，九州证券已根据《非上市公众公司信息披露内容与格式准则第5号》第四章第二十七条的相关要求出具《九州证券股份有限公司关于福建森达电气股份有限公司收购报告书之财务顾问报告》，申请人于2018年6月1日在全国股转系统指定信息披露平台（www.neeq.com.cn）披露该财务顾问报告，详情请见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（12）关于与收购相关的法律意见书的说明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经核查，针对本次收购，申请人与收购人分别聘请北京大成（福州）律师事务所与福建天衡联合（福州）律师事务作为法律顾问，并分别于2018年5月31日出具《北京大成（福州）律师事务所关于周海珠收购福建森达电气股份有限公司之法律意见书》与《福建天衡联合（福州）律师事务所关于福建森达电气股份有限公司收购报告书之法律意见书》。申请人于2018年6月1日在全国股转系统指定信息披露平台（www.neeq.com.cn）披露上述两份法律意见书，详情请见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其中收购方聘请的福建天衡联合（福州）律师事务所律师及其所就职的律师已在收购报告书上签字、盖章、签注日期，并载明以下声明：“本人及本人所代表的机构已按照执业规则规定的工作程序履行勤勉尽责义务，对收购报告书的内容进行核查和验证，未发现虚假记载、误导性陈述或者重大遗漏，并对此承担相应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经核查，主办券商、律师和会计师认为，收购人不存在《非上市公众公司收购管理办法》第六条规定的禁止情形、被收购人的控股股东、实际控制人、董事、监事、高级管理人员的行为符合《非上市公众公司收购管理办法》第七条、第八条的规定。收购人与本次收购行为符合《非上市公众公司信息披露内容与格式准则第5号》第四章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7"/>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（三）关于前次募集资金使用情况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材料显示，申请人未披露前次募集资金用来补充流动资金的具体使用明细。要求申请人补充披露前次募集资金具体使用情况，是否与披露的用途相符。请主办券商、律师及会计师核查前次募集资金的具体流向，是否用于补充流动资金，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前次募集资金使用情况如下：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单位：元</w:t>
      </w:r>
    </w:p>
    <w:tbl>
      <w:tblPr>
        <w:tblW w:w="106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24"/>
        <w:gridCol w:w="1592"/>
        <w:gridCol w:w="1486"/>
        <w:gridCol w:w="1486"/>
        <w:gridCol w:w="1486"/>
        <w:gridCol w:w="1592"/>
        <w:gridCol w:w="1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1424" w:type="dxa"/>
            <w:tcBorders>
              <w:top w:val="single" w:color="000000" w:sz="12" w:space="0"/>
              <w:left w:val="single" w:color="000000" w:sz="12" w:space="0"/>
              <w:bottom w:val="single" w:color="000000" w:sz="6" w:space="0"/>
              <w:right w:val="single" w:color="000000" w:sz="6"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期间</w:t>
            </w:r>
          </w:p>
        </w:tc>
        <w:tc>
          <w:tcPr>
            <w:tcW w:w="1592" w:type="dxa"/>
            <w:tcBorders>
              <w:top w:val="single" w:color="000000" w:sz="12" w:space="0"/>
              <w:left w:val="single" w:color="000000" w:sz="6" w:space="0"/>
              <w:bottom w:val="single" w:color="000000" w:sz="6" w:space="0"/>
              <w:right w:val="single" w:color="000000" w:sz="6"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收到资金</w:t>
            </w:r>
          </w:p>
        </w:tc>
        <w:tc>
          <w:tcPr>
            <w:tcW w:w="1486" w:type="dxa"/>
            <w:tcBorders>
              <w:top w:val="single" w:color="000000" w:sz="12" w:space="0"/>
              <w:left w:val="single" w:color="000000" w:sz="6" w:space="0"/>
              <w:bottom w:val="single" w:color="000000" w:sz="6" w:space="0"/>
              <w:right w:val="single" w:color="000000" w:sz="6"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发行费</w:t>
            </w:r>
          </w:p>
        </w:tc>
        <w:tc>
          <w:tcPr>
            <w:tcW w:w="1486" w:type="dxa"/>
            <w:tcBorders>
              <w:top w:val="single" w:color="000000" w:sz="12" w:space="0"/>
              <w:left w:val="single" w:color="000000" w:sz="6" w:space="0"/>
              <w:bottom w:val="single" w:color="000000" w:sz="6" w:space="0"/>
              <w:right w:val="single" w:color="000000" w:sz="6"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支付税费</w:t>
            </w:r>
          </w:p>
        </w:tc>
        <w:tc>
          <w:tcPr>
            <w:tcW w:w="1486" w:type="dxa"/>
            <w:tcBorders>
              <w:top w:val="single" w:color="000000" w:sz="12" w:space="0"/>
              <w:left w:val="single" w:color="000000" w:sz="6" w:space="0"/>
              <w:bottom w:val="single" w:color="000000" w:sz="6" w:space="0"/>
              <w:right w:val="single" w:color="000000" w:sz="6"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支付职工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薪酬</w:t>
            </w:r>
          </w:p>
        </w:tc>
        <w:tc>
          <w:tcPr>
            <w:tcW w:w="1592" w:type="dxa"/>
            <w:tcBorders>
              <w:top w:val="single" w:color="000000" w:sz="12" w:space="0"/>
              <w:left w:val="single" w:color="000000" w:sz="6" w:space="0"/>
              <w:bottom w:val="single" w:color="000000" w:sz="6" w:space="0"/>
              <w:right w:val="single" w:color="000000" w:sz="6"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支付原材料</w:t>
            </w:r>
          </w:p>
        </w:tc>
        <w:tc>
          <w:tcPr>
            <w:tcW w:w="1581" w:type="dxa"/>
            <w:tcBorders>
              <w:top w:val="single" w:color="000000" w:sz="12" w:space="0"/>
              <w:left w:val="single" w:color="000000" w:sz="6" w:space="0"/>
              <w:bottom w:val="single" w:color="000000" w:sz="6" w:space="0"/>
              <w:right w:val="single" w:color="000000" w:sz="12" w:space="0"/>
            </w:tcBorders>
            <w:shd w:val="clear" w:color="auto" w:fill="BFBFB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募集资金余额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1424"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2015年6月</w:t>
            </w:r>
          </w:p>
        </w:tc>
        <w:tc>
          <w:tcPr>
            <w:tcW w:w="15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45,000,000.00</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5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581"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45,000,000.00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1424"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2015年9月</w:t>
            </w:r>
          </w:p>
        </w:tc>
        <w:tc>
          <w:tcPr>
            <w:tcW w:w="15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1,000,000.00</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430,484.41</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996,440.22</w:t>
            </w:r>
          </w:p>
        </w:tc>
        <w:tc>
          <w:tcPr>
            <w:tcW w:w="15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6,156,004.94</w:t>
            </w:r>
          </w:p>
        </w:tc>
        <w:tc>
          <w:tcPr>
            <w:tcW w:w="1581"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36,417,070.43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1424"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2015年10月</w:t>
            </w:r>
          </w:p>
        </w:tc>
        <w:tc>
          <w:tcPr>
            <w:tcW w:w="15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577,558.13</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893,663.22</w:t>
            </w:r>
          </w:p>
        </w:tc>
        <w:tc>
          <w:tcPr>
            <w:tcW w:w="15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5,724,783.10</w:t>
            </w:r>
          </w:p>
        </w:tc>
        <w:tc>
          <w:tcPr>
            <w:tcW w:w="1581"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29,221,065.98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1424"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2015年11月</w:t>
            </w:r>
          </w:p>
        </w:tc>
        <w:tc>
          <w:tcPr>
            <w:tcW w:w="15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583,621.74</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774,546.36</w:t>
            </w:r>
          </w:p>
        </w:tc>
        <w:tc>
          <w:tcPr>
            <w:tcW w:w="15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7,284,733.25</w:t>
            </w:r>
          </w:p>
        </w:tc>
        <w:tc>
          <w:tcPr>
            <w:tcW w:w="1581"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20,578,164.63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1424"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2015年12月</w:t>
            </w:r>
          </w:p>
        </w:tc>
        <w:tc>
          <w:tcPr>
            <w:tcW w:w="15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275,416.89</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900,910.35</w:t>
            </w:r>
          </w:p>
        </w:tc>
        <w:tc>
          <w:tcPr>
            <w:tcW w:w="15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10,921,996.37</w:t>
            </w:r>
          </w:p>
        </w:tc>
        <w:tc>
          <w:tcPr>
            <w:tcW w:w="1581"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8,479,841.02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1424"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2016年1月</w:t>
            </w:r>
          </w:p>
        </w:tc>
        <w:tc>
          <w:tcPr>
            <w:tcW w:w="15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645,515.83</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901,272.52</w:t>
            </w:r>
          </w:p>
        </w:tc>
        <w:tc>
          <w:tcPr>
            <w:tcW w:w="15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5,788,515.02</w:t>
            </w:r>
          </w:p>
        </w:tc>
        <w:tc>
          <w:tcPr>
            <w:tcW w:w="1581"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1,144,537.65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1424" w:type="dxa"/>
            <w:tcBorders>
              <w:top w:val="single" w:color="000000" w:sz="6" w:space="0"/>
              <w:left w:val="single" w:color="000000" w:sz="12"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2016年2月</w:t>
            </w:r>
          </w:p>
        </w:tc>
        <w:tc>
          <w:tcPr>
            <w:tcW w:w="15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474,103.23</w:t>
            </w:r>
          </w:p>
        </w:tc>
        <w:tc>
          <w:tcPr>
            <w:tcW w:w="1486"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670,434.42</w:t>
            </w:r>
          </w:p>
        </w:tc>
        <w:tc>
          <w:tcPr>
            <w:tcW w:w="15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581" w:type="dxa"/>
            <w:tcBorders>
              <w:top w:val="single" w:color="000000" w:sz="6" w:space="0"/>
              <w:left w:val="single" w:color="000000" w:sz="6" w:space="0"/>
              <w:bottom w:val="single" w:color="000000" w:sz="6"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 w:hRule="atLeast"/>
          <w:jc w:val="center"/>
        </w:trPr>
        <w:tc>
          <w:tcPr>
            <w:tcW w:w="1424" w:type="dxa"/>
            <w:tcBorders>
              <w:top w:val="single" w:color="000000" w:sz="6" w:space="0"/>
              <w:left w:val="single" w:color="000000" w:sz="12"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1592" w:type="dxa"/>
            <w:tcBorders>
              <w:top w:val="single" w:color="000000" w:sz="6" w:space="0"/>
              <w:left w:val="single" w:color="000000" w:sz="6"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45,000,000.00</w:t>
            </w:r>
          </w:p>
        </w:tc>
        <w:tc>
          <w:tcPr>
            <w:tcW w:w="1486" w:type="dxa"/>
            <w:tcBorders>
              <w:top w:val="single" w:color="000000" w:sz="6" w:space="0"/>
              <w:left w:val="single" w:color="000000" w:sz="6"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1,000,000.00</w:t>
            </w:r>
          </w:p>
        </w:tc>
        <w:tc>
          <w:tcPr>
            <w:tcW w:w="1486" w:type="dxa"/>
            <w:tcBorders>
              <w:top w:val="single" w:color="000000" w:sz="6" w:space="0"/>
              <w:left w:val="single" w:color="000000" w:sz="6"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2,986,700.23</w:t>
            </w:r>
          </w:p>
        </w:tc>
        <w:tc>
          <w:tcPr>
            <w:tcW w:w="1486" w:type="dxa"/>
            <w:tcBorders>
              <w:top w:val="single" w:color="000000" w:sz="6" w:space="0"/>
              <w:left w:val="single" w:color="000000" w:sz="6"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5,137,267.09</w:t>
            </w:r>
          </w:p>
        </w:tc>
        <w:tc>
          <w:tcPr>
            <w:tcW w:w="1592" w:type="dxa"/>
            <w:tcBorders>
              <w:top w:val="single" w:color="000000" w:sz="6" w:space="0"/>
              <w:left w:val="single" w:color="000000" w:sz="6" w:space="0"/>
              <w:bottom w:val="single" w:color="000000" w:sz="12" w:space="0"/>
              <w:right w:val="single"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35,876,032.68</w:t>
            </w:r>
          </w:p>
        </w:tc>
        <w:tc>
          <w:tcPr>
            <w:tcW w:w="1581" w:type="dxa"/>
            <w:tcBorders>
              <w:top w:val="single" w:color="000000" w:sz="6" w:space="0"/>
              <w:left w:val="single" w:color="000000" w:sz="6" w:space="0"/>
              <w:bottom w:val="single" w:color="000000" w:sz="12" w:space="0"/>
              <w:right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7"/>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主办券商、律师和会计师认为，申请人严格按照股票发行方案所披露的用途，将募集资金全部用于补充流动资金，不存在改变募集资金用途的情况。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42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4、关于股权质押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申请材料显示，申请人未披露报告期内公司股权质押的情况。要求申请人补充披露报告期内公司股权质押的相关情况。请主办券商、律师及会计师核查股权质押业务及担保对象背景，并对公司股权质押是否存在风险并发表明确意见，必要时作重大风险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报告期内，公司不存在股权质押的情况。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主办券商、律师和会计师认为，申请人报告期内不存在股权质押的情况。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5、关于募集资金专户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材料显示，申请人未披露其是否已按规定为本次发行开立了募集资金专户。要求申请人按照《挂牌公司股票发行常见问题解答（三）——募集资金管理、认购协议中特殊条款、特殊类型挂牌公司融资》的要求，开立本次发行的募集资金专项账户。请主办券商、律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申请人已经为本次股票发行开立募集资金专项账户，并将于本次发行认购结束后验资前与主办券商、存放募集资金的商业银行签订三方监管协议，并向监管部门报备。本次募集资金专项账户信息：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本次募集资金专项账户信息：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户名：福建森达电气股份有限公司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开户银行名称：中国银行福建省分行营业部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开户银行账号：405275945298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主办券商、律师认为，申请人已经为本次股票发行开立募集资金专项账户，并将于本次发行认购结束后验资前与主办券商、存放募集资金的商业银行签订三方监管协议，并向监管部门报备，符合《挂牌公司股票发行常见问题解答（三）——募集资金管理、认购协议中特殊条款、特殊类型挂牌公司公司融资》关于募集资金管理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根据申请人提交的申请文件及对反馈意见的回复，我会认为，申请人信息披露基本符合《公司法》《证券法》《公众公司办法》《非上市公众公司信息披露内容与格式准则第3号——定向发行说明书和发行情况报告书》《非上市公众公司信息披露内容与格式准则第4号——定向发行申请文件》等法律法规的规定，相关中介机构已就本次申请的相关问题依法发表了明确的意见。据此，我会同意福建森达电气股份有限公司向特定对象发行股票的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1CD66AF8"/>
    <w:rsid w:val="1CD6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2022-09-07T02:02:00Z</dcterms:created>
  <dc:creator>程晋</dc:creator>
  <cp:lastModifiedBy>程晋</cp:lastModifiedBy>
  <dcterms:modified xsi:type="dcterms:W3CDTF">2022-09-07T02:08:36Z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CF5B2BA1D42948F09D4F045F431B85B3</vt:lpwstr>
  </property>
</Properties>
</file>