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17"/>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u w:val="none"/>
        </w:rPr>
      </w:pPr>
      <w:r>
        <w:rPr>
          <w:rFonts w:hint="eastAsia" w:ascii="微软雅黑" w:hAnsi="微软雅黑" w:eastAsia="微软雅黑" w:cs="微软雅黑"/>
          <w:i w:val="0"/>
          <w:iCs w:val="0"/>
          <w:caps w:val="0"/>
          <w:color w:val="333333"/>
          <w:spacing w:val="0"/>
          <w:u w:val="none"/>
          <w:bdr w:val="none" w:color="auto" w:sz="0" w:space="0"/>
          <w:shd w:val="clear" w:fill="FFFFFF"/>
        </w:rPr>
        <w:t>关于北京七维航测科技股份有限公司申请向特定对象发行股票的审核意见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jc w:val="left"/>
        <w:rPr>
          <w:rFonts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17"/>
        <w:jc w:val="left"/>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（一）申请人基本情况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北京七维航测科技股份有限公司（以下简称申请人），住所地为北京市海淀区西北旺镇永捷南路2号院2号楼，成立于2003年12月5日，2010年11月30日改制为股份公司，并于2011年5月31日在原代办股份转让系统挂牌公开转让。截至股权登记日（2017年6月12日），共有股东779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申请人法定代表人为祁伟，控股股东及实际控制人为杨娜（祁伟配偶）。申请人主营业务为航测、检测、监测产品的研发、生产和销售。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向特定对象发行股票的行政许可申请于2017年10月11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于2017年10月23日向申请人发出书面反馈，申请人于2017年11月30日提交了第一次反馈延期回复申请，于2017年12月30日提交了财务报表有效期延期一个月的申请，于2018年1月9日提交了反馈回复再次延期的申请。申请人及主办券商、会计师、律师于2018年1月22日提交了第一次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全国股转公司就本次发行出具了《关于北京七维航测科技股份有限公司股票发行的自律监管情况函》（见附件2），其中确认截至2017年10月10日，申请人存在以下信息披露违规问题：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申请人于2015年7月29日披露2015年一季度的审计报告。全国股转公司针对该情况对申请人及相关责任主体采取了约见谈话的自律监管措施。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自挂牌以来完成过三次股票融资，除第三次股票发行存在提前使用募集资金、部分变更募集资金用途未及时履行相关审批流程的不规范情形外，融资过程中未发现其他违法违规问题。申请人已参加全国股转公司举办的集中培训并通过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除上述情形外，未发现申请人在公司治理及日常监管中存在重大违法违规情形。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申请人自挂牌以来进行过两次权益分派：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1、2013年5月14日召开2012年年度股东大会审议通过《2012年度利润分配方案》，以总股本2,715万股为基数，以资本公积金向全体股东每10股转增5股，共计转增1,357.5万股，转增后总股本增至4,072.5万股。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2、2014年9月10日召开的2014年第四次临时股东大会审议通过《关于公司资本公积金转增股本的议案》，以总股本4,312.5万股为基数，以资本公积金向全体股东每10股转增3.7股，共计转增15,956,250股，转增后总股本为59,081,250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（一）关于募投项目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材料显示，申请人本次募集资金有部分用于子公司七维测控的电子装备试验场，具体为建安工程费、工程建设费、预备费等。按照项目实施进度情况表，申请人目前应处于设备调试或竣工验收阶段。但目前申请人资金投入8,271.72万元，仅占项目总投入24,035万元的34.42%。要求申请人补充披露：1、建安工程费、工程建设费、预备费等费用的具体构成及金额；2、项目实施进度与资金投入进度是否匹配，是否需要调整项目建设周期；3、项目资金缺口的解决方案与到位情况；4、结合之前建设及运营的案例说明是否具备相应项目的建设、运营管理的经验、能力和资源。请主办券商、律师及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1、项目建安工程费、工程建设费、预备费等费用的具体构成及金额情况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根据申请人出具的《电子装备试验场项目实施进度情况的说明》、项目费用支出明细表等资料并经会计师审阅，截至2017年10月31日，子公司七维测控的电子装备试验场项目已支付土地使用权购置费11,780,000.00元，缴纳土地使用权相关税费1,882,753.75元，设计规划及咨询费861,000.00元，工程建设费69,545,863.82元，预付工程建设款及设计费27,220,722.00元，合计111,290,339.57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2、项目实施进度与资金投入进度匹配情况及需要调整项目建设周期情况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该项目启动于2015年初，申请人计划以非公开发行股票融资作为项目建设的配套资金，但因资本市场变化导致股票发行未能按预期完成。为了按项目建设的预期进度施工，申请人先以自有资金或银行贷款进行投入，后续非公开发行股票融资资金到位后在募集资金使用额度的范围内予以资金置换。从目前情况看，项目施工进度和资金进度略滞后于开始规划的预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根据项目施工方秦皇岛市卢龙博源建筑工程有限公司出具的说明，及申请人提供的项目现场照片资料，目前该项目已完成土建工程验收，由于募集资金到位的时间滞后于预期及北方进入冬季导致施工难度加大等原因，部分建筑物尚未进行内部装修的施工，设备安装调试和相关电子装备试验场所需的试验、检测等设备调试需要等2018年初才能进行。申请人预计在2018年上半年完成该项目。项目实施进度及预计竣工验收时间调整计划表如下：</w:t>
      </w:r>
    </w:p>
    <w:tbl>
      <w:tblPr>
        <w:tblW w:w="102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8"/>
        <w:gridCol w:w="1871"/>
        <w:gridCol w:w="280"/>
        <w:gridCol w:w="6161"/>
        <w:gridCol w:w="504"/>
        <w:gridCol w:w="504"/>
        <w:gridCol w:w="504"/>
        <w:gridCol w:w="504"/>
        <w:gridCol w:w="1899"/>
        <w:gridCol w:w="504"/>
        <w:gridCol w:w="1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122" w:type="dxa"/>
            <w:vMerge w:val="restart"/>
            <w:tcBorders>
              <w:top w:val="double" w:color="000000" w:sz="2" w:space="0"/>
              <w:left w:val="double" w:color="000000" w:sz="2"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hanging="2"/>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工作阶段</w:t>
            </w:r>
          </w:p>
        </w:tc>
        <w:tc>
          <w:tcPr>
            <w:tcW w:w="2680" w:type="dxa"/>
            <w:gridSpan w:val="3"/>
            <w:tcBorders>
              <w:top w:val="double" w:color="000000" w:sz="2"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2015年</w:t>
            </w:r>
          </w:p>
        </w:tc>
        <w:tc>
          <w:tcPr>
            <w:tcW w:w="2691" w:type="dxa"/>
            <w:gridSpan w:val="3"/>
            <w:tcBorders>
              <w:top w:val="double" w:color="000000" w:sz="2"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2016年</w:t>
            </w:r>
          </w:p>
        </w:tc>
        <w:tc>
          <w:tcPr>
            <w:tcW w:w="2735" w:type="dxa"/>
            <w:gridSpan w:val="3"/>
            <w:tcBorders>
              <w:top w:val="double" w:color="000000" w:sz="2"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24"/>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w:t>
            </w:r>
          </w:p>
        </w:tc>
        <w:tc>
          <w:tcPr>
            <w:tcW w:w="995" w:type="dxa"/>
            <w:tcBorders>
              <w:top w:val="double" w:color="000000" w:sz="2" w:space="0"/>
              <w:left w:val="single" w:color="000000" w:sz="6" w:space="0"/>
              <w:bottom w:val="single" w:color="000000" w:sz="6" w:space="0"/>
              <w:right w:val="doub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22"/>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122" w:type="dxa"/>
            <w:vMerge w:val="continue"/>
            <w:tcBorders>
              <w:top w:val="double" w:color="000000" w:sz="2" w:space="0"/>
              <w:left w:val="double" w:color="000000" w:sz="2" w:space="0"/>
              <w:bottom w:val="single" w:color="000000" w:sz="6" w:space="0"/>
              <w:right w:val="single" w:color="000000" w:sz="6" w:space="0"/>
            </w:tcBorders>
            <w:shd w:val="clear"/>
            <w:vAlign w:val="center"/>
          </w:tcPr>
          <w:p>
            <w:pPr>
              <w:rPr>
                <w:rFonts w:hint="eastAsia" w:ascii="宋体"/>
                <w:sz w:val="24"/>
                <w:szCs w:val="24"/>
                <w:u w:val="none"/>
              </w:rPr>
            </w:pPr>
          </w:p>
        </w:tc>
        <w:tc>
          <w:tcPr>
            <w:tcW w:w="880"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1-4月</w:t>
            </w:r>
          </w:p>
        </w:tc>
        <w:tc>
          <w:tcPr>
            <w:tcW w:w="805"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5-8月</w:t>
            </w:r>
          </w:p>
        </w:tc>
        <w:tc>
          <w:tcPr>
            <w:tcW w:w="995"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9-12月</w:t>
            </w:r>
          </w:p>
        </w:tc>
        <w:tc>
          <w:tcPr>
            <w:tcW w:w="851"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1-4月</w:t>
            </w:r>
          </w:p>
        </w:tc>
        <w:tc>
          <w:tcPr>
            <w:tcW w:w="851"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5-8月</w:t>
            </w:r>
          </w:p>
        </w:tc>
        <w:tc>
          <w:tcPr>
            <w:tcW w:w="989"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9-12月</w:t>
            </w:r>
          </w:p>
        </w:tc>
        <w:tc>
          <w:tcPr>
            <w:tcW w:w="849"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24"/>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1-4月</w:t>
            </w:r>
          </w:p>
        </w:tc>
        <w:tc>
          <w:tcPr>
            <w:tcW w:w="891"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24"/>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5-8月</w:t>
            </w:r>
          </w:p>
        </w:tc>
        <w:tc>
          <w:tcPr>
            <w:tcW w:w="995"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24"/>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9-12月</w:t>
            </w:r>
          </w:p>
        </w:tc>
        <w:tc>
          <w:tcPr>
            <w:tcW w:w="995" w:type="dxa"/>
            <w:tcBorders>
              <w:top w:val="single" w:color="000000" w:sz="6" w:space="0"/>
              <w:left w:val="single" w:color="000000" w:sz="6" w:space="0"/>
              <w:bottom w:val="single" w:color="000000" w:sz="6" w:space="0"/>
              <w:right w:val="double" w:color="000000" w:sz="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22"/>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122" w:type="dxa"/>
            <w:tcBorders>
              <w:top w:val="single" w:color="000000" w:sz="6" w:space="0"/>
              <w:left w:val="double" w:color="000000" w:sz="2"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hanging="2"/>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前期准备、勘察设计</w:t>
            </w:r>
          </w:p>
        </w:tc>
        <w:tc>
          <w:tcPr>
            <w:tcW w:w="880"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drawing>
                <wp:inline distT="0" distB="0" distL="114300" distR="114300">
                  <wp:extent cx="1143000" cy="285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143000" cy="28575"/>
                          </a:xfrm>
                          <a:prstGeom prst="rect">
                            <a:avLst/>
                          </a:prstGeom>
                          <a:noFill/>
                          <a:ln w="9525">
                            <a:noFill/>
                          </a:ln>
                        </pic:spPr>
                      </pic:pic>
                    </a:graphicData>
                  </a:graphic>
                </wp:inline>
              </w:drawing>
            </w:r>
            <w:r>
              <w:rPr>
                <w:rFonts w:hint="eastAsia" w:ascii="微软雅黑" w:hAnsi="微软雅黑" w:eastAsia="微软雅黑" w:cs="微软雅黑"/>
                <w:sz w:val="16"/>
                <w:szCs w:val="16"/>
                <w:u w:val="none"/>
                <w:bdr w:val="none" w:color="auto" w:sz="0" w:space="0"/>
              </w:rPr>
              <w:t> </w:t>
            </w:r>
          </w:p>
        </w:tc>
        <w:tc>
          <w:tcPr>
            <w:tcW w:w="805"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95"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51"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51"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89"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49"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91"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95" w:type="dxa"/>
            <w:tcBorders>
              <w:top w:val="single" w:color="000000" w:sz="6" w:space="0"/>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95" w:type="dxa"/>
            <w:tcBorders>
              <w:top w:val="single" w:color="000000" w:sz="6" w:space="0"/>
              <w:left w:val="single" w:color="000000" w:sz="6" w:space="0"/>
              <w:bottom w:val="single" w:color="000000" w:sz="6" w:space="0"/>
              <w:right w:val="double" w:color="000000" w:sz="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122" w:type="dxa"/>
            <w:tcBorders>
              <w:top w:val="single" w:color="000000" w:sz="6" w:space="0"/>
              <w:left w:val="double" w:color="000000" w:sz="2"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hanging="2"/>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土建、装修</w:t>
            </w:r>
          </w:p>
        </w:tc>
        <w:tc>
          <w:tcPr>
            <w:tcW w:w="880"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05"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95"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drawing>
                <wp:inline distT="0" distB="0" distL="114300" distR="114300">
                  <wp:extent cx="3867150" cy="2857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3867150" cy="28575"/>
                          </a:xfrm>
                          <a:prstGeom prst="rect">
                            <a:avLst/>
                          </a:prstGeom>
                          <a:noFill/>
                          <a:ln w="9525">
                            <a:noFill/>
                          </a:ln>
                        </pic:spPr>
                      </pic:pic>
                    </a:graphicData>
                  </a:graphic>
                </wp:inline>
              </w:drawing>
            </w:r>
            <w:r>
              <w:rPr>
                <w:rFonts w:hint="eastAsia" w:ascii="微软雅黑" w:hAnsi="微软雅黑" w:eastAsia="微软雅黑" w:cs="微软雅黑"/>
                <w:sz w:val="16"/>
                <w:szCs w:val="16"/>
                <w:u w:val="none"/>
                <w:bdr w:val="none" w:color="auto" w:sz="0" w:space="0"/>
              </w:rPr>
              <w:t> </w:t>
            </w:r>
          </w:p>
        </w:tc>
        <w:tc>
          <w:tcPr>
            <w:tcW w:w="851"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51"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89"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49"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91"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95" w:type="dxa"/>
            <w:tcBorders>
              <w:top w:val="single" w:color="000000" w:sz="6" w:space="0"/>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95" w:type="dxa"/>
            <w:tcBorders>
              <w:top w:val="single" w:color="000000" w:sz="6" w:space="0"/>
              <w:left w:val="single" w:color="000000" w:sz="6" w:space="0"/>
              <w:bottom w:val="single" w:color="000000" w:sz="6" w:space="0"/>
              <w:right w:val="double" w:color="000000" w:sz="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1" w:hRule="atLeast"/>
          <w:jc w:val="center"/>
        </w:trPr>
        <w:tc>
          <w:tcPr>
            <w:tcW w:w="1122" w:type="dxa"/>
            <w:tcBorders>
              <w:top w:val="single" w:color="000000" w:sz="6" w:space="0"/>
              <w:left w:val="double" w:color="000000" w:sz="2"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hanging="2"/>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设备调试</w:t>
            </w:r>
          </w:p>
        </w:tc>
        <w:tc>
          <w:tcPr>
            <w:tcW w:w="880"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05"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95"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51"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51"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89"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49"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91"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drawing>
                <wp:inline distT="0" distB="0" distL="114300" distR="114300">
                  <wp:extent cx="885825" cy="28575"/>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885825" cy="28575"/>
                          </a:xfrm>
                          <a:prstGeom prst="rect">
                            <a:avLst/>
                          </a:prstGeom>
                          <a:noFill/>
                          <a:ln w="9525">
                            <a:noFill/>
                          </a:ln>
                        </pic:spPr>
                      </pic:pic>
                    </a:graphicData>
                  </a:graphic>
                </wp:inline>
              </w:drawing>
            </w:r>
            <w:r>
              <w:rPr>
                <w:rFonts w:hint="eastAsia" w:ascii="微软雅黑" w:hAnsi="微软雅黑" w:eastAsia="微软雅黑" w:cs="微软雅黑"/>
                <w:sz w:val="16"/>
                <w:szCs w:val="16"/>
                <w:u w:val="none"/>
                <w:bdr w:val="none" w:color="auto" w:sz="0" w:space="0"/>
              </w:rPr>
              <w:t> </w:t>
            </w:r>
          </w:p>
        </w:tc>
        <w:tc>
          <w:tcPr>
            <w:tcW w:w="995" w:type="dxa"/>
            <w:tcBorders>
              <w:top w:val="single" w:color="000000" w:sz="6" w:space="0"/>
              <w:left w:val="single" w:color="000000" w:sz="6" w:space="0"/>
              <w:bottom w:val="single" w:color="000000" w:sz="6"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95" w:type="dxa"/>
            <w:tcBorders>
              <w:top w:val="single" w:color="000000" w:sz="6" w:space="0"/>
              <w:left w:val="single" w:color="000000" w:sz="6" w:space="0"/>
              <w:bottom w:val="single" w:color="000000" w:sz="6" w:space="0"/>
              <w:right w:val="double" w:color="000000" w:sz="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9" w:hRule="atLeast"/>
          <w:jc w:val="center"/>
        </w:trPr>
        <w:tc>
          <w:tcPr>
            <w:tcW w:w="1122" w:type="dxa"/>
            <w:tcBorders>
              <w:top w:val="single" w:color="000000" w:sz="6" w:space="0"/>
              <w:left w:val="double" w:color="000000" w:sz="2" w:space="0"/>
              <w:bottom w:val="double" w:color="000000" w:sz="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hanging="2"/>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竣工验收</w:t>
            </w:r>
          </w:p>
        </w:tc>
        <w:tc>
          <w:tcPr>
            <w:tcW w:w="880" w:type="dxa"/>
            <w:tcBorders>
              <w:top w:val="single" w:color="000000" w:sz="6" w:space="0"/>
              <w:left w:val="single" w:color="000000" w:sz="6" w:space="0"/>
              <w:bottom w:val="double" w:color="000000" w:sz="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05" w:type="dxa"/>
            <w:tcBorders>
              <w:top w:val="single" w:color="000000" w:sz="6" w:space="0"/>
              <w:left w:val="single" w:color="000000" w:sz="6" w:space="0"/>
              <w:bottom w:val="double" w:color="000000" w:sz="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95" w:type="dxa"/>
            <w:tcBorders>
              <w:top w:val="single" w:color="000000" w:sz="6" w:space="0"/>
              <w:left w:val="single" w:color="000000" w:sz="6" w:space="0"/>
              <w:bottom w:val="double" w:color="000000" w:sz="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 w:right="0" w:firstLine="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51" w:type="dxa"/>
            <w:tcBorders>
              <w:top w:val="single" w:color="000000" w:sz="6" w:space="0"/>
              <w:left w:val="single" w:color="000000" w:sz="6" w:space="0"/>
              <w:bottom w:val="double" w:color="000000" w:sz="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51" w:type="dxa"/>
            <w:tcBorders>
              <w:top w:val="single" w:color="000000" w:sz="6" w:space="0"/>
              <w:left w:val="single" w:color="000000" w:sz="6" w:space="0"/>
              <w:bottom w:val="double" w:color="000000" w:sz="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89" w:type="dxa"/>
            <w:tcBorders>
              <w:top w:val="single" w:color="000000" w:sz="6" w:space="0"/>
              <w:left w:val="single" w:color="000000" w:sz="6" w:space="0"/>
              <w:bottom w:val="double" w:color="000000" w:sz="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49" w:type="dxa"/>
            <w:tcBorders>
              <w:top w:val="single" w:color="000000" w:sz="6" w:space="0"/>
              <w:left w:val="single" w:color="000000" w:sz="6" w:space="0"/>
              <w:bottom w:val="double" w:color="000000" w:sz="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891" w:type="dxa"/>
            <w:tcBorders>
              <w:top w:val="single" w:color="000000" w:sz="6" w:space="0"/>
              <w:left w:val="single" w:color="000000" w:sz="6" w:space="0"/>
              <w:bottom w:val="double" w:color="000000" w:sz="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95" w:type="dxa"/>
            <w:tcBorders>
              <w:top w:val="single" w:color="000000" w:sz="6" w:space="0"/>
              <w:left w:val="single" w:color="000000" w:sz="6" w:space="0"/>
              <w:bottom w:val="double" w:color="000000" w:sz="2" w:space="0"/>
              <w:right w:val="single"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995" w:type="dxa"/>
            <w:tcBorders>
              <w:top w:val="single" w:color="000000" w:sz="6" w:space="0"/>
              <w:left w:val="single" w:color="000000" w:sz="6" w:space="0"/>
              <w:bottom w:val="double" w:color="000000" w:sz="2" w:space="0"/>
              <w:right w:val="double" w:color="000000" w:sz="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drawing>
                <wp:inline distT="0" distB="0" distL="114300" distR="114300">
                  <wp:extent cx="323850" cy="47625"/>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323850" cy="47625"/>
                          </a:xfrm>
                          <a:prstGeom prst="rect">
                            <a:avLst/>
                          </a:prstGeom>
                          <a:noFill/>
                          <a:ln w="9525">
                            <a:noFill/>
                          </a:ln>
                        </pic:spPr>
                      </pic:pic>
                    </a:graphicData>
                  </a:graphic>
                </wp:inline>
              </w:drawing>
            </w:r>
            <w:r>
              <w:rPr>
                <w:rFonts w:hint="eastAsia" w:ascii="微软雅黑" w:hAnsi="微软雅黑" w:eastAsia="微软雅黑" w:cs="微软雅黑"/>
                <w:sz w:val="16"/>
                <w:szCs w:val="16"/>
                <w:u w:val="none"/>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3、项目资金缺口的解决方案与到位情况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目前项目资金缺口以申请人自有资金和银行借款补充，全资子公司七维测控已向卢龙县信用合作联社申请贷款，金额为人民币5,000万元。贷款以申请人自有不动产作为抵押，申请人为此贷款提供最高额连带责任保证担保，此项担保已经第三届董事会第八次会议和2017年第四次临时股东大会审议通过。申请人先以自有资金或银行贷款进行投入，后续如本次非公开发行股票方式融资资金到位后，在募集资金使用额度的范围内予以资金置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4、申请人具备相应项目的建设、运营管理的经验、能力和资源情况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本项目系申请人成立后建设和实施的第一个项目,由申请人相关部门抽调人员，组成“项目管理处”，全权负责该项目。下设5个部门，即规划计划部、合同预算管理部、工程管理部、财务部、办公室。本项目的设计与建设应由具有相关资质的单位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本项目实施过程中严格执行工程设计、施工与监理单位的资质审核制度，严格执行项目法人责任制、设备和材料采购及工程建设招标投标制、工程监理制、合同管理制及国家有关项目建设的法律法规，确保工程设计与施工质量。工程竣工后，由相关部门统一组织竣工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本项目严格按照国家有关工程建设管理规定进行工程建设管理并接受国家、地方有关部门的监督、审计、稽查。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left"/>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申请人联合相关专业机构对项目的准备、项目的执行与管理、项目的监督检查、项目的总结评价等方面严格把控，以保证项目工作规范化、正规化，顺利完成项目建设任务。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（二）关于补充流动资金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材料显示，根据申请人目前的业务规模和各业务板块运营情况，申请人采用审慎原则预计2017年、2018年营业收入增长率分别为10%和15%。要求申请人结合报告期内营业收入增长率补充披露2017年、2018年收入增长率预测为10%和15%的依据及其合理性，并按照报告期内营业收入增长率测算流动资金需求。请主办券商及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申请人调整了原股票发行方案，调减了原来对流动资金需求额度3,900万元。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由于申请人对股票发行方案中发行目的、发行价格、发行数量及金额、募集资金用途等内容进行了修订，因此申请人召开第三届董事会第十次会议、2018年第一次临时股东大会审议通过了《关于北京七维航测科技股份有限公司股票发行方案（第三次修订稿）的议案》，并及时履行了信息披露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律师认为，申请人第三次修改股票发行方案的有关董事会、股东大会的召集、召开及表决程序符合《公司法》、《公司章程》等相关规定，关联董事、关联股东依法回避表决，表决内容及表决结果合法有效；申请人已按照《全国中小企业股份转让系统挂牌公司信息披露细则》的规定及时履行了信息披露义务，不存在违反信息披露细则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（三）关于前次募集资金使用情况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材料显示，申请人第二次募集资金披露用途为补充流动资金，具体用途为采购设备。要求申请人补充披露第二次募集资金用于采购设备是否属于变更募集资金用途的情形，如是，请补充履行变更募集资金用途相关的决策审批程序。请主办券商、律师及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经查阅申请人第二次募集资金的《定向增资方案》，获取申请人提供的第二次定增募集资金使用情况统计表及购买设备的支付凭证、发票、销售协议等资料，对申请人高级管理人员进行访谈，并查阅了瑞华会计师事务所（特殊普通合伙）于2016年9月28日出具《鉴证报告》，第二次募集资金使用情况如下：</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01"/>
        <w:gridCol w:w="1275"/>
        <w:gridCol w:w="1701"/>
        <w:gridCol w:w="850"/>
        <w:gridCol w:w="3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1101" w:type="dxa"/>
            <w:tcBorders>
              <w:top w:val="single" w:color="000000" w:sz="12" w:space="0"/>
              <w:left w:val="single" w:color="000000" w:sz="12"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日期</w:t>
            </w:r>
          </w:p>
        </w:tc>
        <w:tc>
          <w:tcPr>
            <w:tcW w:w="1275" w:type="dxa"/>
            <w:tcBorders>
              <w:top w:val="single" w:color="000000" w:sz="12"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供应商</w:t>
            </w:r>
          </w:p>
        </w:tc>
        <w:tc>
          <w:tcPr>
            <w:tcW w:w="1701" w:type="dxa"/>
            <w:tcBorders>
              <w:top w:val="single" w:color="000000" w:sz="12"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金额（元）</w:t>
            </w:r>
          </w:p>
        </w:tc>
        <w:tc>
          <w:tcPr>
            <w:tcW w:w="850" w:type="dxa"/>
            <w:tcBorders>
              <w:top w:val="single" w:color="000000" w:sz="12"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产品</w:t>
            </w:r>
          </w:p>
        </w:tc>
        <w:tc>
          <w:tcPr>
            <w:tcW w:w="3595" w:type="dxa"/>
            <w:tcBorders>
              <w:top w:val="single" w:color="000000" w:sz="12" w:space="0"/>
              <w:left w:val="single" w:color="000000" w:sz="6" w:space="0"/>
              <w:bottom w:val="single" w:color="000000" w:sz="6"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1101"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2014.07.21</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北京北斗星通导航技术股份有限公司</w:t>
            </w:r>
          </w:p>
        </w:tc>
        <w:tc>
          <w:tcPr>
            <w:tcW w:w="1701"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661,500.00 </w:t>
            </w:r>
          </w:p>
        </w:tc>
        <w:tc>
          <w:tcPr>
            <w:tcW w:w="850"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板卡、模块</w:t>
            </w:r>
          </w:p>
        </w:tc>
        <w:tc>
          <w:tcPr>
            <w:tcW w:w="3595" w:type="dxa"/>
            <w:tcBorders>
              <w:top w:val="single" w:color="000000" w:sz="6" w:space="0"/>
              <w:left w:val="single" w:color="000000" w:sz="6" w:space="0"/>
              <w:bottom w:val="single" w:color="000000" w:sz="6"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卫星导航的板卡和模块用于组装卫星导航接收机、双天线定位系统、差分系统等卫星导航类产品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1101"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2014.07.30</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湖北航天电缆有限公司</w:t>
            </w:r>
          </w:p>
        </w:tc>
        <w:tc>
          <w:tcPr>
            <w:tcW w:w="1701"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796,497.00 </w:t>
            </w:r>
          </w:p>
        </w:tc>
        <w:tc>
          <w:tcPr>
            <w:tcW w:w="850"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缆线</w:t>
            </w:r>
          </w:p>
        </w:tc>
        <w:tc>
          <w:tcPr>
            <w:tcW w:w="3595" w:type="dxa"/>
            <w:tcBorders>
              <w:top w:val="single" w:color="000000" w:sz="6" w:space="0"/>
              <w:left w:val="single" w:color="000000" w:sz="6" w:space="0"/>
              <w:bottom w:val="single" w:color="000000" w:sz="6"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高可靠性缆线是信号传输的载体，用于航测、检测、监测类产品的连接和信号传输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1101"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2014.08.20</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湖北航天电缆有限公司</w:t>
            </w:r>
          </w:p>
        </w:tc>
        <w:tc>
          <w:tcPr>
            <w:tcW w:w="1701"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503,537.41 </w:t>
            </w:r>
          </w:p>
        </w:tc>
        <w:tc>
          <w:tcPr>
            <w:tcW w:w="850"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缆线</w:t>
            </w:r>
          </w:p>
        </w:tc>
        <w:tc>
          <w:tcPr>
            <w:tcW w:w="3595" w:type="dxa"/>
            <w:tcBorders>
              <w:top w:val="single" w:color="000000" w:sz="6" w:space="0"/>
              <w:left w:val="single" w:color="000000" w:sz="6" w:space="0"/>
              <w:bottom w:val="single" w:color="000000" w:sz="6"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高可靠性缆线是信号传输的载体，用于航测、检测、监测类产品的连接和信号传输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01"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2014.08.20</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湖北航天电缆有限公司</w:t>
            </w:r>
          </w:p>
        </w:tc>
        <w:tc>
          <w:tcPr>
            <w:tcW w:w="1701"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500,000.00 </w:t>
            </w:r>
          </w:p>
        </w:tc>
        <w:tc>
          <w:tcPr>
            <w:tcW w:w="850"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缆线</w:t>
            </w:r>
          </w:p>
        </w:tc>
        <w:tc>
          <w:tcPr>
            <w:tcW w:w="3595" w:type="dxa"/>
            <w:tcBorders>
              <w:top w:val="single" w:color="000000" w:sz="6" w:space="0"/>
              <w:left w:val="single" w:color="000000" w:sz="6" w:space="0"/>
              <w:bottom w:val="single" w:color="000000" w:sz="6"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高可靠性缆线是信号传输的载体，用于航测、检测、监测类产品的连接和信号传输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1101"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2014.08.20</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湖北航天电缆有限公司</w:t>
            </w:r>
          </w:p>
        </w:tc>
        <w:tc>
          <w:tcPr>
            <w:tcW w:w="1701"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1,450,000.00 </w:t>
            </w:r>
          </w:p>
        </w:tc>
        <w:tc>
          <w:tcPr>
            <w:tcW w:w="850"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缆线</w:t>
            </w:r>
          </w:p>
        </w:tc>
        <w:tc>
          <w:tcPr>
            <w:tcW w:w="3595" w:type="dxa"/>
            <w:tcBorders>
              <w:top w:val="single" w:color="000000" w:sz="6" w:space="0"/>
              <w:left w:val="single" w:color="000000" w:sz="6" w:space="0"/>
              <w:bottom w:val="single" w:color="000000" w:sz="6"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高可靠性缆线是信号传输的载体，用于航测、检测、监测类产品的连接和信号传输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1101"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2014.08.20</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湖北航天电缆有限公司</w:t>
            </w:r>
          </w:p>
        </w:tc>
        <w:tc>
          <w:tcPr>
            <w:tcW w:w="1701"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2,000,000.00 </w:t>
            </w:r>
          </w:p>
        </w:tc>
        <w:tc>
          <w:tcPr>
            <w:tcW w:w="850"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缆线</w:t>
            </w:r>
          </w:p>
        </w:tc>
        <w:tc>
          <w:tcPr>
            <w:tcW w:w="3595" w:type="dxa"/>
            <w:tcBorders>
              <w:top w:val="single" w:color="000000" w:sz="6" w:space="0"/>
              <w:left w:val="single" w:color="000000" w:sz="6" w:space="0"/>
              <w:bottom w:val="single" w:color="000000" w:sz="6"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高可靠性缆线是信号传输的载体，用于航测、检测、监测类产品的连接和信号传输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1101"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2014.09.24</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北京航天联志科技有限公司</w:t>
            </w:r>
          </w:p>
        </w:tc>
        <w:tc>
          <w:tcPr>
            <w:tcW w:w="1701"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4,187,500.00 </w:t>
            </w:r>
          </w:p>
        </w:tc>
        <w:tc>
          <w:tcPr>
            <w:tcW w:w="850"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工控机</w:t>
            </w:r>
          </w:p>
        </w:tc>
        <w:tc>
          <w:tcPr>
            <w:tcW w:w="3595" w:type="dxa"/>
            <w:tcBorders>
              <w:top w:val="single" w:color="000000" w:sz="6" w:space="0"/>
              <w:left w:val="single" w:color="000000" w:sz="6" w:space="0"/>
              <w:bottom w:val="single" w:color="000000" w:sz="6"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根据客户的需求配套在交付的产品和系统中，二次销售。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1101"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2014.09.05</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深圳市正基电通科技有限公司</w:t>
            </w:r>
          </w:p>
        </w:tc>
        <w:tc>
          <w:tcPr>
            <w:tcW w:w="1701"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500,000.00 </w:t>
            </w:r>
          </w:p>
        </w:tc>
        <w:tc>
          <w:tcPr>
            <w:tcW w:w="850"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板卡、模块</w:t>
            </w:r>
          </w:p>
        </w:tc>
        <w:tc>
          <w:tcPr>
            <w:tcW w:w="3595" w:type="dxa"/>
            <w:tcBorders>
              <w:top w:val="single" w:color="000000" w:sz="6" w:space="0"/>
              <w:left w:val="single" w:color="000000" w:sz="6" w:space="0"/>
              <w:bottom w:val="single" w:color="000000" w:sz="6"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卫星导航的板卡和模块用于组装卫星导航接收机、双天线定位系统、差分系统等卫星导航类产品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1101"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2014.09.24</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深圳市正基电通科技有限公司</w:t>
            </w:r>
          </w:p>
        </w:tc>
        <w:tc>
          <w:tcPr>
            <w:tcW w:w="1701"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500,000.00 </w:t>
            </w:r>
          </w:p>
        </w:tc>
        <w:tc>
          <w:tcPr>
            <w:tcW w:w="850"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板卡、模块</w:t>
            </w:r>
          </w:p>
        </w:tc>
        <w:tc>
          <w:tcPr>
            <w:tcW w:w="3595" w:type="dxa"/>
            <w:tcBorders>
              <w:top w:val="single" w:color="000000" w:sz="6" w:space="0"/>
              <w:left w:val="single" w:color="000000" w:sz="6" w:space="0"/>
              <w:bottom w:val="single" w:color="000000" w:sz="6"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卫星导航的板卡和模块用于组装卫星导航接收机、双天线定位系统、差分系统等卫星导航类产品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2376" w:type="dxa"/>
            <w:gridSpan w:val="2"/>
            <w:tcBorders>
              <w:top w:val="single" w:color="000000" w:sz="6" w:space="0"/>
              <w:left w:val="single" w:color="000000" w:sz="12" w:space="0"/>
              <w:bottom w:val="single" w:color="000000" w:sz="1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合计</w:t>
            </w:r>
          </w:p>
        </w:tc>
        <w:tc>
          <w:tcPr>
            <w:tcW w:w="1701" w:type="dxa"/>
            <w:tcBorders>
              <w:top w:val="single" w:color="000000" w:sz="6" w:space="0"/>
              <w:left w:val="single" w:color="000000" w:sz="6" w:space="0"/>
              <w:bottom w:val="single" w:color="000000" w:sz="1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11,099,034.41 </w:t>
            </w:r>
          </w:p>
        </w:tc>
        <w:tc>
          <w:tcPr>
            <w:tcW w:w="850" w:type="dxa"/>
            <w:tcBorders>
              <w:top w:val="single" w:color="000000" w:sz="6" w:space="0"/>
              <w:left w:val="single" w:color="000000" w:sz="6" w:space="0"/>
              <w:bottom w:val="single" w:color="000000" w:sz="1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c>
          <w:tcPr>
            <w:tcW w:w="3595" w:type="dxa"/>
            <w:tcBorders>
              <w:top w:val="single" w:color="000000" w:sz="6" w:space="0"/>
              <w:left w:val="single" w:color="000000" w:sz="6" w:space="0"/>
              <w:bottom w:val="single" w:color="000000" w:sz="12"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2"/>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注：上表中的合计总额包含第二次股票发行募集资金8,500,874.27元，剩余资金均为公司自有资金。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6" w:right="106"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第二次募集资金用于购买的设备具体包括缆线、板卡、工控机、模块等产品，该等设备系申请人用于生产航测、检测、监测类产品及卫星导航类产品的基础器件，进行二次组装后再行销售，募集资金用于申请人日常生产经营，不属于购买固定资产等情形，所以第二次股票发行募集资金使用情况表中所述的第二次募集资金用于采购设备系补充流动资金，符合《定向增资方案》的募集资金用途，不属于变更募集资金用途的情形，无需履行变更募集资金用途的相关决策审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6" w:right="106"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律师、会计师认为，申请人第二次募集资金披露的具体用途为采购设备，该等设备系申请人用于二次组装产品后再行销售，属于补充流动资金，不属于变更募集资金用途的情形，无需履行变更募集资金用途相关的决策审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（四）关于违规使用资金的情况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要求申请人补充披露报告期内是否存在关联方资金占用、股份质押以及违规担保的的情形。请主办券商、律师及会计师核查并发表明确意见。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1、资金占用核查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中介机构经查阅申请人2015年、2016年审计报告，2015年-2017年半年度报告，其他应收账款明细、银行对账单及日记账等财务资料以及瑞华会计师事务所（特殊普通合伙）出具的2015年度《关于北京七维航测科技股份有限公司控股股东、实际控制人及其关联方资金占用情况汇总表的专项审核报告》（瑞华专审字[2016]01500045号）和中兴华会计师事务所（特殊普通合伙）出具的《北京七维航测科技股份有限公司2016年度控股股东及其他关联方占用资金情况审核报告》（中兴华报字（2017）第010068号），访谈高级管理人员，取得了申请人出具的《关于不存在关联方资金占用的情况说明》、《关于公司不存在违规担保的情况说明》，并经查阅公司章程、三会议事规则、《关联交易管理制度》、《对外担保管理制度》等内控制度、报告期内的担保协议、相关决策文件及对外披露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认为，报告期内申请人不存在资金被控股股东、实际控制人及其关联方占用的情形，不存在权益被股东及其关联方严重损害且尚未消除的情形，也不存在申请人及其附属公司违规对外提供担保且尚未解除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2、股份质押核查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中介机构经查询中国证券登记结算有限责任公司报告期内关于申请人的《证券持有人名册》、《证券质押及司法冻结明细表》、《证券质押登记证明》、质押协议以及申请人对外披露公告，报告期内申请人实际控制人、控股股东、董监高人员及其他5%以上股东股份质押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2016年12月20日，杨娜将其所持公司844万股股份质押给南京银行股份有限公司北京分行，为申请人在该银行的3,500万元综合授信提供质押担保。针对该笔质押担保，申请人已于2016年11月30日召开第二届董事会第二十七次会议，2016年12月19日召开2016年第六次临时股东大会审议通过了《关于向南京银行北京分行申请综合授信的议案》，并及时履行了信息披露义务。截至目前，该笔质押尚未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截至2017年6月30日，杨娜系申请人控股股东、实际控制人，持有申请人16,299,681股股份，占股份总额的25.01%，其中，质押股份8,440,000股，占申请人股本总额的12.95%。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除上述质押情况外，报告期内申请人董监高人员及其他5%以上股东不存在股份质押情况。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会计师、律师认为，申请人报告期内不存在资金被控股股东、实际控制人及其关联方占用的情形，不存在违规对外担保情形；除控股股东、实际控制人杨娜办理股份质押外，董监高人员及其他5%以上股东不存在股份质押情况。该笔股权质押有利于申请人筹资，解决资金需求，不会导致控股股东和实际控制人发生变化，不会对申请人经营管理产生不利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（五）关于收入及净利润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材料显示，申请人2016年收入及净利润较2015年有所下降，且净利润降幅大于收入降幅；2017年1-6月的收入及净利润分别占2016年收入及净利润的43.68%和32.85%。要求申请人补充披露收入、净利润下滑以及净利润降幅大于收入降幅的具体原因，并结合竞争环境、合同签订、客户稳定性等内外部因素分析披露申请人的经营业绩是否呈下滑趋势。请主办券商及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1、2016年收入较2015年下降0.67%，2016年净利润较2015年下降29.27%，毛利率下降3.64%，毛利下降6,907,504.87元，主要为原材料价格上涨导致；主要费用科目中，销售费用2016年较2015年增长1,927,821.90元，较2015年上升19.34%，主要为申请人加大卫星导航、惯性导航、组合导航和无人机应用在军工和民用两个市场的推广力度导致人工成本及广告宣传费的增加；管理费用2016年较2015年增长3,391,081.79元，较上年增长11.69%，主要为人工成本及折旧费用的增加。营业外收入2016年度较2015年减少5,646,363.25元，主要原因系军品增值税退税尚未办理结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2016年度较2015年营业收入变动较小。经分析毛利率下降、费用增幅较大及营业外收入减少是2016年度净利润较2015年下降幅度较大的原因。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28"/>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2、2017年1-6月的收入占2016年收入的43.68%，2017年1-6月净利润占2016年净利润比例为32.85%，同期管理费用占2016年管理费用的62.30%，申请人为了保持客户稳定性和市场占有率，在前期业务基础上提供了更多附加服务，导致费用有所增加，利润空间被压缩，其中增幅较大的为技术开发费和人工成本：2017年1-6月技术开发费10,079,064.73元，2016年技术开发费13,884,926.91元，2017年1-6月占2016的72.59%；2017年1-6月人工成本6,180,285.32元，2016年人工成本10,733,227.34元，2017年1-6月人工成本占2016的57.58%。根据以上分析，收入变动幅度小于费用增长幅度是2017年1-6月份净利润降幅大于收入降幅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482"/>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3、结合竞争环境、合同签订、客户稳定性等内外部因素，说明申请人经营业绩的发展趋势如下：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482"/>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从竞争环境分析，申请人所处的行业属于高精度卫星导航定位行业，该行业为国家战略性新兴产业。高精度卫星导航定位产品主要应用于国防应用、航空海洋、地理信息、应急减灾等专业领域。据不完全统计，截止2017年4月，业内上市公司（含新三板）总数已达到 53 家，上市公司涉及卫星导航与位置服务的相关产值约占全国总产值的 10.87％，产业集中度有所提升。申请人在卫星导航和惯性导航的研发方面属于国内起步比较早的企业之一，主要客户为军工集团下属大型研究院所和相关军工行业配套单位，最终用户主要为军方，被多家上市公司列为主要竞争对手。由于最终用户对产品稳定性、可靠性和一致性的要求很高，对产品有着严格的试验、检验要求，同时其采购一般具有很强的计划性，因此最终用户的采购特点决定了申请人订单的执行周期可能较长，具体项目及数量存在波动，交货时间具有不均衡性，可能在一段时间内交货、验收较为集中，另一段时间交货、验收较少，导致收入实现在不同月份、不同年度具有一定的波动性，且产品收入结构可能会变化。同时，受最终用户的具体需求及其每年采购计划和国际形势变化等因素的影响，也可能存在突发订单增加、订单延迟等情况。2016年由于受到国家军队体制编制改革和“十三五”首年的周期性影响，军队体制编制改革导致这类客户采购计划延迟，申请人部分军工配套订单延期交付，导致业务收入小幅下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482"/>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从申请人合同签订情况分析，在报告期内及期后2017年7-10月期间，申请人航测、检测、监测销售合同签订与执行情况如下：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482"/>
        <w:jc w:val="right"/>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单位：万元</w:t>
      </w:r>
    </w:p>
    <w:tbl>
      <w:tblPr>
        <w:tblW w:w="869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844"/>
        <w:gridCol w:w="1740"/>
        <w:gridCol w:w="1704"/>
        <w:gridCol w:w="1705"/>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844"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39"/>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报告期</w:t>
            </w:r>
          </w:p>
        </w:tc>
        <w:tc>
          <w:tcPr>
            <w:tcW w:w="1740" w:type="dxa"/>
            <w:tcBorders>
              <w:top w:val="single" w:color="000000" w:sz="4" w:space="0"/>
              <w:left w:val="nil"/>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期初在手订单</w:t>
            </w:r>
          </w:p>
        </w:tc>
        <w:tc>
          <w:tcPr>
            <w:tcW w:w="1704" w:type="dxa"/>
            <w:tcBorders>
              <w:top w:val="single" w:color="000000" w:sz="4" w:space="0"/>
              <w:left w:val="nil"/>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本期新增订单</w:t>
            </w:r>
          </w:p>
        </w:tc>
        <w:tc>
          <w:tcPr>
            <w:tcW w:w="1705" w:type="dxa"/>
            <w:tcBorders>
              <w:top w:val="single" w:color="000000" w:sz="4" w:space="0"/>
              <w:left w:val="nil"/>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本期完成订单</w:t>
            </w:r>
          </w:p>
        </w:tc>
        <w:tc>
          <w:tcPr>
            <w:tcW w:w="1705" w:type="dxa"/>
            <w:tcBorders>
              <w:top w:val="single" w:color="000000" w:sz="4" w:space="0"/>
              <w:left w:val="nil"/>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期末在手订单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8" w:hRule="atLeast"/>
        </w:trPr>
        <w:tc>
          <w:tcPr>
            <w:tcW w:w="1844" w:type="dxa"/>
            <w:tcBorders>
              <w:top w:val="nil"/>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39"/>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2015年度</w:t>
            </w:r>
          </w:p>
        </w:tc>
        <w:tc>
          <w:tcPr>
            <w:tcW w:w="174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1,474.82</w:t>
            </w:r>
          </w:p>
        </w:tc>
        <w:tc>
          <w:tcPr>
            <w:tcW w:w="1704"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21,117.81</w:t>
            </w:r>
          </w:p>
        </w:tc>
        <w:tc>
          <w:tcPr>
            <w:tcW w:w="1705"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20,254.60</w:t>
            </w:r>
          </w:p>
        </w:tc>
        <w:tc>
          <w:tcPr>
            <w:tcW w:w="1705"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2,338.03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63" w:hRule="atLeast"/>
        </w:trPr>
        <w:tc>
          <w:tcPr>
            <w:tcW w:w="1844" w:type="dxa"/>
            <w:tcBorders>
              <w:top w:val="nil"/>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139"/>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2016年度</w:t>
            </w:r>
          </w:p>
        </w:tc>
        <w:tc>
          <w:tcPr>
            <w:tcW w:w="174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2,338.03</w:t>
            </w:r>
          </w:p>
        </w:tc>
        <w:tc>
          <w:tcPr>
            <w:tcW w:w="1704"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20,327.37</w:t>
            </w:r>
          </w:p>
        </w:tc>
        <w:tc>
          <w:tcPr>
            <w:tcW w:w="1705"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20,118.16</w:t>
            </w:r>
          </w:p>
        </w:tc>
        <w:tc>
          <w:tcPr>
            <w:tcW w:w="1705"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2,547.24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4" w:hRule="atLeast"/>
        </w:trPr>
        <w:tc>
          <w:tcPr>
            <w:tcW w:w="1844" w:type="dxa"/>
            <w:tcBorders>
              <w:top w:val="nil"/>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2017年1-6月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（未经审计）</w:t>
            </w:r>
          </w:p>
        </w:tc>
        <w:tc>
          <w:tcPr>
            <w:tcW w:w="174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2,547.24</w:t>
            </w:r>
          </w:p>
        </w:tc>
        <w:tc>
          <w:tcPr>
            <w:tcW w:w="1704"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8,045.35</w:t>
            </w:r>
          </w:p>
        </w:tc>
        <w:tc>
          <w:tcPr>
            <w:tcW w:w="1705"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8,786.98</w:t>
            </w:r>
          </w:p>
        </w:tc>
        <w:tc>
          <w:tcPr>
            <w:tcW w:w="1705"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1,805.61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4" w:hRule="atLeast"/>
        </w:trPr>
        <w:tc>
          <w:tcPr>
            <w:tcW w:w="1844" w:type="dxa"/>
            <w:tcBorders>
              <w:top w:val="nil"/>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2017年7-10月（未经审计）</w:t>
            </w:r>
          </w:p>
        </w:tc>
        <w:tc>
          <w:tcPr>
            <w:tcW w:w="1740"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1,805.61</w:t>
            </w:r>
          </w:p>
        </w:tc>
        <w:tc>
          <w:tcPr>
            <w:tcW w:w="1704"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5,977.87</w:t>
            </w:r>
          </w:p>
        </w:tc>
        <w:tc>
          <w:tcPr>
            <w:tcW w:w="1705"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2,578.24</w:t>
            </w:r>
          </w:p>
        </w:tc>
        <w:tc>
          <w:tcPr>
            <w:tcW w:w="1705"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5,205.24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482"/>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在报告期内及期后2017年7-10月期间，申请人航测、检测、监测产品年度合同完成金额与营业收入确认金额情况如下：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482"/>
        <w:jc w:val="right"/>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单位：万元</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40"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报告期</w:t>
            </w:r>
          </w:p>
        </w:tc>
        <w:tc>
          <w:tcPr>
            <w:tcW w:w="2841" w:type="dxa"/>
            <w:tcBorders>
              <w:top w:val="single" w:color="000000" w:sz="4" w:space="0"/>
              <w:left w:val="nil"/>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收入金额（不含税）</w:t>
            </w:r>
          </w:p>
        </w:tc>
        <w:tc>
          <w:tcPr>
            <w:tcW w:w="2841" w:type="dxa"/>
            <w:tcBorders>
              <w:top w:val="single" w:color="000000" w:sz="4" w:space="0"/>
              <w:left w:val="nil"/>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本期完成订单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40" w:type="dxa"/>
            <w:tcBorders>
              <w:top w:val="nil"/>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2015年度</w:t>
            </w:r>
          </w:p>
        </w:tc>
        <w:tc>
          <w:tcPr>
            <w:tcW w:w="284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17,311.63</w:t>
            </w:r>
          </w:p>
        </w:tc>
        <w:tc>
          <w:tcPr>
            <w:tcW w:w="284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20,254.60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40" w:type="dxa"/>
            <w:tcBorders>
              <w:top w:val="nil"/>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2016年度</w:t>
            </w:r>
          </w:p>
        </w:tc>
        <w:tc>
          <w:tcPr>
            <w:tcW w:w="284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17,195.01</w:t>
            </w:r>
          </w:p>
        </w:tc>
        <w:tc>
          <w:tcPr>
            <w:tcW w:w="284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20,118.16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40" w:type="dxa"/>
            <w:tcBorders>
              <w:top w:val="nil"/>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2017年1-6月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（未经审计）</w:t>
            </w:r>
          </w:p>
        </w:tc>
        <w:tc>
          <w:tcPr>
            <w:tcW w:w="284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7,510.24</w:t>
            </w:r>
          </w:p>
        </w:tc>
        <w:tc>
          <w:tcPr>
            <w:tcW w:w="284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8,786.98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40" w:type="dxa"/>
            <w:tcBorders>
              <w:top w:val="nil"/>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2017年7-10月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（未经审计）</w:t>
            </w:r>
          </w:p>
        </w:tc>
        <w:tc>
          <w:tcPr>
            <w:tcW w:w="284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2,203.62</w:t>
            </w:r>
          </w:p>
        </w:tc>
        <w:tc>
          <w:tcPr>
            <w:tcW w:w="2841" w:type="dxa"/>
            <w:tcBorders>
              <w:top w:val="nil"/>
              <w:left w:val="nil"/>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5" w:right="0" w:hanging="5"/>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2,578.24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482"/>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报告期内申请人新增订单情况基本保持稳定，申请人与军工行业客户形成合作关系后，会不断通过升级改进提升产品的技术性能和服务水平，并与主要行业客户保持良好的合作关系，为后续新型号的研发及新项目的拓展打下良好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482"/>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从客户稳定性情况分析，通过对比2016年和2017年1-6月份前10大客户名单，有三家客户在前述期间重合，且该三家客户对应的收入合计金额均占前10大客户总收入的45%以上，客户情况比较稳定，主要原因如下：首先，申请人产品其所应用的航天、电子、兵器等军工行业和领域对产品质量可靠性、性能稳定性以及后续服务与技术支持均有较高要求，客户为维护装备体系的一致性、安全性和完整性，一般不会轻易更换该类配套产品的供应商，并在其后续的升级、技术改进和备件采购中对其存在一定的技术和产品依赖。其次，国家对军工行业的科研生产采取的是严格的许可制度，未取得武器装备科研生产许可，不得从事武器装备科研生产许可目录所列的武器装备科研生产活动。申请人目前取得武器装备质量体系认证证书、二级军工保密资格证书、武器装备科研生产许可证、装备承制单位注册证书，意味着经过多年积累，申请人的研发、技术及生产能力进一步得到军工客户的认可，客户的稳定性很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会计师认为，报告期内申请人人工成本的持续增加及研发投入增加等原因导致净利润降幅大于收入降幅。受市场宏观经济形势的影响，申请人的经营业绩呈现波动趋势，但由于军工客户的特殊性以及业务及业绩的波动性，通常不能根据申请人某一期间的业绩数据推算其他期间或当年的业绩。申请人经营状况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（六）关于应收账款和存货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材料显示，申请人应收账款及存货余额占比较高且逐期增加。要求申请人结合同行业可比公司的情况，包括但不限于资产减值准备计提政策、信用政策、供应商及客户情况等，补充披露应收账款及存货余额及变动趋势的合理性，是否符合申请人的实际经营情况及行业发展状况，如有差异请分析说明差异的原因。请主办券商及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1、存货分析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2015年度、2016年度七维航测与同行业相关公司存货周转率对比分析如下表所示：</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78"/>
        <w:gridCol w:w="1211"/>
        <w:gridCol w:w="1483"/>
        <w:gridCol w:w="1483"/>
        <w:gridCol w:w="1483"/>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1378" w:type="dxa"/>
            <w:vMerge w:val="restart"/>
            <w:tcBorders>
              <w:top w:val="single" w:color="000000" w:sz="12" w:space="0"/>
              <w:left w:val="single" w:color="000000" w:sz="12" w:space="0"/>
              <w:bottom w:val="single" w:color="000000" w:sz="8" w:space="0"/>
              <w:right w:val="single" w:color="000000" w:sz="8"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股票代码</w:t>
            </w:r>
          </w:p>
        </w:tc>
        <w:tc>
          <w:tcPr>
            <w:tcW w:w="1211" w:type="dxa"/>
            <w:vMerge w:val="restart"/>
            <w:tcBorders>
              <w:top w:val="single" w:color="000000" w:sz="12" w:space="0"/>
              <w:left w:val="nil"/>
              <w:bottom w:val="single" w:color="000000" w:sz="8" w:space="0"/>
              <w:right w:val="single" w:color="000000" w:sz="8"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股票简称</w:t>
            </w:r>
          </w:p>
        </w:tc>
        <w:tc>
          <w:tcPr>
            <w:tcW w:w="2966" w:type="dxa"/>
            <w:gridSpan w:val="2"/>
            <w:tcBorders>
              <w:top w:val="single" w:color="000000" w:sz="12" w:space="0"/>
              <w:left w:val="nil"/>
              <w:bottom w:val="single" w:color="000000" w:sz="8" w:space="0"/>
              <w:right w:val="single" w:color="000000" w:sz="8"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2016年</w:t>
            </w:r>
          </w:p>
        </w:tc>
        <w:tc>
          <w:tcPr>
            <w:tcW w:w="2967" w:type="dxa"/>
            <w:gridSpan w:val="2"/>
            <w:tcBorders>
              <w:top w:val="single" w:color="000000" w:sz="12" w:space="0"/>
              <w:left w:val="nil"/>
              <w:bottom w:val="single" w:color="000000" w:sz="8" w:space="0"/>
              <w:right w:val="single" w:color="000000" w:sz="12"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trPr>
        <w:tc>
          <w:tcPr>
            <w:tcW w:w="1378" w:type="dxa"/>
            <w:vMerge w:val="continue"/>
            <w:tcBorders>
              <w:top w:val="single" w:color="000000" w:sz="12" w:space="0"/>
              <w:left w:val="single" w:color="000000" w:sz="12" w:space="0"/>
              <w:bottom w:val="single" w:color="000000" w:sz="8" w:space="0"/>
              <w:right w:val="single" w:color="000000" w:sz="8" w:space="0"/>
            </w:tcBorders>
            <w:shd w:val="clear" w:color="auto" w:fill="BFBFBF"/>
            <w:vAlign w:val="center"/>
          </w:tcPr>
          <w:p>
            <w:pPr>
              <w:rPr>
                <w:rFonts w:hint="eastAsia" w:ascii="宋体"/>
                <w:sz w:val="24"/>
                <w:szCs w:val="24"/>
                <w:u w:val="none"/>
              </w:rPr>
            </w:pPr>
          </w:p>
        </w:tc>
        <w:tc>
          <w:tcPr>
            <w:tcW w:w="1211" w:type="dxa"/>
            <w:vMerge w:val="continue"/>
            <w:tcBorders>
              <w:top w:val="single" w:color="000000" w:sz="12" w:space="0"/>
              <w:left w:val="nil"/>
              <w:bottom w:val="single" w:color="000000" w:sz="8" w:space="0"/>
              <w:right w:val="single" w:color="000000" w:sz="8" w:space="0"/>
            </w:tcBorders>
            <w:shd w:val="clear" w:color="auto" w:fill="BFBFBF"/>
            <w:vAlign w:val="center"/>
          </w:tcPr>
          <w:p>
            <w:pPr>
              <w:rPr>
                <w:rFonts w:hint="eastAsia" w:ascii="宋体"/>
                <w:sz w:val="24"/>
                <w:szCs w:val="24"/>
                <w:u w:val="none"/>
              </w:rPr>
            </w:pPr>
          </w:p>
        </w:tc>
        <w:tc>
          <w:tcPr>
            <w:tcW w:w="1483" w:type="dxa"/>
            <w:tcBorders>
              <w:top w:val="nil"/>
              <w:left w:val="nil"/>
              <w:bottom w:val="single" w:color="000000" w:sz="8" w:space="0"/>
              <w:right w:val="single" w:color="000000" w:sz="8"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存货余额占资产总额的比例（%）</w:t>
            </w:r>
          </w:p>
        </w:tc>
        <w:tc>
          <w:tcPr>
            <w:tcW w:w="1483" w:type="dxa"/>
            <w:tcBorders>
              <w:top w:val="nil"/>
              <w:left w:val="nil"/>
              <w:bottom w:val="single" w:color="000000" w:sz="8" w:space="0"/>
              <w:right w:val="single" w:color="000000" w:sz="8"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存货周转率（%）</w:t>
            </w:r>
          </w:p>
        </w:tc>
        <w:tc>
          <w:tcPr>
            <w:tcW w:w="1483" w:type="dxa"/>
            <w:tcBorders>
              <w:top w:val="nil"/>
              <w:left w:val="nil"/>
              <w:bottom w:val="single" w:color="000000" w:sz="8" w:space="0"/>
              <w:right w:val="single" w:color="000000" w:sz="4"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存货余额占资产总额的比例（%）</w:t>
            </w:r>
          </w:p>
        </w:tc>
        <w:tc>
          <w:tcPr>
            <w:tcW w:w="1484" w:type="dxa"/>
            <w:tcBorders>
              <w:top w:val="nil"/>
              <w:left w:val="nil"/>
              <w:bottom w:val="single" w:color="000000" w:sz="8" w:space="0"/>
              <w:right w:val="single" w:color="000000" w:sz="12"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存货周转率（%）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378" w:type="dxa"/>
            <w:tcBorders>
              <w:top w:val="nil"/>
              <w:left w:val="single" w:color="000000" w:sz="12" w:space="0"/>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833972.OC</w:t>
            </w:r>
          </w:p>
        </w:tc>
        <w:tc>
          <w:tcPr>
            <w:tcW w:w="1211" w:type="dxa"/>
            <w:tcBorders>
              <w:top w:val="nil"/>
              <w:left w:val="nil"/>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司南导航</w:t>
            </w:r>
          </w:p>
        </w:tc>
        <w:tc>
          <w:tcPr>
            <w:tcW w:w="1483"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17.18</w:t>
            </w:r>
          </w:p>
        </w:tc>
        <w:tc>
          <w:tcPr>
            <w:tcW w:w="1483" w:type="dxa"/>
            <w:tcBorders>
              <w:top w:val="nil"/>
              <w:left w:val="nil"/>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1.37</w:t>
            </w:r>
          </w:p>
        </w:tc>
        <w:tc>
          <w:tcPr>
            <w:tcW w:w="1483"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22.27</w:t>
            </w:r>
          </w:p>
        </w:tc>
        <w:tc>
          <w:tcPr>
            <w:tcW w:w="1484" w:type="dxa"/>
            <w:tcBorders>
              <w:top w:val="nil"/>
              <w:left w:val="nil"/>
              <w:bottom w:val="single" w:color="000000" w:sz="8" w:space="0"/>
              <w:right w:val="single" w:color="000000" w:sz="12"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378" w:type="dxa"/>
            <w:tcBorders>
              <w:top w:val="nil"/>
              <w:left w:val="single" w:color="000000" w:sz="12" w:space="0"/>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831244.OC</w:t>
            </w:r>
          </w:p>
        </w:tc>
        <w:tc>
          <w:tcPr>
            <w:tcW w:w="1211" w:type="dxa"/>
            <w:tcBorders>
              <w:top w:val="nil"/>
              <w:left w:val="nil"/>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星展测控</w:t>
            </w:r>
          </w:p>
        </w:tc>
        <w:tc>
          <w:tcPr>
            <w:tcW w:w="1483"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34.02</w:t>
            </w:r>
          </w:p>
        </w:tc>
        <w:tc>
          <w:tcPr>
            <w:tcW w:w="1483"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0.98</w:t>
            </w:r>
          </w:p>
        </w:tc>
        <w:tc>
          <w:tcPr>
            <w:tcW w:w="1483"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34.24</w:t>
            </w:r>
          </w:p>
        </w:tc>
        <w:tc>
          <w:tcPr>
            <w:tcW w:w="1484" w:type="dxa"/>
            <w:tcBorders>
              <w:top w:val="nil"/>
              <w:left w:val="nil"/>
              <w:bottom w:val="single" w:color="000000" w:sz="8"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5" w:hRule="atLeast"/>
        </w:trPr>
        <w:tc>
          <w:tcPr>
            <w:tcW w:w="1378" w:type="dxa"/>
            <w:tcBorders>
              <w:top w:val="nil"/>
              <w:left w:val="single" w:color="000000" w:sz="12" w:space="0"/>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002465.SZ</w:t>
            </w:r>
          </w:p>
        </w:tc>
        <w:tc>
          <w:tcPr>
            <w:tcW w:w="1211" w:type="dxa"/>
            <w:tcBorders>
              <w:top w:val="nil"/>
              <w:left w:val="nil"/>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海格通信</w:t>
            </w:r>
          </w:p>
        </w:tc>
        <w:tc>
          <w:tcPr>
            <w:tcW w:w="1483"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15.53</w:t>
            </w:r>
          </w:p>
        </w:tc>
        <w:tc>
          <w:tcPr>
            <w:tcW w:w="1483"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1.52</w:t>
            </w:r>
          </w:p>
        </w:tc>
        <w:tc>
          <w:tcPr>
            <w:tcW w:w="1483"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15.66</w:t>
            </w:r>
          </w:p>
        </w:tc>
        <w:tc>
          <w:tcPr>
            <w:tcW w:w="1484" w:type="dxa"/>
            <w:tcBorders>
              <w:top w:val="nil"/>
              <w:left w:val="nil"/>
              <w:bottom w:val="single" w:color="000000" w:sz="8"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1.47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5" w:hRule="atLeast"/>
        </w:trPr>
        <w:tc>
          <w:tcPr>
            <w:tcW w:w="1378" w:type="dxa"/>
            <w:tcBorders>
              <w:top w:val="nil"/>
              <w:left w:val="single" w:color="000000" w:sz="12" w:space="0"/>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300101.SZ</w:t>
            </w:r>
          </w:p>
        </w:tc>
        <w:tc>
          <w:tcPr>
            <w:tcW w:w="1211" w:type="dxa"/>
            <w:tcBorders>
              <w:top w:val="nil"/>
              <w:left w:val="nil"/>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振芯科技</w:t>
            </w:r>
          </w:p>
        </w:tc>
        <w:tc>
          <w:tcPr>
            <w:tcW w:w="1483"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21.07</w:t>
            </w:r>
          </w:p>
        </w:tc>
        <w:tc>
          <w:tcPr>
            <w:tcW w:w="1483"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0.75</w:t>
            </w:r>
          </w:p>
        </w:tc>
        <w:tc>
          <w:tcPr>
            <w:tcW w:w="1483"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22.21</w:t>
            </w:r>
          </w:p>
        </w:tc>
        <w:tc>
          <w:tcPr>
            <w:tcW w:w="1484" w:type="dxa"/>
            <w:tcBorders>
              <w:top w:val="nil"/>
              <w:left w:val="nil"/>
              <w:bottom w:val="single" w:color="000000" w:sz="8"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0.93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5" w:hRule="atLeast"/>
        </w:trPr>
        <w:tc>
          <w:tcPr>
            <w:tcW w:w="2589" w:type="dxa"/>
            <w:gridSpan w:val="2"/>
            <w:tcBorders>
              <w:top w:val="nil"/>
              <w:left w:val="single" w:color="000000" w:sz="12" w:space="0"/>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平均值</w:t>
            </w:r>
          </w:p>
        </w:tc>
        <w:tc>
          <w:tcPr>
            <w:tcW w:w="1483"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21.95</w:t>
            </w:r>
          </w:p>
        </w:tc>
        <w:tc>
          <w:tcPr>
            <w:tcW w:w="1483" w:type="dxa"/>
            <w:tcBorders>
              <w:top w:val="nil"/>
              <w:left w:val="nil"/>
              <w:bottom w:val="single" w:color="000000" w:sz="8"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1.15</w:t>
            </w:r>
          </w:p>
        </w:tc>
        <w:tc>
          <w:tcPr>
            <w:tcW w:w="1483"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23.59</w:t>
            </w:r>
          </w:p>
        </w:tc>
        <w:tc>
          <w:tcPr>
            <w:tcW w:w="1484" w:type="dxa"/>
            <w:tcBorders>
              <w:top w:val="nil"/>
              <w:left w:val="nil"/>
              <w:bottom w:val="single" w:color="000000" w:sz="8"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5" w:hRule="atLeast"/>
        </w:trPr>
        <w:tc>
          <w:tcPr>
            <w:tcW w:w="1378" w:type="dxa"/>
            <w:tcBorders>
              <w:top w:val="nil"/>
              <w:left w:val="single" w:color="000000" w:sz="12" w:space="0"/>
              <w:bottom w:val="single" w:color="000000" w:sz="12"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430088.OC</w:t>
            </w:r>
          </w:p>
        </w:tc>
        <w:tc>
          <w:tcPr>
            <w:tcW w:w="1211" w:type="dxa"/>
            <w:tcBorders>
              <w:top w:val="nil"/>
              <w:left w:val="nil"/>
              <w:bottom w:val="single" w:color="000000" w:sz="12"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七维航测</w:t>
            </w:r>
          </w:p>
        </w:tc>
        <w:tc>
          <w:tcPr>
            <w:tcW w:w="1483" w:type="dxa"/>
            <w:tcBorders>
              <w:top w:val="nil"/>
              <w:left w:val="nil"/>
              <w:bottom w:val="single" w:color="000000" w:sz="12"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22.54</w:t>
            </w:r>
          </w:p>
        </w:tc>
        <w:tc>
          <w:tcPr>
            <w:tcW w:w="1483" w:type="dxa"/>
            <w:tcBorders>
              <w:top w:val="nil"/>
              <w:left w:val="nil"/>
              <w:bottom w:val="single" w:color="000000" w:sz="12" w:space="0"/>
              <w:right w:val="single" w:color="000000" w:sz="8"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0.86</w:t>
            </w:r>
          </w:p>
        </w:tc>
        <w:tc>
          <w:tcPr>
            <w:tcW w:w="1483" w:type="dxa"/>
            <w:tcBorders>
              <w:top w:val="nil"/>
              <w:left w:val="nil"/>
              <w:bottom w:val="single" w:color="000000" w:sz="12"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23.53</w:t>
            </w:r>
          </w:p>
        </w:tc>
        <w:tc>
          <w:tcPr>
            <w:tcW w:w="1484" w:type="dxa"/>
            <w:tcBorders>
              <w:top w:val="nil"/>
              <w:left w:val="nil"/>
              <w:bottom w:val="single" w:color="000000" w:sz="12"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　　　1.00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482"/>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注：数据摘自各公司2016年年报，2015年年报。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存货主要由原材料、在产品、库存商品组成。2017年6月30日、2016年12月31日、2015年12月31日，存货余额占总资产的比例分别为24.21%、22.54%、23.53%，较为稳定，与行业平均值差异较小。通过对上述同行业企业存货周转率的计算发现，行业内存货周转率整体偏低，各企业存货余额均保持在较高水平，反映出行业需要大量备货的特征。原因分析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产品在总装完成后需进行多重检测，每一批次的产品不仅需要通过厂检，还需通过军方严格的检测程序后才能发货。因此，产品的销售周期较长，库存商品余额较大；随着业务规模的扩大，申请人待执行项目增加，为满足对客户的快速供货，各类别及型号原材料均进行一定数量的备货，因此期末原材料余额较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各期末存货余额略有增长，主要是业务量逐年增加所引起。同时，申请人产品类别及型号均较多，且不同型号产品需要不同的生产周期，各类别及型号原材料及产成品均需保持一定的库存量，导致存货余额较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2、应收账款分析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2015年度、2016年度申请人与同行业相关公司应收账款相关指标对比分析如下表所示：</w:t>
      </w:r>
    </w:p>
    <w:tbl>
      <w:tblPr>
        <w:tblW w:w="838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91"/>
        <w:gridCol w:w="1134"/>
        <w:gridCol w:w="1490"/>
        <w:gridCol w:w="1490"/>
        <w:gridCol w:w="1490"/>
        <w:gridCol w:w="1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1291" w:type="dxa"/>
            <w:vMerge w:val="restart"/>
            <w:tcBorders>
              <w:top w:val="single" w:color="000000" w:sz="12" w:space="0"/>
              <w:left w:val="single" w:color="000000" w:sz="12" w:space="0"/>
              <w:bottom w:val="single" w:color="000000" w:sz="8" w:space="0"/>
              <w:right w:val="single" w:color="000000" w:sz="8"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股票代码</w:t>
            </w:r>
          </w:p>
        </w:tc>
        <w:tc>
          <w:tcPr>
            <w:tcW w:w="1134" w:type="dxa"/>
            <w:vMerge w:val="restart"/>
            <w:tcBorders>
              <w:top w:val="single" w:color="000000" w:sz="12" w:space="0"/>
              <w:left w:val="nil"/>
              <w:bottom w:val="single" w:color="000000" w:sz="8" w:space="0"/>
              <w:right w:val="single" w:color="000000" w:sz="8"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股票简称</w:t>
            </w:r>
          </w:p>
        </w:tc>
        <w:tc>
          <w:tcPr>
            <w:tcW w:w="2980" w:type="dxa"/>
            <w:gridSpan w:val="2"/>
            <w:tcBorders>
              <w:top w:val="single" w:color="000000" w:sz="12" w:space="0"/>
              <w:left w:val="nil"/>
              <w:bottom w:val="single" w:color="000000" w:sz="8" w:space="0"/>
              <w:right w:val="single" w:color="000000" w:sz="8"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2016年</w:t>
            </w:r>
          </w:p>
        </w:tc>
        <w:tc>
          <w:tcPr>
            <w:tcW w:w="2980" w:type="dxa"/>
            <w:gridSpan w:val="2"/>
            <w:tcBorders>
              <w:top w:val="single" w:color="000000" w:sz="12" w:space="0"/>
              <w:left w:val="nil"/>
              <w:bottom w:val="single" w:color="000000" w:sz="8" w:space="0"/>
              <w:right w:val="single" w:color="000000" w:sz="12"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rPr>
        <w:tc>
          <w:tcPr>
            <w:tcW w:w="1291" w:type="dxa"/>
            <w:vMerge w:val="continue"/>
            <w:tcBorders>
              <w:top w:val="single" w:color="000000" w:sz="12" w:space="0"/>
              <w:left w:val="single" w:color="000000" w:sz="12" w:space="0"/>
              <w:bottom w:val="single" w:color="000000" w:sz="8" w:space="0"/>
              <w:right w:val="single" w:color="000000" w:sz="8" w:space="0"/>
            </w:tcBorders>
            <w:shd w:val="clear" w:color="auto" w:fill="BFBFBF"/>
            <w:vAlign w:val="center"/>
          </w:tcPr>
          <w:p>
            <w:pPr>
              <w:rPr>
                <w:rFonts w:hint="eastAsia" w:ascii="宋体"/>
                <w:sz w:val="24"/>
                <w:szCs w:val="24"/>
                <w:u w:val="none"/>
              </w:rPr>
            </w:pPr>
          </w:p>
        </w:tc>
        <w:tc>
          <w:tcPr>
            <w:tcW w:w="1134" w:type="dxa"/>
            <w:vMerge w:val="continue"/>
            <w:tcBorders>
              <w:top w:val="single" w:color="000000" w:sz="12" w:space="0"/>
              <w:left w:val="nil"/>
              <w:bottom w:val="single" w:color="000000" w:sz="8" w:space="0"/>
              <w:right w:val="single" w:color="000000" w:sz="8" w:space="0"/>
            </w:tcBorders>
            <w:shd w:val="clear" w:color="auto" w:fill="BFBFBF"/>
            <w:vAlign w:val="center"/>
          </w:tcPr>
          <w:p>
            <w:pPr>
              <w:rPr>
                <w:rFonts w:hint="eastAsia" w:ascii="宋体"/>
                <w:sz w:val="24"/>
                <w:szCs w:val="24"/>
                <w:u w:val="none"/>
              </w:rPr>
            </w:pPr>
          </w:p>
        </w:tc>
        <w:tc>
          <w:tcPr>
            <w:tcW w:w="1490" w:type="dxa"/>
            <w:tcBorders>
              <w:top w:val="nil"/>
              <w:left w:val="nil"/>
              <w:bottom w:val="single" w:color="000000" w:sz="8" w:space="0"/>
              <w:right w:val="single" w:color="000000" w:sz="8"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应收账款占营业收入的比例（%）</w:t>
            </w:r>
          </w:p>
        </w:tc>
        <w:tc>
          <w:tcPr>
            <w:tcW w:w="1490" w:type="dxa"/>
            <w:tcBorders>
              <w:top w:val="nil"/>
              <w:left w:val="nil"/>
              <w:bottom w:val="single" w:color="000000" w:sz="8" w:space="0"/>
              <w:right w:val="single" w:color="000000" w:sz="8"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应收账款周转率（%）</w:t>
            </w:r>
          </w:p>
        </w:tc>
        <w:tc>
          <w:tcPr>
            <w:tcW w:w="1490" w:type="dxa"/>
            <w:tcBorders>
              <w:top w:val="nil"/>
              <w:left w:val="nil"/>
              <w:bottom w:val="single" w:color="000000" w:sz="8" w:space="0"/>
              <w:right w:val="single" w:color="000000" w:sz="8"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应收账款占营业收入的比例（%）</w:t>
            </w:r>
          </w:p>
        </w:tc>
        <w:tc>
          <w:tcPr>
            <w:tcW w:w="1490" w:type="dxa"/>
            <w:tcBorders>
              <w:top w:val="nil"/>
              <w:left w:val="nil"/>
              <w:bottom w:val="single" w:color="000000" w:sz="8" w:space="0"/>
              <w:right w:val="single" w:color="000000" w:sz="12"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应收账款周转率（%）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5" w:hRule="atLeast"/>
        </w:trPr>
        <w:tc>
          <w:tcPr>
            <w:tcW w:w="1291" w:type="dxa"/>
            <w:tcBorders>
              <w:top w:val="nil"/>
              <w:left w:val="single" w:color="000000" w:sz="12" w:space="0"/>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833972.OC</w:t>
            </w:r>
          </w:p>
        </w:tc>
        <w:tc>
          <w:tcPr>
            <w:tcW w:w="1134" w:type="dxa"/>
            <w:tcBorders>
              <w:top w:val="nil"/>
              <w:left w:val="nil"/>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司南导航</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84.16</w:t>
            </w:r>
          </w:p>
        </w:tc>
        <w:tc>
          <w:tcPr>
            <w:tcW w:w="1490" w:type="dxa"/>
            <w:tcBorders>
              <w:top w:val="nil"/>
              <w:left w:val="nil"/>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1.39</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72.96</w:t>
            </w:r>
          </w:p>
        </w:tc>
        <w:tc>
          <w:tcPr>
            <w:tcW w:w="1490" w:type="dxa"/>
            <w:tcBorders>
              <w:top w:val="nil"/>
              <w:left w:val="nil"/>
              <w:bottom w:val="single" w:color="000000" w:sz="8"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5" w:hRule="atLeast"/>
        </w:trPr>
        <w:tc>
          <w:tcPr>
            <w:tcW w:w="1291" w:type="dxa"/>
            <w:tcBorders>
              <w:top w:val="nil"/>
              <w:left w:val="single" w:color="000000" w:sz="12" w:space="0"/>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831244.OC</w:t>
            </w:r>
          </w:p>
        </w:tc>
        <w:tc>
          <w:tcPr>
            <w:tcW w:w="1134" w:type="dxa"/>
            <w:tcBorders>
              <w:top w:val="nil"/>
              <w:left w:val="nil"/>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星展测控</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83.22</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1.59</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56.56</w:t>
            </w:r>
          </w:p>
        </w:tc>
        <w:tc>
          <w:tcPr>
            <w:tcW w:w="1490" w:type="dxa"/>
            <w:tcBorders>
              <w:top w:val="nil"/>
              <w:left w:val="nil"/>
              <w:bottom w:val="single" w:color="000000" w:sz="8"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291" w:type="dxa"/>
            <w:tcBorders>
              <w:top w:val="nil"/>
              <w:left w:val="single" w:color="000000" w:sz="12" w:space="0"/>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002465.SZ</w:t>
            </w:r>
          </w:p>
        </w:tc>
        <w:tc>
          <w:tcPr>
            <w:tcW w:w="1134" w:type="dxa"/>
            <w:tcBorders>
              <w:top w:val="nil"/>
              <w:left w:val="nil"/>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海格通信</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61.38</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1.96</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47.45</w:t>
            </w:r>
          </w:p>
        </w:tc>
        <w:tc>
          <w:tcPr>
            <w:tcW w:w="1490" w:type="dxa"/>
            <w:tcBorders>
              <w:top w:val="nil"/>
              <w:left w:val="nil"/>
              <w:bottom w:val="single" w:color="000000" w:sz="8"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291" w:type="dxa"/>
            <w:tcBorders>
              <w:top w:val="nil"/>
              <w:left w:val="single" w:color="000000" w:sz="12" w:space="0"/>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300101.SZ</w:t>
            </w:r>
          </w:p>
        </w:tc>
        <w:tc>
          <w:tcPr>
            <w:tcW w:w="1134" w:type="dxa"/>
            <w:tcBorders>
              <w:top w:val="nil"/>
              <w:left w:val="nil"/>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振芯科技</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69.96</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1.93</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36.12</w:t>
            </w:r>
          </w:p>
        </w:tc>
        <w:tc>
          <w:tcPr>
            <w:tcW w:w="1490" w:type="dxa"/>
            <w:tcBorders>
              <w:top w:val="nil"/>
              <w:left w:val="nil"/>
              <w:bottom w:val="single" w:color="000000" w:sz="8"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5" w:hRule="atLeast"/>
        </w:trPr>
        <w:tc>
          <w:tcPr>
            <w:tcW w:w="2425" w:type="dxa"/>
            <w:gridSpan w:val="2"/>
            <w:tcBorders>
              <w:top w:val="nil"/>
              <w:left w:val="single" w:color="000000" w:sz="12" w:space="0"/>
              <w:bottom w:val="single" w:color="000000" w:sz="8"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平均值</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74.68</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1.72</w:t>
            </w:r>
          </w:p>
        </w:tc>
        <w:tc>
          <w:tcPr>
            <w:tcW w:w="1490" w:type="dxa"/>
            <w:tcBorders>
              <w:top w:val="nil"/>
              <w:left w:val="nil"/>
              <w:bottom w:val="single" w:color="000000" w:sz="8"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53.27</w:t>
            </w:r>
          </w:p>
        </w:tc>
        <w:tc>
          <w:tcPr>
            <w:tcW w:w="1490" w:type="dxa"/>
            <w:tcBorders>
              <w:top w:val="nil"/>
              <w:left w:val="nil"/>
              <w:bottom w:val="single" w:color="000000" w:sz="8"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291" w:type="dxa"/>
            <w:tcBorders>
              <w:top w:val="nil"/>
              <w:left w:val="single" w:color="000000" w:sz="12" w:space="0"/>
              <w:bottom w:val="single" w:color="000000" w:sz="12"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430088.OC</w:t>
            </w:r>
          </w:p>
        </w:tc>
        <w:tc>
          <w:tcPr>
            <w:tcW w:w="1134" w:type="dxa"/>
            <w:tcBorders>
              <w:top w:val="nil"/>
              <w:left w:val="nil"/>
              <w:bottom w:val="single" w:color="000000" w:sz="12" w:space="0"/>
              <w:right w:val="single" w:color="000000" w:sz="8"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七维航测</w:t>
            </w:r>
          </w:p>
        </w:tc>
        <w:tc>
          <w:tcPr>
            <w:tcW w:w="1490" w:type="dxa"/>
            <w:tcBorders>
              <w:top w:val="nil"/>
              <w:left w:val="nil"/>
              <w:bottom w:val="single" w:color="000000" w:sz="12"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56.88</w:t>
            </w:r>
          </w:p>
        </w:tc>
        <w:tc>
          <w:tcPr>
            <w:tcW w:w="1490" w:type="dxa"/>
            <w:tcBorders>
              <w:top w:val="nil"/>
              <w:left w:val="nil"/>
              <w:bottom w:val="single" w:color="000000" w:sz="12"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1.76</w:t>
            </w:r>
          </w:p>
        </w:tc>
        <w:tc>
          <w:tcPr>
            <w:tcW w:w="1490" w:type="dxa"/>
            <w:tcBorders>
              <w:top w:val="nil"/>
              <w:left w:val="nil"/>
              <w:bottom w:val="single" w:color="000000" w:sz="12" w:space="0"/>
              <w:right w:val="single" w:color="000000"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52.06</w:t>
            </w:r>
          </w:p>
        </w:tc>
        <w:tc>
          <w:tcPr>
            <w:tcW w:w="1490" w:type="dxa"/>
            <w:tcBorders>
              <w:top w:val="nil"/>
              <w:left w:val="nil"/>
              <w:bottom w:val="single" w:color="000000" w:sz="12"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2.17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48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注：数据摘自各公司2016年年报，2015年年报。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申请人应收账款余额逐期增长，主要系随着销售规模扩大，客户相应增多。申请人应收账款余额占资产总额比例基本保持在较为稳定的范围，应收账款余额占营业收入的比例基本保持稳定，同时保持在同行业平均水平。2017年6月30日应收账款余额占营业收入比例大幅上升，主要与申请人业务开展周期相关，申请人客户主要为年末回款，因此在报告中期应收账款余额占营业收入比重大幅增加。申请人客户综合实力均较强且信用较好，发生坏账损失的风险较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主办券商、会计师认为，申请人应收账款及存货余额及变动趋势合理，符合实际经营情况及行业发展状况。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（七）关于预付账款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材料显示，申请人预付账款逐年升高，2017年6月30日预付账款较2016年12月31日增长62.69%。要求申请人结合商业模式、供应商情况补充披露预付账款逐年升高的原因，预付账款对象中是否存在关联方及非经营性款项。请主办券商及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88"/>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申请人预付账款逐年升高，2016年较2015年增长了34.60%， 2017年6月30日预付账款较2016年12月31日增长62.69%。申请人产生预付账款的主要原因为产品定制化程度高，高精度卫星导航、惯性导航和组合导航类原材料价格相对较高、上游供应商的订单周期较长，需要提前备货。2015年和2016年预付账款的款项性质主要为支付供应商款项，2017年1-6月份除前述款项外，申请人由于建设子公司七维测控的电子装备试验场增加了支付建筑商款项，主要为支付给秦皇岛市卢龙博源建筑工程有限公司、秦皇岛市建筑设计院等建筑商的款项，合计款项为27,220,722.00元，占2017年6月30日预付账款余额比例为28.55%，占2016年12月31日预付账款的46.44%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88"/>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前述款项的形成系为电子装备试验场项目设计及施工款项。申请人子公司七维测控于2015年11月至2016年11月期间与秦皇岛市卢龙博源建筑工程有限公司分别签订了《电子装备试验场项目建设工程施工合同》、《增项合同》及相关补充协议，《电子装备试验场项目外网施工合同》及相关补充协议。前述施工合同总价款合计6,391.60万元；申请人于2015年6月至2017年6月期间与秦皇岛市建筑设计院签订了《建设工程设计合同》，合同价款合计88万元。前述两公司与申请人没有关联关系。如扣除该项建筑商款项后2017年6月30日预付账款为68,133,720.99元，较2016年12月31日预付账款增加16.24%，同时预付账款由于年中与期末业务周期不同从而导致有一定差异，2017年6月30日预付账款如剔除建筑商款项后比2016年6月30日预付账款余额71,650,813.84元下降4.91%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594"/>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申请人按照GJB 9001B-2009质量管理体系和武器装备科研生产许可的要求，严格执行《采购控制程序》，建立评价和选择供方、采购信息管理、采购产品验证等环节，全面管理和控制采购过程。通过对比分析2016年度和2017年1-6月份期前10大供应商名单，仅有一家供应商在前述期间重合，且该家供应商对应的成本金额占前10大供应商总成本分别为15.10%、21.51%。申请人对供应商的选择具有较强的自主性和灵活性，不存在依赖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申请人披露，报告期申请人的预付账款对象中不存在关联方，不存在除披露的工程相关款外的非经营性款项。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主办券商及会计师认为，报告期申请人预付账款逐年升高的原因合理，预付账款对象中不存在关联方及除披露的工程相关款外的非经营性款项。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根据申请人提交的申请文件及对反馈意见的回复，我会认为，申请人信息披露基本符合《公司法》《证券法》《管理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北京七维航测科技股份有限公司向特定对象发行股票的申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ZTYxYTQ2NWNhYzg0Yjk0NmNkZjcyOTY2YmEzMjMifQ=="/>
  </w:docVars>
  <w:rsids>
    <w:rsidRoot w:val="00000000"/>
    <w:rsid w:val="26EE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2022-09-07T02:09:53Z</dcterms:created>
  <dc:creator>Lenovo</dc:creator>
  <cp:lastModifiedBy>Lenovo</cp:lastModifiedBy>
  <dcterms:modified xsi:type="dcterms:W3CDTF">2022-09-07T02:11:18Z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2CA07E498F54486EBDB94475DE6CF88E</vt:lpwstr>
  </property>
</Properties>
</file>