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u w:val="none"/>
          <w:bdr w:val="none" w:color="auto" w:sz="0" w:space="0"/>
          <w:shd w:val="clear" w:fill="FFFFFF"/>
        </w:rPr>
        <w:t>关于天津农村商业银行股份有限公司申请向特定对象发行股票的审核意见</w:t>
      </w:r>
      <w:bookmarkStart w:id="1" w:name="_GoBack"/>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申请人全称为“天津农村商业银行股份有限公司”，住所地在天津市河西区马场道 59 号国际经济贸易中心A座1-6层，成立于2010年6月13日。截至股权登记日（2018年3月31日），申请人共有股东811人。截至2018年9月4日，申请人共有股东812人。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申请人法定代表人黄卫忠（代为履行法定代表人职权），注册资本为人民币7,500,000,000元，总股本为人民币7,500,000,000股。截至目前，申请人前十大股东名称、持股数量及持股比例情况如下：</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15"/>
        <w:gridCol w:w="3685"/>
        <w:gridCol w:w="2127"/>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序号</w:t>
            </w:r>
          </w:p>
        </w:tc>
        <w:tc>
          <w:tcPr>
            <w:tcW w:w="368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股东名称</w:t>
            </w:r>
          </w:p>
        </w:tc>
        <w:tc>
          <w:tcPr>
            <w:tcW w:w="2127"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持股数量（股）</w:t>
            </w:r>
          </w:p>
        </w:tc>
        <w:tc>
          <w:tcPr>
            <w:tcW w:w="189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持股比例（%）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天津国资资产管理有限公司</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750,000,000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天津市医药集团有限公司</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750,000,000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天津港（集团）有限公司</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750,000,000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天津新金融投资有限责任公司</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750,000,000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麦购集团有限公司</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600,000,000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苏华资产管理有限公司</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210,000,000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天津东泰世纪投资有限公司</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142,500,000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鑫东森集团有限公司</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140,000,000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bookmarkStart w:id="0" w:name="OLE_LINK1"/>
            <w:r>
              <w:rPr>
                <w:rFonts w:hint="eastAsia" w:ascii="微软雅黑" w:hAnsi="微软雅黑" w:eastAsia="微软雅黑" w:cs="微软雅黑"/>
                <w:i w:val="0"/>
                <w:iCs w:val="0"/>
                <w:caps w:val="0"/>
                <w:color w:val="333333"/>
                <w:spacing w:val="0"/>
                <w:sz w:val="19"/>
                <w:szCs w:val="19"/>
                <w:u w:val="none"/>
                <w:bdr w:val="none" w:color="auto" w:sz="0" w:space="0"/>
              </w:rPr>
              <w:t>1.87%</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常熟市新苏物资有限公司</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140,000,000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81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368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刘敏</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140,000,000</w:t>
            </w:r>
          </w:p>
        </w:tc>
        <w:tc>
          <w:tcPr>
            <w:tcW w:w="18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4500" w:type="dxa"/>
            <w:gridSpan w:val="2"/>
            <w:tcBorders>
              <w:top w:val="nil"/>
              <w:left w:val="single" w:color="auto" w:sz="4" w:space="0"/>
              <w:bottom w:val="single" w:color="auto" w:sz="4" w:space="0"/>
              <w:right w:val="single" w:color="auto" w:sz="4" w:space="0"/>
            </w:tcBorders>
            <w:shd w:val="clear" w:color="auto" w:fill="FFFFF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合计</w:t>
            </w:r>
          </w:p>
        </w:tc>
        <w:tc>
          <w:tcPr>
            <w:tcW w:w="2127" w:type="dxa"/>
            <w:tcBorders>
              <w:top w:val="nil"/>
              <w:left w:val="nil"/>
              <w:bottom w:val="single" w:color="auto" w:sz="4" w:space="0"/>
              <w:right w:val="single" w:color="auto" w:sz="4" w:space="0"/>
            </w:tcBorders>
            <w:shd w:val="clear" w:color="auto" w:fill="FFFFF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4,372,500,000</w:t>
            </w:r>
          </w:p>
        </w:tc>
        <w:tc>
          <w:tcPr>
            <w:tcW w:w="1895" w:type="dxa"/>
            <w:tcBorders>
              <w:top w:val="nil"/>
              <w:left w:val="nil"/>
              <w:bottom w:val="single" w:color="auto" w:sz="4" w:space="0"/>
              <w:right w:val="single" w:color="auto" w:sz="4" w:space="0"/>
            </w:tcBorders>
            <w:shd w:val="clear" w:color="auto" w:fill="FFFFF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58.31%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主要业务为商业银行业务，包括吸收本外币公众存款；发放本外币短期、中期和长期贷款；办理国内外结算；办理票据承兑与贴现代理发行、代理兑付、承销政府债券；买卖政府债券、金融债券；从事本外币同业拆借；从事银行卡业务；代理收付款项及代理保险业务；提供保管箱服务；外汇汇款、外币兑换；结汇、售汇；外汇资信调查、咨询和见证业务；基金销售；经中国银行业监督管理委员会批准的其他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9月4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2018年9月14日向申请人发出书面反馈，申请人及会计师、律师于2018年10月25日提交了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1、关于股份托管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审核中关注到，申请人准备办理全体股东的股权托管事宜，申请人尚未取得托管证明。</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请申请人补充说明股权是否明晰，是否符合《商业银行股权管理暂行办法》《公众公司办法》和《关于加强非上市公众公司监管工作的指导意见》等相关管理规定，是否存在潜在股权纠纷。请律师补充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于2018年4月28日召开第三届董事会第二十次会议，审议通过了《天津农商银行股权托管事项的议案》,根据该议案，申请人将根据银监会《商业银行股权管理暂行办法》（2018年第1号）的要求，对全体股东的股权进行确权和托管，范围包括全部法人股东和自然人股东，并按照监管部门的规定选择符合资质条件的托管机构集中进行托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2018年9月14日，申请人与天津滨海柜台交易市场股份公司签署《天津滨海柜台交易市场商业银行股权登记托管服务协议》，根据该协议，天津滨海柜台交易市场股份公司为申请人提供股权登记托管及相关服务。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2018年9月28日，天津滨海柜台交易市场股份公司出具《关于确认天津农村商业银行股份有限公司股份托管情况的函》，载明天津滨海柜台交易市场股份公司于2018年9月为申请人办理了股权集中托管相关业务，对申请人全部股份登记、托管情况确认如下：根据申请人提供的股权托管材料显示，申请人共有股东812名，合计持有申请人股份7,500,000,000股。其中法人股东69名，合计持有申请人股份6,310,896,250股，占申请人总数的84.1453%；自然人股东743名，合计持有申请人股份1,189,103,750股，占申请人股份总数的15.8547%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截至2018年9月28日，申请人已确权股份7,425,967,500股，占申请人股份总数的99.0129%；未确权股份74,032,500股，占申请人股份总数的0.9871%。在已确权股东中，法人股东合计持有申请人股份6,275,846,250股，占申请人股份总数的83.6780%；自然人股东合计持有申请人股份1,150,121,250股，占申请人股份总数的15.3350%。在未确权股东中，法人股东合计持有申请人股份35,050,000股，占申请人股份总数的0.4673%；自然人股东合计持有申请人股份38,982,500股，占申请人股份总数的0.5198%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申请人已在天津滨海柜台交易市场股份公司办理了股权托管，取得了托管证明，符合《商业银行股权管理暂行办法》《公众公司办法》及《关于加强非上市公众公司监管工作的指导意见》等相关管理规定。申请人股权权属明确，已确权股东与公司之间、已确权股东之间、已确权股东与第三方之间不存在重大股份权属争议、纠纷或潜在纠纷。虽然存在未确权股份，但未确权股份数量仅占申请人股份总数的0.9449%，未确权部分不会对申请人的股本结构、业务经营、财务状况等产生重大不利影响，亦不构成本次定向发行的实质性法律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2、关于贷款集中度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截至2018年3月31日，申请人单一最大客户贷款集中度为6.33%，前十大客户贷款集中度为46.21%。请申请人补充前十大客户与申请人前十大股东是否存在关联关系。请律师、会计师补充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截至2018年3月31日，申请人前十名股东名称、持股数量及持股比例情况如下：</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2"/>
        <w:gridCol w:w="3730"/>
        <w:gridCol w:w="2153"/>
        <w:gridCol w:w="1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3730"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股东名称</w:t>
            </w:r>
          </w:p>
        </w:tc>
        <w:tc>
          <w:tcPr>
            <w:tcW w:w="2153"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持股数量（股）</w:t>
            </w:r>
          </w:p>
        </w:tc>
        <w:tc>
          <w:tcPr>
            <w:tcW w:w="1917"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持股比例（%）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天津市医药集团有限公司</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750,000,000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天津国资资产管理有限公司</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750,000,000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天津港（集团）有限公司</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750,000,000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天津新金融投资有限责任公司</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750,000,000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麦购集团有限公司</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600,000,000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苏华资产管理有限公司</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210,000,000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天津东泰世纪投资有限公司</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142,500,000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鑫东森集团有限公司</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140,000,000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常熟市新苏物资有限公司</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140,000,000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2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37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刘敏</w:t>
            </w:r>
          </w:p>
        </w:tc>
        <w:tc>
          <w:tcPr>
            <w:tcW w:w="215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140,000,000</w:t>
            </w:r>
          </w:p>
        </w:tc>
        <w:tc>
          <w:tcPr>
            <w:tcW w:w="1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4452" w:type="dxa"/>
            <w:gridSpan w:val="2"/>
            <w:tcBorders>
              <w:top w:val="nil"/>
              <w:left w:val="single" w:color="auto" w:sz="4" w:space="0"/>
              <w:bottom w:val="single" w:color="auto" w:sz="4" w:space="0"/>
              <w:right w:val="single" w:color="auto" w:sz="4" w:space="0"/>
            </w:tcBorders>
            <w:shd w:val="clear" w:color="auto" w:fill="FFFFF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2153" w:type="dxa"/>
            <w:tcBorders>
              <w:top w:val="nil"/>
              <w:left w:val="nil"/>
              <w:bottom w:val="single" w:color="auto" w:sz="4" w:space="0"/>
              <w:right w:val="single" w:color="auto" w:sz="4" w:space="0"/>
            </w:tcBorders>
            <w:shd w:val="clear" w:color="auto" w:fill="FFFFF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4,372,500,000</w:t>
            </w:r>
          </w:p>
        </w:tc>
        <w:tc>
          <w:tcPr>
            <w:tcW w:w="1917" w:type="dxa"/>
            <w:tcBorders>
              <w:top w:val="nil"/>
              <w:left w:val="nil"/>
              <w:bottom w:val="single" w:color="auto" w:sz="4" w:space="0"/>
              <w:right w:val="single" w:color="auto" w:sz="4" w:space="0"/>
            </w:tcBorders>
            <w:shd w:val="clear" w:color="auto" w:fill="FFFFFF"/>
            <w:tcMar>
              <w:left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58.31%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截至2018年3月31日，申请人单一最大客户贷款集中度为6.33%，前十大客户贷款集中度为46.21%，最大十家客户贷款情况如下表：</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7"/>
        <w:gridCol w:w="3876"/>
        <w:gridCol w:w="1573"/>
        <w:gridCol w:w="118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3" w:hRule="atLeast"/>
          <w:jc w:val="center"/>
        </w:trPr>
        <w:tc>
          <w:tcPr>
            <w:tcW w:w="627" w:type="dxa"/>
            <w:tcBorders>
              <w:top w:val="single" w:color="auto" w:sz="8" w:space="0"/>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3876" w:type="dxa"/>
            <w:tcBorders>
              <w:top w:val="single" w:color="auto" w:sz="8"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十大单一客户</w:t>
            </w:r>
          </w:p>
        </w:tc>
        <w:tc>
          <w:tcPr>
            <w:tcW w:w="1573" w:type="dxa"/>
            <w:tcBorders>
              <w:top w:val="single" w:color="auto" w:sz="8"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2018年3月31日贷款余额（亿元）</w:t>
            </w:r>
          </w:p>
        </w:tc>
        <w:tc>
          <w:tcPr>
            <w:tcW w:w="1186" w:type="dxa"/>
            <w:tcBorders>
              <w:top w:val="single" w:color="auto" w:sz="8"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占贷款总额百分比（%）</w:t>
            </w:r>
          </w:p>
        </w:tc>
        <w:tc>
          <w:tcPr>
            <w:tcW w:w="1260" w:type="dxa"/>
            <w:tcBorders>
              <w:top w:val="single" w:color="auto" w:sz="8" w:space="0"/>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占资本净额百分比（%）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天津陈塘园区建设投资有限公司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19.30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1.38%</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天津子牙循环经济产业投资发展有限公司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17.60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1.25%</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天津市海河建设发展投资有限公司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17.22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1.23%</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天津蓟州新城建设投资有限公司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13.80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0.98%</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天津星城投资发展有限公司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13.50</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0.96%</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天津融鑫融资租赁有限公司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13,30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0.95%</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天津汇锦盛投资发展有限公司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13.15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0.94%</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天津天保嘉郡投资有限公司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11.60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0.83%</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天津蓟州新城商业管理有限公司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11.44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0.82%</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大新华航空有限公司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10.05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0.72%</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截至2018年6月30日，申请人前十名股东名称、持股数量及持股比例与2018年3月31日一致。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截至2018年6月30日，申请人单一最大客户贷款集中度为5.55%，前十大客户贷款集中度为42.86%，2018年3月31日与2018年6月30日申请人最大十家客户名称一致，贷款余额有所变化，具体贷款情况如下表：</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7"/>
        <w:gridCol w:w="3876"/>
        <w:gridCol w:w="1573"/>
        <w:gridCol w:w="118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3" w:hRule="atLeast"/>
          <w:jc w:val="center"/>
        </w:trPr>
        <w:tc>
          <w:tcPr>
            <w:tcW w:w="627" w:type="dxa"/>
            <w:tcBorders>
              <w:top w:val="single" w:color="auto" w:sz="8" w:space="0"/>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3876" w:type="dxa"/>
            <w:tcBorders>
              <w:top w:val="single" w:color="auto" w:sz="8"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十大单一客户</w:t>
            </w:r>
          </w:p>
        </w:tc>
        <w:tc>
          <w:tcPr>
            <w:tcW w:w="1573" w:type="dxa"/>
            <w:tcBorders>
              <w:top w:val="single" w:color="auto" w:sz="8"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2018年6月30日贷款余额（亿元）</w:t>
            </w:r>
          </w:p>
        </w:tc>
        <w:tc>
          <w:tcPr>
            <w:tcW w:w="1186" w:type="dxa"/>
            <w:tcBorders>
              <w:top w:val="single" w:color="auto" w:sz="8"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占贷款总额百分比（%）</w:t>
            </w:r>
          </w:p>
        </w:tc>
        <w:tc>
          <w:tcPr>
            <w:tcW w:w="1260" w:type="dxa"/>
            <w:tcBorders>
              <w:top w:val="single" w:color="auto" w:sz="8" w:space="0"/>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占资本净额百分比（%）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天津子牙循环经济产业投资发展有限公司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17.30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1.25%</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天津市海河建设发展投资有限公司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17.16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1.24%</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天津陈塘园区建设投资有限公司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16.19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1.17%</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天津汇锦盛投资发展有限公司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13.15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0.95%</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天津蓟州新城建设投资有限公司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13.00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0.94%</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天津星城投资发展有限公司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12.60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0.91%</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天津天保嘉郡投资有限公司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11.50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0.83%</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天津蓟州新城商业管理有限公司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11.43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0.83%</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天津融鑫融资租赁有限公司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11.20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0.81%</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27" w:type="dxa"/>
            <w:tcBorders>
              <w:top w:val="nil"/>
              <w:left w:val="single" w:color="auto" w:sz="8"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38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大新华航空有限公司</w:t>
            </w:r>
          </w:p>
        </w:tc>
        <w:tc>
          <w:tcPr>
            <w:tcW w:w="1573"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10.03 </w:t>
            </w:r>
          </w:p>
        </w:tc>
        <w:tc>
          <w:tcPr>
            <w:tcW w:w="118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0.72%</w:t>
            </w:r>
          </w:p>
        </w:tc>
        <w:tc>
          <w:tcPr>
            <w:tcW w:w="1260" w:type="dxa"/>
            <w:tcBorders>
              <w:top w:val="nil"/>
              <w:left w:val="single" w:color="auto" w:sz="4" w:space="0"/>
              <w:bottom w:val="single" w:color="auto" w:sz="4"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截至2018年3月31日和2018年6月30日，申请人前十大贷款客户与前十大股东不存在关联关系。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律师认为，申请人前十大贷款客户与申请人前十大股东不存在关联关系。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会计师认为，申请人管理层对前十大贷款客户与前十大股东不存在关联关系的上述判断，与会计师的理解不存在重大不一致。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3、关于本次募集资金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审核中关注到，申请人未披露本次募集资金的必要性、本次发行对监管指标的影响和保证募集资金按计划合理使用的措施。</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请申请人按照《非上市公众公司信息披露指引信息披露内容与格式指引准则第3号——定向发行说明书和发行情况报告书》补充披露本次定向发行对申请人的影响，包括但不限于本次募集资金的必要性、本次发行对监管指标的影响和保证募集资金按计划合理使用的措施。请律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为提升核心一级资本实力，申请人拟按照监管法规开展定向增发工作。2017年初，按照天津市政府推进混改的有关精神，申请人定向增发工作被纳入天津市混改企业名单。因此，申请人按照天津市有关混改要求通过增资扩股进一步推进深化混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（1）实施混合所有制改革，是提升发展水平的迫切需要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整体经营处于充分竞争领域，按2017年末的总资产计，居全国农村商业银行前十名。随着利率市场化影响和互联网金融的冲击，以及未来金融领域对外资的进一步开放，地方性商业银行的发展面临体制机制和自身资本不足的制约，抵抗风险能力和开展创新业务的能力不强。截至2018年6月30日，申请人核心一级资本充足率为10.76%，一级资本充足率为10.77%，资本充足率为14.22%。通过实施整体混改，引入投资者持股，提高资本充足率和市场竞争力，转换经营机制，提升自身发展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（2）实施混合所有制改革，是有效放大国有资本的迫切需要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虽然近几年取得了较快的规模增长，但与全国农商银行同业相比，资本实力相对不足，整体业务规模增长速度呈下降趋势，在一定程度上影响着国有资本的效率和放大功能，特别是在资本运作、全国发展格局等方面存有一定局限性。通过引入社会资本，进一步增强资本实力，提高整体竞争能力，加快自身业务发展及转型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（3）实施混合所有制改革，是完善法人治理结构的迫切需要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通过引入投资者和社会资本，严格落实混合所有制企业董事会职权，实现不同性质股东的相互促进和制衡，解决制约企业发展的主要矛盾，促进企业转变内部机制，有效提升运行效率，真正实现现代企业法人治理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（4）实施混合所有制改革是提升资产证券化水平的迫切需要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通过混改引入投资者，完善体制机制，做大做强业务规模，提升整体竞争能力，积极对接资本市场谋划上市，提高资产收益水平，放大国有资本功能。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在不考虑发行费用、利润累计等因素的情况下，假设发行前后加权风险资产不变，按本次定向发行股票募集资金500,000万元为测算基础，本次发行完成后对申请人资本监管指标的影响如下：</w:t>
      </w:r>
    </w:p>
    <w:tbl>
      <w:tblPr>
        <w:tblW w:w="85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65"/>
        <w:gridCol w:w="2746"/>
        <w:gridCol w:w="2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5" w:hRule="atLeast"/>
        </w:trPr>
        <w:tc>
          <w:tcPr>
            <w:tcW w:w="306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项目</w:t>
            </w:r>
          </w:p>
        </w:tc>
        <w:tc>
          <w:tcPr>
            <w:tcW w:w="2746"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2018年6月30日</w:t>
            </w:r>
          </w:p>
        </w:tc>
        <w:tc>
          <w:tcPr>
            <w:tcW w:w="2727"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本次发行完成后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06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核心一级资本净额（万元）</w:t>
            </w:r>
          </w:p>
        </w:tc>
        <w:tc>
          <w:tcPr>
            <w:tcW w:w="2746"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2,418,784.82</w:t>
            </w:r>
          </w:p>
        </w:tc>
        <w:tc>
          <w:tcPr>
            <w:tcW w:w="2727"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2,918,784.82 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0" w:hRule="atLeast"/>
        </w:trPr>
        <w:tc>
          <w:tcPr>
            <w:tcW w:w="306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一级资本净额（万元）</w:t>
            </w:r>
          </w:p>
        </w:tc>
        <w:tc>
          <w:tcPr>
            <w:tcW w:w="2746"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2,422,239.39</w:t>
            </w:r>
          </w:p>
        </w:tc>
        <w:tc>
          <w:tcPr>
            <w:tcW w:w="2727"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2,922,239.39 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5" w:hRule="atLeast"/>
        </w:trPr>
        <w:tc>
          <w:tcPr>
            <w:tcW w:w="306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资本净额（万元）</w:t>
            </w:r>
          </w:p>
        </w:tc>
        <w:tc>
          <w:tcPr>
            <w:tcW w:w="2746"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3,198,057.71</w:t>
            </w:r>
          </w:p>
        </w:tc>
        <w:tc>
          <w:tcPr>
            <w:tcW w:w="2727"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3,698,057.71 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06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风险加权资产合计（万元）</w:t>
            </w:r>
          </w:p>
        </w:tc>
        <w:tc>
          <w:tcPr>
            <w:tcW w:w="2746"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22,487,678.59</w:t>
            </w:r>
          </w:p>
        </w:tc>
        <w:tc>
          <w:tcPr>
            <w:tcW w:w="2727"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22,487,678.59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3" w:hRule="atLeast"/>
        </w:trPr>
        <w:tc>
          <w:tcPr>
            <w:tcW w:w="306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核心一级资本充足率（%）</w:t>
            </w:r>
          </w:p>
        </w:tc>
        <w:tc>
          <w:tcPr>
            <w:tcW w:w="2746"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10.76%</w:t>
            </w:r>
          </w:p>
        </w:tc>
        <w:tc>
          <w:tcPr>
            <w:tcW w:w="2727"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3" w:hRule="atLeast"/>
        </w:trPr>
        <w:tc>
          <w:tcPr>
            <w:tcW w:w="306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一级资本充足率（%）</w:t>
            </w:r>
          </w:p>
        </w:tc>
        <w:tc>
          <w:tcPr>
            <w:tcW w:w="2746"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10.77%</w:t>
            </w:r>
          </w:p>
        </w:tc>
        <w:tc>
          <w:tcPr>
            <w:tcW w:w="2727"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06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资本充足率（%）</w:t>
            </w:r>
          </w:p>
        </w:tc>
        <w:tc>
          <w:tcPr>
            <w:tcW w:w="2746"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14.22%</w:t>
            </w:r>
          </w:p>
        </w:tc>
        <w:tc>
          <w:tcPr>
            <w:tcW w:w="2727"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both"/>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16.44%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经以上测算，通过本次发行能够确保申请人满足资本充足的监管要求，并在此基础上保持一定缓冲空间。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已制定《天津农商银行股份有限公司募集资金管理办法》，对募集资金的存储、使用、监管和责任追究等作出了具体明确的规定，明确募集资金使用的风险控制措施及信息披露要求。根据《天津农商银行股份有限公司募集资金管理办法》，本次定向发行募集资金将存放于募集资金专项账户集中管理，募集资金专户不得存放非募集资金或用作其他用途，确保募集资金专款专用。募集资金到位后，申请人应当及时办理验资手续，由具有证券期货从业资格的会计师事务所出具验资报告。申请人独立董事、监事会应当持续关注募集资金实际管理与使用情况，对违规使用募集资金的情况予以制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申请人于2018年8月15日开立人民币专用存款账户，开户行为申请人营业部，账户名称为天津农村商业银行股份有限公司，账户号码为9031001000010000938934，该账户仅用于本次定向发行股票认购缴款及使用。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为推进通过增资扩股方式的混合所有制改革工作，加强增资扩股工作的组织领导，申请人成立了进一步深化改革工作推动组，成员由高管层组成，负责全面统筹决策各项工作的规划和进程。在此基础上，成立了由各主管领导牵头、相关部室负责人为成员的方案制订工作组、清审评工作组、合规审核工作组等，有序推动各项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申请人已补充披露了本次定向发行对申请人的影响，包括但不限于本次募集资金的必要性，本次发行对监管指标的影响和保证募集资金按计划合理使用的措施，符合《非上市公众公司信息披露指引信息披露内容与格式指引准则3号——定向发行说明书和发行情况报告书》及《挂牌公司股票发行常见问题解答（三）——募集资金管理、认购协议中特殊条款、特殊类型挂牌公司融资》等相关文件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4、关于本次发行价格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申请材料显示，申请人本次拟定向发行不超过30亿股，发行规模不超过120亿元，未确定发行价格或价格区间。请申请人补充披露本次发行的价格或价格区间。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根据天津中联资产评估有限责任公司出具的“中联评报字[2018]A-0006号”，在评估基准日2017年6月30日的净资产账面值为2,126,170.30万元，采用收益法评估后的股东全部权益价值为2,553,200.00 万元。即，股东每股净资产评估值约为3.40元。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本次定向发行以经备案的净资产评估值3.40元/股为依据，确定挂牌条件，依交易程序公开择优选择投资者，综合考虑宏观经济环境、发行人所处行业、目前发展状况及成长性等多方面因素，预计发行价格不超过每股净资产评估值的1.10倍，发行价格区间为3.40元/股-3.74元/股。最终发行价须获有关管理机构批准并将在投资者最终于产权交易所摘牌时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律师认为，本次股票发行以经备案的净资产评估值为依据，确定挂牌条件，依交易程序公开择优选择投资者，最终发行价须获有关监管机构批准并将在投资者最终于产权交易所摘牌时确定。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1D242B"/>
          <w:spacing w:val="0"/>
          <w:sz w:val="21"/>
          <w:szCs w:val="21"/>
          <w:u w:val="none"/>
          <w:bdr w:val="none" w:color="auto" w:sz="0" w:space="0"/>
          <w:shd w:val="clear" w:fill="FFFFFF"/>
        </w:rPr>
        <w:t>根据申请人已披露的《天津农商银行定向发行股票方案》，本次股票发行的投资者符合《公众公司办法》第三十九条规定。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5、关于律师意见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审核中关注到，律师未就本次发行对申请人的影响，是否存在资金占用、违规担保、股权质押、冻结等问题发表明确意见。</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请律师围绕《非上市公众公司信息披露内容与格式准则第3号——定向发行说明书和发行情况报告书》逐条进行核查并发表明确意见，包括并不限于本次发行对申请人的影响以及是否存在资金占用、违规担保、股权质押等违规使用资金的问题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根据《天津农村商业银行股份有限公司定向发行说明书》等相关申报文件，本次定向发行完成后，申请人注册资本、总资产、净资产、资本充足率财务指标将有所提升，申请人未来的盈利能力、经营活动、投资活动对应的现金流入及现金流出都将有所增长都将有所增长，对申请人的经营管理、财务状况、盈利能力、现金流量等均有积极的正面影响。本次发行前申请人不存在控股股东，发行后申请人仍不存在控股股东，故本次定向发行完成后，不存在申请人与控股股东及其关联人之间的业务关系、管理关系、关联交易及同业竞争，亦不存在变化情况，对申请人其他股东权益或其他类别股东权益亦有积极的影响，不存在损害其他股东权益或其他类别股东权益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关联方资金往来均系正常经营业务往来，申请人不存在资金占用情况。申请人制定有《天津农村商业银行股份有限公司章程》、《天津农村商业银行股份有限公司关联交易管理办法(修订版)》等公司治理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已根据《天津农商银行信息披露管理制度》第三十四条：“发生可能对申请人影响的重大事件，投资者尚未得知时，申请人应当立即披露，说明该事件的起因、目前的状态和可能产生的影响。该重大事件包括但不限于下列事项：……（十四）法院裁决禁止控股股东转让其所持股份；任一股东所持申请人5%以上股份被质押、冻结、司法拍卖、托管、设定信托或者被依法限制表决权；……”的规定，在申请人2018年半年度报告中披露天津新金融投资有限责任公司和麦购集团有限公司在内的前十大股东的股份质押情况，不存在达到信息披露标准而未及时披露的股份质押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认为，申请人股权质押已在工商行政管理部门办理了备案登记手续，不存在上述股东将股权质押给公司的情况，该等股权质押行为真实、合法、有效。股权质押较为分散，不会因为个别股东已质押的股份被处置而导致申请人股权结构发生重大变化。申请人冻结的股份数量占申请人股份总数的比例较小，不影响公司股权结构的稳定，申请人股份冻结的情形不会对申请人股权结构，业务经营产生重大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根据申请人提交的申请文件以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表了明确的意见。据此，我会同意天津农村商业银行股份有限公司向特定对象发行股票的申请。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652E709B"/>
    <w:rsid w:val="652E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2022-09-06T03:42:00Z</dcterms:created>
  <dc:creator>程晋</dc:creator>
  <cp:lastModifiedBy>程晋</cp:lastModifiedBy>
  <dcterms:modified xsi:type="dcterms:W3CDTF">2022-09-06T06:50:56Z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C6C6BFF840ED4BE48E876F617B369A60</vt:lpwstr>
  </property>
</Properties>
</file>