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u w:val="none"/>
          <w:bdr w:val="none" w:color="auto" w:sz="0" w:space="0"/>
          <w:shd w:val="clear" w:fill="FFFFFF"/>
        </w:rPr>
        <w:t>关于江苏南通农村商业银行股份有限公司申请向特定对象发行股票的审核意见</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left"/>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一、审核情况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全称为“江苏南通农村商业银行股份有限公司”，住所地在南通市通州区金沙镇建设路1号，成立于2010年10月28日，设立之时即为股份公司，目前在江苏股权交易中心有限责任公司托管。截至股权登记日（2018年5月2日），申请人共有股东1282人，申请人法定代表人佘俊，无控股股东、实际控制人，注册资本为135,985.3万元，目前总股本为151,642.0103万股，其中持股5%以上股东共5户，前十大股东持股情况如下：</w:t>
      </w:r>
    </w:p>
    <w:tbl>
      <w:tblPr>
        <w:tblW w:w="83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64"/>
        <w:gridCol w:w="3946"/>
        <w:gridCol w:w="1957"/>
        <w:gridCol w:w="1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4" w:type="dxa"/>
            <w:tcBorders>
              <w:top w:val="single" w:color="auto" w:sz="12" w:space="0"/>
              <w:left w:val="single" w:color="auto" w:sz="12"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序号</w:t>
            </w:r>
          </w:p>
        </w:tc>
        <w:tc>
          <w:tcPr>
            <w:tcW w:w="3946" w:type="dxa"/>
            <w:tcBorders>
              <w:top w:val="single" w:color="auto" w:sz="12"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企业名称</w:t>
            </w:r>
          </w:p>
        </w:tc>
        <w:tc>
          <w:tcPr>
            <w:tcW w:w="1957" w:type="dxa"/>
            <w:tcBorders>
              <w:top w:val="single" w:color="auto" w:sz="12"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股份数量（股）</w:t>
            </w:r>
          </w:p>
        </w:tc>
        <w:tc>
          <w:tcPr>
            <w:tcW w:w="1669" w:type="dxa"/>
            <w:tcBorders>
              <w:top w:val="single" w:color="auto" w:sz="12" w:space="0"/>
              <w:left w:val="single" w:color="auto" w:sz="6" w:space="0"/>
              <w:bottom w:val="single" w:color="auto" w:sz="6" w:space="0"/>
              <w:right w:val="single" w:color="auto"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764" w:type="dxa"/>
            <w:tcBorders>
              <w:top w:val="single" w:color="auto" w:sz="6" w:space="0"/>
              <w:left w:val="single" w:color="auto" w:sz="12"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394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南通国有资产投资控股有限公司</w:t>
            </w:r>
          </w:p>
        </w:tc>
        <w:tc>
          <w:tcPr>
            <w:tcW w:w="19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131,569,607.00</w:t>
            </w:r>
          </w:p>
        </w:tc>
        <w:tc>
          <w:tcPr>
            <w:tcW w:w="1669" w:type="dxa"/>
            <w:tcBorders>
              <w:top w:val="single" w:color="auto" w:sz="6" w:space="0"/>
              <w:left w:val="single" w:color="auto" w:sz="6" w:space="0"/>
              <w:bottom w:val="single" w:color="auto" w:sz="6" w:space="0"/>
              <w:right w:val="single" w:color="auto"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4" w:type="dxa"/>
            <w:tcBorders>
              <w:top w:val="single" w:color="auto" w:sz="6" w:space="0"/>
              <w:left w:val="single" w:color="auto" w:sz="12"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394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江苏资产管理有限公司</w:t>
            </w:r>
          </w:p>
        </w:tc>
        <w:tc>
          <w:tcPr>
            <w:tcW w:w="19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111,513,600.00</w:t>
            </w:r>
          </w:p>
        </w:tc>
        <w:tc>
          <w:tcPr>
            <w:tcW w:w="1669" w:type="dxa"/>
            <w:tcBorders>
              <w:top w:val="single" w:color="auto" w:sz="6" w:space="0"/>
              <w:left w:val="single" w:color="auto" w:sz="6" w:space="0"/>
              <w:bottom w:val="single" w:color="auto" w:sz="6" w:space="0"/>
              <w:right w:val="single" w:color="auto"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764" w:type="dxa"/>
            <w:tcBorders>
              <w:top w:val="single" w:color="auto" w:sz="6" w:space="0"/>
              <w:left w:val="single" w:color="auto" w:sz="12"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394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南通五建控股集团有限公司</w:t>
            </w:r>
          </w:p>
        </w:tc>
        <w:tc>
          <w:tcPr>
            <w:tcW w:w="19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89,210,880.00</w:t>
            </w:r>
          </w:p>
        </w:tc>
        <w:tc>
          <w:tcPr>
            <w:tcW w:w="1669" w:type="dxa"/>
            <w:tcBorders>
              <w:top w:val="single" w:color="auto" w:sz="6" w:space="0"/>
              <w:left w:val="single" w:color="auto" w:sz="6" w:space="0"/>
              <w:bottom w:val="single" w:color="auto" w:sz="6" w:space="0"/>
              <w:right w:val="single" w:color="auto"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4" w:type="dxa"/>
            <w:tcBorders>
              <w:top w:val="single" w:color="auto" w:sz="6" w:space="0"/>
              <w:left w:val="single" w:color="auto" w:sz="12"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394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中天科技集团有限公司</w:t>
            </w:r>
          </w:p>
        </w:tc>
        <w:tc>
          <w:tcPr>
            <w:tcW w:w="19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85,428,338.00</w:t>
            </w:r>
          </w:p>
        </w:tc>
        <w:tc>
          <w:tcPr>
            <w:tcW w:w="1669" w:type="dxa"/>
            <w:tcBorders>
              <w:top w:val="single" w:color="auto" w:sz="6" w:space="0"/>
              <w:left w:val="single" w:color="auto" w:sz="6" w:space="0"/>
              <w:bottom w:val="single" w:color="auto" w:sz="6" w:space="0"/>
              <w:right w:val="single" w:color="auto"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4" w:type="dxa"/>
            <w:tcBorders>
              <w:top w:val="single" w:color="auto" w:sz="6" w:space="0"/>
              <w:left w:val="single" w:color="auto" w:sz="12"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394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中南控股集团有限公司</w:t>
            </w:r>
          </w:p>
        </w:tc>
        <w:tc>
          <w:tcPr>
            <w:tcW w:w="19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85,428,338.00</w:t>
            </w:r>
          </w:p>
        </w:tc>
        <w:tc>
          <w:tcPr>
            <w:tcW w:w="1669" w:type="dxa"/>
            <w:tcBorders>
              <w:top w:val="single" w:color="auto" w:sz="6" w:space="0"/>
              <w:left w:val="single" w:color="auto" w:sz="6" w:space="0"/>
              <w:bottom w:val="single" w:color="auto" w:sz="6" w:space="0"/>
              <w:right w:val="single" w:color="auto"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4" w:type="dxa"/>
            <w:tcBorders>
              <w:top w:val="single" w:color="auto" w:sz="6" w:space="0"/>
              <w:left w:val="single" w:color="auto" w:sz="12"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w:t>
            </w:r>
          </w:p>
        </w:tc>
        <w:tc>
          <w:tcPr>
            <w:tcW w:w="394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南通汽运实业集团有限公司</w:t>
            </w:r>
          </w:p>
        </w:tc>
        <w:tc>
          <w:tcPr>
            <w:tcW w:w="19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71,190,282.00</w:t>
            </w:r>
          </w:p>
        </w:tc>
        <w:tc>
          <w:tcPr>
            <w:tcW w:w="1669" w:type="dxa"/>
            <w:tcBorders>
              <w:top w:val="single" w:color="auto" w:sz="6" w:space="0"/>
              <w:left w:val="single" w:color="auto" w:sz="6" w:space="0"/>
              <w:bottom w:val="single" w:color="auto" w:sz="6" w:space="0"/>
              <w:right w:val="single" w:color="auto"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4" w:type="dxa"/>
            <w:tcBorders>
              <w:top w:val="single" w:color="auto" w:sz="6" w:space="0"/>
              <w:left w:val="single" w:color="auto" w:sz="12"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w:t>
            </w:r>
          </w:p>
        </w:tc>
        <w:tc>
          <w:tcPr>
            <w:tcW w:w="394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振华建设集团有限公司</w:t>
            </w:r>
          </w:p>
        </w:tc>
        <w:tc>
          <w:tcPr>
            <w:tcW w:w="19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56,952,225.00</w:t>
            </w:r>
          </w:p>
        </w:tc>
        <w:tc>
          <w:tcPr>
            <w:tcW w:w="1669" w:type="dxa"/>
            <w:tcBorders>
              <w:top w:val="single" w:color="auto" w:sz="6" w:space="0"/>
              <w:left w:val="single" w:color="auto" w:sz="6" w:space="0"/>
              <w:bottom w:val="single" w:color="auto" w:sz="6" w:space="0"/>
              <w:right w:val="single" w:color="auto"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4" w:type="dxa"/>
            <w:tcBorders>
              <w:top w:val="single" w:color="auto" w:sz="6" w:space="0"/>
              <w:left w:val="single" w:color="auto" w:sz="12"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w:t>
            </w:r>
          </w:p>
        </w:tc>
        <w:tc>
          <w:tcPr>
            <w:tcW w:w="394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南通中港建材有限公司</w:t>
            </w:r>
          </w:p>
        </w:tc>
        <w:tc>
          <w:tcPr>
            <w:tcW w:w="19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42,714,169.00</w:t>
            </w:r>
          </w:p>
        </w:tc>
        <w:tc>
          <w:tcPr>
            <w:tcW w:w="1669" w:type="dxa"/>
            <w:tcBorders>
              <w:top w:val="single" w:color="auto" w:sz="6" w:space="0"/>
              <w:left w:val="single" w:color="auto" w:sz="6" w:space="0"/>
              <w:bottom w:val="single" w:color="auto" w:sz="6" w:space="0"/>
              <w:right w:val="single" w:color="auto"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4" w:type="dxa"/>
            <w:tcBorders>
              <w:top w:val="single" w:color="auto" w:sz="6" w:space="0"/>
              <w:left w:val="single" w:color="auto" w:sz="12"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w:t>
            </w:r>
          </w:p>
        </w:tc>
        <w:tc>
          <w:tcPr>
            <w:tcW w:w="394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江苏通惠生物科技有限公司</w:t>
            </w:r>
          </w:p>
        </w:tc>
        <w:tc>
          <w:tcPr>
            <w:tcW w:w="19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35,595,141.00</w:t>
            </w:r>
          </w:p>
        </w:tc>
        <w:tc>
          <w:tcPr>
            <w:tcW w:w="1669" w:type="dxa"/>
            <w:tcBorders>
              <w:top w:val="single" w:color="auto" w:sz="6" w:space="0"/>
              <w:left w:val="single" w:color="auto" w:sz="6" w:space="0"/>
              <w:bottom w:val="single" w:color="auto" w:sz="6" w:space="0"/>
              <w:right w:val="single" w:color="auto"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4" w:type="dxa"/>
            <w:tcBorders>
              <w:top w:val="single" w:color="auto" w:sz="6" w:space="0"/>
              <w:left w:val="single" w:color="auto" w:sz="12"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w:t>
            </w:r>
          </w:p>
        </w:tc>
        <w:tc>
          <w:tcPr>
            <w:tcW w:w="394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南通市百昌置业有限公司</w:t>
            </w:r>
          </w:p>
        </w:tc>
        <w:tc>
          <w:tcPr>
            <w:tcW w:w="19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33,222,131.00</w:t>
            </w:r>
          </w:p>
        </w:tc>
        <w:tc>
          <w:tcPr>
            <w:tcW w:w="1669" w:type="dxa"/>
            <w:tcBorders>
              <w:top w:val="single" w:color="auto" w:sz="6" w:space="0"/>
              <w:left w:val="single" w:color="auto" w:sz="6" w:space="0"/>
              <w:bottom w:val="single" w:color="auto" w:sz="6" w:space="0"/>
              <w:right w:val="single" w:color="auto"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710" w:type="dxa"/>
            <w:gridSpan w:val="2"/>
            <w:tcBorders>
              <w:top w:val="single" w:color="auto" w:sz="6" w:space="0"/>
              <w:left w:val="single" w:color="auto" w:sz="12" w:space="0"/>
              <w:bottom w:val="single" w:color="auto" w:sz="12"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合计</w:t>
            </w:r>
          </w:p>
        </w:tc>
        <w:tc>
          <w:tcPr>
            <w:tcW w:w="1957" w:type="dxa"/>
            <w:tcBorders>
              <w:top w:val="single" w:color="auto" w:sz="6" w:space="0"/>
              <w:left w:val="single" w:color="auto" w:sz="6" w:space="0"/>
              <w:bottom w:val="single" w:color="auto" w:sz="12"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742,824,711</w:t>
            </w:r>
          </w:p>
        </w:tc>
        <w:tc>
          <w:tcPr>
            <w:tcW w:w="1669" w:type="dxa"/>
            <w:tcBorders>
              <w:top w:val="single" w:color="auto" w:sz="6" w:space="0"/>
              <w:left w:val="single" w:color="auto" w:sz="6" w:space="0"/>
              <w:bottom w:val="single" w:color="auto" w:sz="12" w:space="0"/>
              <w:right w:val="single" w:color="auto"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48.99</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主营业务为吸收公众存款；发放短期、中期和长期贷款；办理国内结算；办理票据承兑与贴现；代理发行、代理兑付、承销政府债券；买卖政府债券、金融债券；从事同业拆借；从事借记卡业务；代理收付款项；提供保管箱服务；外汇业务；经中国银行业监督管理委员会批准的其他业务。（依法须经批准的项目，经相关部门批准后方可开展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向特定对象发行股票的行政许可申请于2018年10月10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于2018年10月22日向申请人发出书面反馈，申请人及会计师、律师于2018年10月29日提交了反馈意见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二、审核中关注的问题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关于</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贷款集中度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单一客户贷款集中度2016年末为10.82%，未达到监管要求（≤10%）。此外，2016年末、2017年末和2018年6月末，申请人最大十家客户贷款集中度分别为61.31%、54.25%和50.01%，均未达到监管要求（≤50%）。请申请人补充披露：（1）报告期内最大十家客户和前十大股东是否存在关联关系，相关贷款是否可能损害公司利益；（2）最大十家客户贷款集中度未达到监管要求，是否存在被处罚风险。请律师、会计师补充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报告期内申请人的最大十家客户和前十大股东不存在相互股权投资、高级管理人员交叉任职等关联关系，前十大客户贷款均按监管规定及审批程序的要求办理了放贷审批手续，贷款利率符合市场利率水平，未发生贷款逾期无法偿还的情形，相关贷款不存在损害申请人利益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1996年，中国人民银行发布了《中国人民银行关于印发商业银行资产负债比例管理监控、监测指标和考核办法的通知》，规定要求对最大十家客户发放的贷款总额不得超过银行资本净额的50%。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商业银行风险监管核心指标（试行）》第二十三条规定，商业银行风险监管核心指标自2006年1月1日起试行。《商业银行资产负债比例管理监控、监测指标和考核办法》（银发〔1996〕450号）同时废止，同时未对最大十家客户贷款集中度比例作出明确规定，另外，《商业银行风险监管核心指标（试行）》第二十一条规定，除法律、行政法规和部门规章另有规定外，本核心指标不作为行政处罚的直接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截至目前，在报告期内，申请人不存在因未符合最大十家客户发放的贷款总额不得超过银行资本净额的50％指标被行政处罚的情形。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律师和会计师认为，报告期内的最大十家客户和前十大股东不存在相互股权投资、高级管理人员交叉任职等关联关系，前十大客户贷款均按监管规定及申请人审批程序的要求办理了放贷审批手续，贷款利率符合市场利率水平，未发生贷款逾期无法偿还的情形，相关贷款不存在损害公司利益情形。关于最大十家客户贷款集中度未达到监管的《商业银行资产负债比例管理监控、监测指标和考核办法的通知》（银发[1996]450号）已经被废止，截至目前，在报告期内，发行人不存在因未符合最大十家客户发放的贷款总额不得超过银行资本净额的50％指标被行政处罚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2.关于本次募集资金的必要性、合理性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审核中关注到，报告期内申请人资本充足率均高于监管要求，本次募集资金拟用于补充资本金。请申请人结合经营及业务开展情况，补充披露本次募集资金的必要性、合理性。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1D242B"/>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1D242B"/>
          <w:spacing w:val="0"/>
          <w:sz w:val="21"/>
          <w:szCs w:val="21"/>
          <w:u w:val="none"/>
          <w:bdr w:val="none" w:color="auto" w:sz="0" w:space="0"/>
          <w:shd w:val="clear" w:fill="FFFFFF"/>
        </w:rPr>
        <w:t>募集资金用途及必要性和可行性分析：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1D242B"/>
          <w:spacing w:val="0"/>
          <w:sz w:val="21"/>
          <w:szCs w:val="21"/>
          <w:u w:val="none"/>
          <w:bdr w:val="none" w:color="auto" w:sz="0" w:space="0"/>
          <w:shd w:val="clear" w:fill="FFFFFF"/>
        </w:rPr>
        <w:t>（1）满足监管要求的需要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1D242B"/>
          <w:spacing w:val="0"/>
          <w:sz w:val="21"/>
          <w:szCs w:val="21"/>
          <w:u w:val="none"/>
          <w:bdr w:val="none" w:color="auto" w:sz="0" w:space="0"/>
          <w:shd w:val="clear" w:fill="FFFFFF"/>
        </w:rPr>
        <w:t>近年来监管机构不断加强对银行的资本管理，要求银行提高资本质量，增强银行抵御风险的能力，新商业银行资本管理办法发布后，对商业银行的资本管理</w:t>
      </w: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和资产质量</w:t>
      </w:r>
      <w:r>
        <w:rPr>
          <w:rFonts w:hint="eastAsia" w:ascii="微软雅黑" w:hAnsi="微软雅黑" w:eastAsia="微软雅黑" w:cs="微软雅黑"/>
          <w:i w:val="0"/>
          <w:iCs w:val="0"/>
          <w:caps w:val="0"/>
          <w:color w:val="1D242B"/>
          <w:spacing w:val="0"/>
          <w:sz w:val="21"/>
          <w:szCs w:val="21"/>
          <w:u w:val="none"/>
          <w:bdr w:val="none" w:color="auto" w:sz="0" w:space="0"/>
          <w:shd w:val="clear" w:fill="FFFFFF"/>
        </w:rPr>
        <w:t>提出了更高的要求，</w:t>
      </w: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根据《商业银行资本充足率管理办法（试行）》相关规定，商业银行资本充足率最低要求如下：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903"/>
        <w:gridCol w:w="1892"/>
        <w:gridCol w:w="1892"/>
        <w:gridCol w:w="1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90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项目</w:t>
            </w:r>
          </w:p>
        </w:tc>
        <w:tc>
          <w:tcPr>
            <w:tcW w:w="1892"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核心一级资本充足率</w:t>
            </w:r>
          </w:p>
        </w:tc>
        <w:tc>
          <w:tcPr>
            <w:tcW w:w="1892"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一级资本充足率</w:t>
            </w:r>
          </w:p>
        </w:tc>
        <w:tc>
          <w:tcPr>
            <w:tcW w:w="1835"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资本充足率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0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监管要求</w:t>
            </w:r>
          </w:p>
        </w:tc>
        <w:tc>
          <w:tcPr>
            <w:tcW w:w="18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≥7.50</w:t>
            </w:r>
          </w:p>
        </w:tc>
        <w:tc>
          <w:tcPr>
            <w:tcW w:w="18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≥8.50</w:t>
            </w:r>
          </w:p>
        </w:tc>
        <w:tc>
          <w:tcPr>
            <w:tcW w:w="1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90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江苏省法人银行业金融机构统计指标（2017年末）</w:t>
            </w:r>
          </w:p>
        </w:tc>
        <w:tc>
          <w:tcPr>
            <w:tcW w:w="18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10.10</w:t>
            </w:r>
          </w:p>
        </w:tc>
        <w:tc>
          <w:tcPr>
            <w:tcW w:w="18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10.92</w:t>
            </w:r>
          </w:p>
        </w:tc>
        <w:tc>
          <w:tcPr>
            <w:tcW w:w="1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90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上市农商行</w:t>
            </w:r>
            <w:r>
              <w:rPr>
                <w:rFonts w:hint="eastAsia" w:ascii="微软雅黑" w:hAnsi="微软雅黑" w:eastAsia="微软雅黑" w:cs="微软雅黑"/>
                <w:b w:val="0"/>
                <w:bCs w:val="0"/>
                <w:i w:val="0"/>
                <w:iCs w:val="0"/>
                <w:caps w:val="0"/>
                <w:color w:val="333333"/>
                <w:spacing w:val="0"/>
                <w:sz w:val="19"/>
                <w:szCs w:val="19"/>
                <w:u w:val="none"/>
                <w:bdr w:val="none" w:color="auto" w:sz="0" w:space="0"/>
                <w:vertAlign w:val="superscript"/>
              </w:rPr>
              <w:t>1</w:t>
            </w:r>
            <w:r>
              <w:rPr>
                <w:rFonts w:hint="eastAsia" w:ascii="微软雅黑" w:hAnsi="微软雅黑" w:eastAsia="微软雅黑" w:cs="微软雅黑"/>
                <w:b w:val="0"/>
                <w:bCs w:val="0"/>
                <w:i w:val="0"/>
                <w:iCs w:val="0"/>
                <w:caps w:val="0"/>
                <w:color w:val="333333"/>
                <w:spacing w:val="0"/>
                <w:sz w:val="19"/>
                <w:szCs w:val="19"/>
                <w:u w:val="none"/>
                <w:bdr w:val="none" w:color="auto" w:sz="0" w:space="0"/>
              </w:rPr>
              <w:t>（2017年末）</w:t>
            </w:r>
          </w:p>
        </w:tc>
        <w:tc>
          <w:tcPr>
            <w:tcW w:w="18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11.37</w:t>
            </w:r>
          </w:p>
        </w:tc>
        <w:tc>
          <w:tcPr>
            <w:tcW w:w="18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11.38</w:t>
            </w:r>
          </w:p>
        </w:tc>
        <w:tc>
          <w:tcPr>
            <w:tcW w:w="1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0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申请人（2017年末）</w:t>
            </w:r>
          </w:p>
        </w:tc>
        <w:tc>
          <w:tcPr>
            <w:tcW w:w="18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11.23</w:t>
            </w:r>
          </w:p>
        </w:tc>
        <w:tc>
          <w:tcPr>
            <w:tcW w:w="18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11.23</w:t>
            </w:r>
          </w:p>
        </w:tc>
        <w:tc>
          <w:tcPr>
            <w:tcW w:w="1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13.23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注1：上市农商行包括：常熟农村商业银行股份有限公司、江苏江阴农村商业银行股份有限公司、无锡农村商业银行股份有限公司、江苏吴江农村商业银行股份有限公司、江苏张家港农村商业银行股份有限公司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尽管申请人各项指标均符合监管机构对于资本充足率的最低要求，但是，未来如果申请人保持较高的资本充足水平可降低发生某些不利变化导致申请人无法满足监管规定的</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风险</w:t>
      </w: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包括但不限于：申请人资产质量下降，投资资产价值下跌，监管机构提高对最低资本充足率的要求，申请人净利润减少导致未分配利润减少等。如果未来申请人无法满足监管机构对于资本充足率的要求，申请人可能会被监管机构采取限制贷款及其他资产的增长等若干纠正措施，因此，虽然申请人资本充足率高于监管指标的最低要求，但是仍有</w:t>
      </w:r>
      <w:r>
        <w:rPr>
          <w:rFonts w:hint="eastAsia" w:ascii="微软雅黑" w:hAnsi="微软雅黑" w:eastAsia="微软雅黑" w:cs="微软雅黑"/>
          <w:i w:val="0"/>
          <w:iCs w:val="0"/>
          <w:caps w:val="0"/>
          <w:color w:val="1D242B"/>
          <w:spacing w:val="0"/>
          <w:sz w:val="21"/>
          <w:szCs w:val="21"/>
          <w:u w:val="none"/>
          <w:bdr w:val="none" w:color="auto" w:sz="0" w:space="0"/>
          <w:shd w:val="clear" w:fill="FFFFFF"/>
        </w:rPr>
        <w:t>必要通过本次发行进一步提高资本充足水平，在满足未来发展需要的同时，为日益提高的监管要求预留空间，增强抗风险能力，实现稳健经营和可持续发展。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1D242B"/>
          <w:spacing w:val="0"/>
          <w:sz w:val="21"/>
          <w:szCs w:val="21"/>
          <w:u w:val="none"/>
          <w:bdr w:val="none" w:color="auto" w:sz="0" w:space="0"/>
          <w:shd w:val="clear" w:fill="FFFFFF"/>
        </w:rPr>
        <w:t>（2）满足未来发展的需要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截至2015年末、2016年末和2017年末，江苏省法人银行业金融机构资本充足率、总资产和净利润情况如下：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单位：亿元、%</w:t>
      </w:r>
    </w:p>
    <w:tbl>
      <w:tblPr>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68"/>
        <w:gridCol w:w="1667"/>
        <w:gridCol w:w="1667"/>
        <w:gridCol w:w="1667"/>
        <w:gridCol w:w="1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667" w:type="dxa"/>
            <w:tcBorders>
              <w:top w:val="single" w:color="000000" w:sz="4" w:space="0"/>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w:t>
            </w:r>
          </w:p>
        </w:tc>
        <w:tc>
          <w:tcPr>
            <w:tcW w:w="1667" w:type="dxa"/>
            <w:tcBorders>
              <w:top w:val="single" w:color="000000" w:sz="4" w:space="0"/>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2016年</w:t>
            </w:r>
          </w:p>
        </w:tc>
        <w:tc>
          <w:tcPr>
            <w:tcW w:w="1667" w:type="dxa"/>
            <w:tcBorders>
              <w:top w:val="single" w:color="000000" w:sz="4" w:space="0"/>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2015年</w:t>
            </w:r>
          </w:p>
        </w:tc>
        <w:tc>
          <w:tcPr>
            <w:tcW w:w="1667" w:type="dxa"/>
            <w:tcBorders>
              <w:top w:val="single" w:color="000000" w:sz="4" w:space="0"/>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平均值/复合增长率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1668"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资本充足率</w:t>
            </w:r>
          </w:p>
        </w:tc>
        <w:tc>
          <w:tcPr>
            <w:tcW w:w="16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13.45</w:t>
            </w:r>
          </w:p>
        </w:tc>
        <w:tc>
          <w:tcPr>
            <w:tcW w:w="16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12.98</w:t>
            </w:r>
          </w:p>
        </w:tc>
        <w:tc>
          <w:tcPr>
            <w:tcW w:w="16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12.89</w:t>
            </w:r>
          </w:p>
        </w:tc>
        <w:tc>
          <w:tcPr>
            <w:tcW w:w="16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1668"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总资产</w:t>
            </w:r>
          </w:p>
        </w:tc>
        <w:tc>
          <w:tcPr>
            <w:tcW w:w="16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58,876.54 </w:t>
            </w:r>
          </w:p>
        </w:tc>
        <w:tc>
          <w:tcPr>
            <w:tcW w:w="16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52,925.52 </w:t>
            </w:r>
          </w:p>
        </w:tc>
        <w:tc>
          <w:tcPr>
            <w:tcW w:w="16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43,730.57 </w:t>
            </w:r>
          </w:p>
        </w:tc>
        <w:tc>
          <w:tcPr>
            <w:tcW w:w="16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1668"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税后净利润</w:t>
            </w:r>
          </w:p>
        </w:tc>
        <w:tc>
          <w:tcPr>
            <w:tcW w:w="16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433.37 </w:t>
            </w:r>
          </w:p>
        </w:tc>
        <w:tc>
          <w:tcPr>
            <w:tcW w:w="16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384.52 </w:t>
            </w:r>
          </w:p>
        </w:tc>
        <w:tc>
          <w:tcPr>
            <w:tcW w:w="16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355.11 </w:t>
            </w:r>
          </w:p>
        </w:tc>
        <w:tc>
          <w:tcPr>
            <w:tcW w:w="16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10.47</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假设1：未来三年申请人资本充足率持续保持在13.11%的水平。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假设2：未来三年申请人风险加权资产保持16.03%的增长速度。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假设3： 基于2015年-2017年分红比例分别8%、7%和7%，假设未来三年申请人每年按照股本的8%分红。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假设4：未来三年申请人净利润保持10.47%的增长速度。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假设5：未来三年股本保持目前1,516,420,103股不变。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基于以上假设，未来三年申请人的资本缺口预测情况如下：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单位：亿元、%</w:t>
      </w:r>
    </w:p>
    <w:tbl>
      <w:tblPr>
        <w:tblW w:w="83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67"/>
        <w:gridCol w:w="1438"/>
        <w:gridCol w:w="1608"/>
        <w:gridCol w:w="1745"/>
        <w:gridCol w:w="1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76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38"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w:t>
            </w:r>
          </w:p>
        </w:tc>
        <w:tc>
          <w:tcPr>
            <w:tcW w:w="1608"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2018年</w:t>
            </w:r>
          </w:p>
        </w:tc>
        <w:tc>
          <w:tcPr>
            <w:tcW w:w="1745"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2019年</w:t>
            </w:r>
          </w:p>
        </w:tc>
        <w:tc>
          <w:tcPr>
            <w:tcW w:w="1745"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76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资本充足率</w:t>
            </w:r>
          </w:p>
        </w:tc>
        <w:tc>
          <w:tcPr>
            <w:tcW w:w="143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w:t>
            </w:r>
          </w:p>
        </w:tc>
        <w:tc>
          <w:tcPr>
            <w:tcW w:w="160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13.11</w:t>
            </w:r>
          </w:p>
        </w:tc>
        <w:tc>
          <w:tcPr>
            <w:tcW w:w="174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13.11</w:t>
            </w:r>
          </w:p>
        </w:tc>
        <w:tc>
          <w:tcPr>
            <w:tcW w:w="174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76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预计风险加权资产</w:t>
            </w:r>
          </w:p>
        </w:tc>
        <w:tc>
          <w:tcPr>
            <w:tcW w:w="143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374.01</w:t>
            </w:r>
          </w:p>
        </w:tc>
        <w:tc>
          <w:tcPr>
            <w:tcW w:w="160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433.97</w:t>
            </w:r>
          </w:p>
        </w:tc>
        <w:tc>
          <w:tcPr>
            <w:tcW w:w="174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503.53</w:t>
            </w:r>
          </w:p>
        </w:tc>
        <w:tc>
          <w:tcPr>
            <w:tcW w:w="174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584.25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76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预计资本净额</w:t>
            </w:r>
          </w:p>
        </w:tc>
        <w:tc>
          <w:tcPr>
            <w:tcW w:w="143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49.50</w:t>
            </w:r>
          </w:p>
        </w:tc>
        <w:tc>
          <w:tcPr>
            <w:tcW w:w="160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56.89</w:t>
            </w:r>
          </w:p>
        </w:tc>
        <w:tc>
          <w:tcPr>
            <w:tcW w:w="174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66.01</w:t>
            </w:r>
          </w:p>
        </w:tc>
        <w:tc>
          <w:tcPr>
            <w:tcW w:w="174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76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预计净利润</w:t>
            </w:r>
          </w:p>
        </w:tc>
        <w:tc>
          <w:tcPr>
            <w:tcW w:w="143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3.59</w:t>
            </w:r>
          </w:p>
        </w:tc>
        <w:tc>
          <w:tcPr>
            <w:tcW w:w="160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3.97</w:t>
            </w:r>
          </w:p>
        </w:tc>
        <w:tc>
          <w:tcPr>
            <w:tcW w:w="174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4.38</w:t>
            </w:r>
          </w:p>
        </w:tc>
        <w:tc>
          <w:tcPr>
            <w:tcW w:w="174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76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预计当年分红</w:t>
            </w:r>
          </w:p>
        </w:tc>
        <w:tc>
          <w:tcPr>
            <w:tcW w:w="143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w:t>
            </w:r>
          </w:p>
        </w:tc>
        <w:tc>
          <w:tcPr>
            <w:tcW w:w="160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1.21</w:t>
            </w:r>
          </w:p>
        </w:tc>
        <w:tc>
          <w:tcPr>
            <w:tcW w:w="174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1.21</w:t>
            </w:r>
          </w:p>
        </w:tc>
        <w:tc>
          <w:tcPr>
            <w:tcW w:w="174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76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预计当年内生资本额</w:t>
            </w:r>
          </w:p>
        </w:tc>
        <w:tc>
          <w:tcPr>
            <w:tcW w:w="143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w:t>
            </w:r>
          </w:p>
        </w:tc>
        <w:tc>
          <w:tcPr>
            <w:tcW w:w="160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2.76</w:t>
            </w:r>
          </w:p>
        </w:tc>
        <w:tc>
          <w:tcPr>
            <w:tcW w:w="174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3.17</w:t>
            </w:r>
          </w:p>
        </w:tc>
        <w:tc>
          <w:tcPr>
            <w:tcW w:w="174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76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资本缺口预测</w:t>
            </w:r>
          </w:p>
        </w:tc>
        <w:tc>
          <w:tcPr>
            <w:tcW w:w="143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w:t>
            </w:r>
          </w:p>
        </w:tc>
        <w:tc>
          <w:tcPr>
            <w:tcW w:w="160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4.63</w:t>
            </w:r>
          </w:p>
        </w:tc>
        <w:tc>
          <w:tcPr>
            <w:tcW w:w="174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10.59</w:t>
            </w:r>
          </w:p>
        </w:tc>
        <w:tc>
          <w:tcPr>
            <w:tcW w:w="174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17.55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注1：预计资本净额=预计风险加权资产*预计资本充足率；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注2：预计当年内生资本额=预计净利润-预计当年分红金额；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注3：资本缺口预测=预计资本净额-2017年资本净额-以前年累计内生资本额。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未来三年，申请人资本缺口分别4.63亿元、10.59亿元和17.55亿元，</w:t>
      </w:r>
      <w:r>
        <w:rPr>
          <w:rFonts w:hint="eastAsia" w:ascii="微软雅黑" w:hAnsi="微软雅黑" w:eastAsia="微软雅黑" w:cs="微软雅黑"/>
          <w:i w:val="0"/>
          <w:iCs w:val="0"/>
          <w:caps w:val="0"/>
          <w:color w:val="1D242B"/>
          <w:spacing w:val="0"/>
          <w:sz w:val="21"/>
          <w:szCs w:val="21"/>
          <w:u w:val="none"/>
          <w:bdr w:val="none" w:color="auto" w:sz="0" w:space="0"/>
          <w:shd w:val="clear" w:fill="FFFFFF"/>
        </w:rPr>
        <w:t>申请人业务迅速发展，</w:t>
      </w: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贷款规模不断扩大，</w:t>
      </w:r>
      <w:r>
        <w:rPr>
          <w:rFonts w:hint="eastAsia" w:ascii="微软雅黑" w:hAnsi="微软雅黑" w:eastAsia="微软雅黑" w:cs="微软雅黑"/>
          <w:i w:val="0"/>
          <w:iCs w:val="0"/>
          <w:caps w:val="0"/>
          <w:color w:val="1D242B"/>
          <w:spacing w:val="0"/>
          <w:sz w:val="21"/>
          <w:szCs w:val="21"/>
          <w:u w:val="none"/>
          <w:bdr w:val="none" w:color="auto" w:sz="0" w:space="0"/>
          <w:shd w:val="clear" w:fill="FFFFFF"/>
        </w:rPr>
        <w:t>资本消耗持续增加，仅依靠留存收益作为补充资本的方式已远远不够，内生资本无法完全满足资本补充需求，</w:t>
      </w:r>
      <w:r>
        <w:rPr>
          <w:rFonts w:hint="eastAsia" w:ascii="微软雅黑" w:hAnsi="微软雅黑" w:eastAsia="微软雅黑" w:cs="微软雅黑"/>
          <w:b w:val="0"/>
          <w:bCs w:val="0"/>
          <w:i w:val="0"/>
          <w:iCs w:val="0"/>
          <w:caps w:val="0"/>
          <w:color w:val="1D242B"/>
          <w:spacing w:val="0"/>
          <w:sz w:val="21"/>
          <w:szCs w:val="21"/>
          <w:u w:val="none"/>
          <w:bdr w:val="none" w:color="auto" w:sz="0" w:space="0"/>
          <w:shd w:val="clear" w:fill="FFFFFF"/>
        </w:rPr>
        <w:t>如仅依靠内生资本，则会给申请人带来较大资本充足压力，因此，引进外部资金进行资本补充，已是目前的必然选择。此外，申请人本次定向增发拟发行4.5亿股，每</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股价格为3.01元，募集资金总额为13.545亿元，发行规模相对较为合理。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3.</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关于发行价格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材料显示，申请人股东大会对董事会进行了相应授权，并由董事会转授权公司高级管理层根据具体情况确定及办理本次增资扩股的全部事宜。申请人前十大股东多为国有股东，申请人本次发行价格低于经审计每股净资产。请申请人补充披露：（1）本次发行的定价过程是否合法合规，是否符合公司章程的规定，（2）定价依据是否合理，是否符合有关国资管理规定，是否导致国有资产流失。请律师补充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（1）本次发行内部程序履行情况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2017年4月17日，申请人召开第二届董事会第二十六次会议，审议通过《关于增资扩股的议案》，具体内容如下：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增资扩股总额：申请人拟新募集股本不超过15亿股，具体以实际募集数为准；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发行股份的类型及面值：本次增资扩股发行股份的类型为人民币记名式投资股，每股面值为人民币1元，每股发行价格不低于经清产核资的每股净资产；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募集对象：根据《中国银监会关于加快推进农村合作金融机构股权改造的指导意见》（银监发[2010]92号）等相关法律法规规定，本次募集对象为本议案经股东大会通过之日已经在册的法人股东及符合《中国银监会农村中小金融机构行政许可事项实施办法》的法人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发行方式：本次新募集股金必须以货币资金认缴股本，并一次缴足，不得以债权、实物资产、有价证券等折价入股，单个法人及其关联方增资扩股后合计持股额不得超过总股本的10%，新增法人持股比例不得低于本次增资后总股本的1%。本次每股发行价格1元部分计入实收资本，溢价部分充实资本公积，以提高资本充足率，增强申请人抗风险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授权事项：为保证本次增资扩股的顺利进行，特提请股东大会对董事会进行以下授权，并由董事会转授权申请人高级管理层根据具体情况确定及办理本次增资扩股的全部事宜，包括但不限于：（1）制定并实施本次增资扩股的具体方案，包括但不限于签署与投资者的交易文件，办理增资扩股的行政许可申请事项，聘请本次增资扩股所需的中介机构，确定具体的增资扩股募股对象、每股价格和最终增发的股份数量等；（2）采取所有必要的行动，决定和办理其他与本次增资扩股相关的具体事宜；（3）根据本次增资扩股的完成情况，变更注册资本和修改公司章程中涉及的相关条款，并办理相关银行监管行政许可和工商管理变更登记等事项；（4）本授权自股东大会审议通过本议案之日起12个月内有效；（5）其他与本次增资扩股有关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2017年5月8日，申请人召开第八次股东大会，审议通过《关于增资扩股的议案》，同意本次增资扩股方案。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2018年4月20日，申请人召开第三届董事会第四次会议，审议通过《关于修改增资扩股部分事项的议案》，对增资扩股议案进行修订，修订内容如下：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增资扩股总额修改为“申请人拟新募集股本不超过4.5亿股，具体以实际募集数为准”；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股东大会对董事会进行授权，并由董事会转授权申请人高级管理层根据具体情况确定及办理本次增资扩股的全部事宜的授权期限延长至2018年12月31日。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2018年5月8日，申请人召开2018年第一次临时股东大会，审议通过《关于修改增资扩股部分事项的议案》，同意对增资扩股议案进行修订。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2018年5月18日，申请人高级管理层召开了会议，讨论了增资扩股价格，主要根据目前市场情况，并向潜在投资者了解，综合考虑确定本次增资扩股价格为3.01元/股。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《公司章程》中规定：“第九十三条 董事会行使下列职权：</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（二十五）法律、法规或申请人章程规定，以及股东大会授予或者监管部门要求董事会行使的其他职权；第一百五十二条 行长对董事会负责，行使下列职权：······（十）法律、法规和本章程规定，以及董事会授予的其他职权”。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综上所述，根据本次增资扩股相关会议内容和公司章程规定，本次增资扩股每股发行价格不低于经清产核资的每股净资产，同时股东大会对董事会进行授权，并由董事会转授权申请人高级管理层根据具体情况确定及办理本次增资扩股的全部事宜，符合《公司法》《公司章程》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律师认为，根据本次增资扩股相关会议内容和公司章程规定，本次增资扩股每股发行价格不低于经清产核资的每股净资产，同时股东大会对董事会进行授权，并由董事会转授权公司高级管理层根据具体情况确定及办理本次增资扩股的全部事宜，符合《公司法》《公司章程》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（2）定价依据的合理性说明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本次发行价格主要参照中天银会计师事务所有限责任公司江苏分所出具的《清产核资报告》（中天银苏专核字（2018）04号）和南京银立通土地房地产资产评估咨询有限公司出具的《资产评估报告书》（宁银立通（资）评报字[2018]第2号）确定的。清产核资主要依据《企业会计准则》和《农村商业银行、农村合作银行组建中清产核资工作指引》（银监合[2004]61号）进行的，对申请人的资产、负债及所有者权益进行全面清查；资产评估主要依据《中华人民共和国资产评估法》（中华人民共和国主席令2016第46号），采用资产基础法，对委托评估的资产进行实地勘察、市场调查与评定估算，对委估资产在评估基准日（2017年12月31日）所表现的市场价值做出评估。经清产核资和资产评估后，按基准日（2017年12月31日）确定每股净资产为3.01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根据中天银会计师事务所有限责任公司江苏分所出具的《清产核资报告》和南京银立通土地房地产资产评估咨询有限公司出具的《资产评估报告书》，申请人高级管理层召开了会议，讨论增资扩股价格时结合了目前市场情况和潜在投资者等情况，综合考虑后确定本次增资扩股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本次增资扩股履行了董事会、股东大会的决策程序，申请人国有股东南通国有资产投资控股有限公司、江苏资产管理有限公司、南通汽运实业集团有限公司、江苏东方路桥建设养护有限公司、江苏省国际信托有限责任公司均委托代表参加了增资扩股的股东大会，并表决同意本次增资扩股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律师认为，本次发行定价依据合理，符合有关国资管理规定，未导致国有资产流失。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4.关于信息披露平台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请申请人按照《非上市公众公司监督管理办法》《关于加强非上市公众公司监管工作的指导意见》规定，补充披露定期报告的信息披露方式。请律师核查并发表明确意见。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《江苏南通农村商业银行股份有限公司信息披露制度》中规定：“第二十九条 申请人信息披露指定的载体为《南通日报》及江苏南通农村商业银行股份有限公司网站；第三十条 申请人应披露的信息也可以载于其他公共媒体，但刊载的时间不得先于指定报纸或网站”。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申请人披露方式符合法律规定，披露定期报告的信息披露方式为《南通日报》及申请人网站。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律师认为，申请人信息披露方式符合法律规定，披露定期报告的信息披露方式为《南通日报》及发行人公司网站。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根据申请人提交的申请文件以及对反馈意见的回复，我会认为，申请人信息披露基本符合《公司法》《证券法》《管理办法》《非上市公众公司信息披露内容与格式准则第3号——定向发行说明书和发行情况报告书》《非上市公众公司信息披露内容与格式准则第4号——定向发行申请文件》等法律法规的规定，相关中介机构已就本次申请的</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相关问题依法发</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表了明确的意见。据此，我会同意江苏南通农村商业银行股份有限公司向特定对象发行股票的申请。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47883B84"/>
    <w:rsid w:val="47883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2022-09-06T06:56:00Z</dcterms:created>
  <dc:creator>程晋</dc:creator>
  <cp:lastModifiedBy>程晋</cp:lastModifiedBy>
  <dcterms:modified xsi:type="dcterms:W3CDTF">2022-09-06T07:04:05Z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06EE8FD7583747FD85375842075B3C1D</vt:lpwstr>
  </property>
</Properties>
</file>