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关于安徽省安泰科技股份有限公司申请向特定对象发行股票的审核意见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全称为“安徽省安泰科技股份有限公司”（证券代码：831063，创新层），成立于2001年4月28日，2011年9月23日改制为股份公司，并于2014年8月29日在全国中小企业股份转让系统（以下简称全国股转系统）挂牌公开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申请人法定代表人为周玉，实际控制人为安徽省人民政府，注册资本为</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69,036.631.00</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元，总股本为</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69,036.631.00</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股，住所地址为安徽省合肥市高新区天达路71号华亿科学园A1幢8楼。截至股权登记日</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2018年6月15日</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，共有股东343人。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主营业务为围绕“智慧城市”建设，提供建筑智能化工程、光伏电站建设和节能服务领域，从规划咨询、方案设计、项目实施、运维管理到数据分析等各个环节的专业化服务，是国内领先的智慧建筑和智慧能源综合解决方案提供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向特定对象发行股票的行政许可申请于2018年9月21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并于2018年9月29日向申请人发出书面反馈，申请人及主办券商、会计师、律师于2018年10月24日提交了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全国股转系统就本次发行出具了《关于安徽省安泰科技股份有限公司股票发行的自律监管情况函》，确认截至2018年9月20日，申请人在信息披露、公司治理等方面不存在违规问题，在日常监管中，也未发现存在其他重大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挂牌以来，申请人</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共计进行过一次定向发行</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股票融资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融资过程中不存在违法违规问题。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申请人挂牌以来，进行过一次权益分派。2016年6月20日，申请人召开2015年年度股东大会，会议审议通过：以挂牌公司总股本69,036.631.00股为基数，向全体股东以每10股派1元人民币现金。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二、</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关于</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律师意见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审核中关注到，律师未对申请人本次发行的定价程序是否规范，定价结果是否合法有效，定价依据是否合理，限售安排及自愿锁定承诺是否违反法律、行政法规及规范性文件的规定，是否合法、有效，前次募集资金使用是否合法合规，本次募集资金是否合理等发表意见。请律师围绕《非上市公众公司信息披露内容与格式准则第3号—-定向发行说明书和发行情况报告书》逐条进行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安徽天禾律师事务所出具了《安徽天禾律师事务所关于安徽省安泰科技股份有限公司定向发行股票的补充法律意见书》（[2018]皖天律证字第298-1号）认为：申请人本次发行目的合理；本次发行已对在册股东的优先认购进行了必要的安排，充分保障了在册股东的合法权益；董事会虽然尚未确定本次发行的具体对象，但已明确了发行对象范围、确定方法以及认购方式，符合《公众公司办法》《投资者适当性管理细则》及《全国中小企业股份转让系统股票发行业务指南》的相关规定；申请人本次发行的价格区间和定价原则、定价依据合理，不存在损害公司和股东合法利益情形；本次发行募集资金有利于保障申请人经营活动的开展，改善公司负债结构，进一步保障申请人可持续发展和股东的利益，规模合理；本次限售安排符合《公司法》等法律法规和业务规则的规定；申请人本次发行募集资金用于补充流动资金和偿还银行贷款，有利于促进申请人主营业务的发展，降低资产负债率，减少申请人借款利息支出，增强申请人偿债能力及抗风险能力，进而提升申请人的盈利能力及市场竞争力，具有必要性和合理性；申请人已按照《挂牌公司股票发行常见问题解答（三）募集资金管理、认购协议中特殊条款、特殊类型挂牌公司融资》的要求，开立本次发行的募集资金专项账户；申请人不存在改变募集资金用途的情形，申请人募集资金存放及使用符合《挂牌公司股票发行常见问题解答（三）——募集资金管理、认购协议中特殊条款、特殊类型挂牌公司融资》的相关规定；申请人本次发行前滚存未分配利润的处置方案符合《公司法》等有关法律法规及业务规则的规定；安泰股份已按照《挂牌公司股票发行常见问题解答（三）募集资金管理、认购协议中特殊条款、特殊类型挂牌公司融资》的要求，开立本次发行的募集资金专项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（二）关于银行贷款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审核中关注到，申请人拟将募集资金用于偿还银行贷款，其中有两笔合计1亿元的贷款单位为安徽出版集团有限责任公司。请申请人补充说明并披露这两笔贷款是否合法合规。请主办券商和律师补充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申请人本次发行股票募集资金用于补充流动资金和归还银行贷款，其中拟使用募集资金14,000万元用于偿还银行贷款，具体情况如下：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200"/>
        <w:jc w:val="right"/>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vertAlign w:val="baseline"/>
        </w:rPr>
        <w:t>单位：万元</w:t>
      </w:r>
    </w:p>
    <w:tbl>
      <w:tblPr>
        <w:tblW w:w="8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29"/>
        <w:gridCol w:w="1989"/>
        <w:gridCol w:w="1039"/>
        <w:gridCol w:w="2410"/>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贷款单位</w:t>
            </w:r>
          </w:p>
        </w:tc>
        <w:tc>
          <w:tcPr>
            <w:tcW w:w="1989"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银行名称</w:t>
            </w:r>
          </w:p>
        </w:tc>
        <w:tc>
          <w:tcPr>
            <w:tcW w:w="1039"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金额</w:t>
            </w:r>
          </w:p>
        </w:tc>
        <w:tc>
          <w:tcPr>
            <w:tcW w:w="2410"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贷款期限</w:t>
            </w:r>
          </w:p>
        </w:tc>
        <w:tc>
          <w:tcPr>
            <w:tcW w:w="929"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年利率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92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安徽出版集团</w:t>
            </w:r>
          </w:p>
        </w:tc>
        <w:tc>
          <w:tcPr>
            <w:tcW w:w="1989"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交通银行合肥祁门路支行</w:t>
            </w:r>
          </w:p>
        </w:tc>
        <w:tc>
          <w:tcPr>
            <w:tcW w:w="1039"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7,000.00</w:t>
            </w:r>
          </w:p>
        </w:tc>
        <w:tc>
          <w:tcPr>
            <w:tcW w:w="241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2018.1.28-2018.12.27</w:t>
            </w:r>
          </w:p>
        </w:tc>
        <w:tc>
          <w:tcPr>
            <w:tcW w:w="929"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92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安徽出版集团</w:t>
            </w:r>
          </w:p>
        </w:tc>
        <w:tc>
          <w:tcPr>
            <w:tcW w:w="1989"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交通银行合肥祁门路支行</w:t>
            </w:r>
          </w:p>
        </w:tc>
        <w:tc>
          <w:tcPr>
            <w:tcW w:w="1039"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3,000.00</w:t>
            </w:r>
          </w:p>
        </w:tc>
        <w:tc>
          <w:tcPr>
            <w:tcW w:w="241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2018.4.2-2019.4.1</w:t>
            </w:r>
          </w:p>
        </w:tc>
        <w:tc>
          <w:tcPr>
            <w:tcW w:w="929"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92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东莞银行合肥分行</w:t>
            </w:r>
          </w:p>
        </w:tc>
        <w:tc>
          <w:tcPr>
            <w:tcW w:w="1989"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东莞银行合肥分行</w:t>
            </w:r>
          </w:p>
        </w:tc>
        <w:tc>
          <w:tcPr>
            <w:tcW w:w="1039"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4,000.00</w:t>
            </w:r>
          </w:p>
        </w:tc>
        <w:tc>
          <w:tcPr>
            <w:tcW w:w="241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2018.1.3-2019.1.2</w:t>
            </w:r>
          </w:p>
        </w:tc>
        <w:tc>
          <w:tcPr>
            <w:tcW w:w="929"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5.220%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2016年10月，申请人控股股东安徽出版集团与交通银行签订《蕴通账户服务协议》，通过在交通银行开立人民币现金池业务实现与集团下属成员公司的资金借贷，以委贷等方式实现资金划拨。安徽出版集团以自有资金通过交通银行现金池向发行人提供借款，以满足公司日常经营的流动资金需求，银行按照约定利率按期扣取利息和本金，借款发放符合银行业务规则约定，合法合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主办券商认为，申请人与安徽出版集团之间通过交通银行发生的借款合法合规。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律师认为，安徽出版集团有限责任公司通过银行向发行人发放的两笔合计1亿元贷款合法合规。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（三）关于前次募集资金使用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申请人前次募集资金主要用于开拓市场以及补充公司流动资金，具体使用情况包括：偿还银行贷款、支付投标履约保证金、支付材料采购款及施工费、补充其他流动资金。请申请人补充披露前次募集资金是否存在改变募集资金用途的情形。请主办券商和律师补充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2015年12月，申请人2015年第五次临时股东大会审议通过了《安徽省安泰科技股份有限公司股票发行方案》的议案，同时，经中共安徽省委宣传部《关于同意安徽省安泰科技股份有限公司开展定增和做市交易的批复》（皖宣办字[2015]113号）及《关于调整安徽省安泰科技股份有限公司定增和做市交易方案的批复》（皖宣办字[2015]123号）同意，根据公司股东大会审议通过的发行方案，向安徽出版集团、时代出版、华文创投、华晟投资等12名原股东，海通证券等7家做市商，以及张萍等28名公司核心员工，共计47名对象定向发行股票1,100万股，发行价格为每股6.00元，募集资金总额为6,600万元；募集资金用途为用于推动公司在智慧能源产业市场的拓展，加快全国市场的开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申请人前次募集资金实际用途如下：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单位：万元</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83"/>
        <w:gridCol w:w="2268"/>
        <w:gridCol w:w="3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3" w:hRule="atLeast"/>
        </w:trPr>
        <w:tc>
          <w:tcPr>
            <w:tcW w:w="2283" w:type="dxa"/>
            <w:tcBorders>
              <w:top w:val="single" w:color="auto" w:sz="12" w:space="0"/>
              <w:left w:val="single" w:color="auto" w:sz="12" w:space="0"/>
              <w:bottom w:val="single" w:color="auto" w:sz="2" w:space="0"/>
              <w:right w:val="single" w:color="auto"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项目</w:t>
            </w:r>
          </w:p>
        </w:tc>
        <w:tc>
          <w:tcPr>
            <w:tcW w:w="2268" w:type="dxa"/>
            <w:tcBorders>
              <w:top w:val="single" w:color="auto" w:sz="12" w:space="0"/>
              <w:left w:val="single" w:color="auto" w:sz="2" w:space="0"/>
              <w:bottom w:val="single" w:color="auto" w:sz="2" w:space="0"/>
              <w:right w:val="single" w:color="auto"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金额</w:t>
            </w:r>
          </w:p>
        </w:tc>
        <w:tc>
          <w:tcPr>
            <w:tcW w:w="3969" w:type="dxa"/>
            <w:tcBorders>
              <w:top w:val="single" w:color="auto" w:sz="12" w:space="0"/>
              <w:left w:val="single" w:color="auto" w:sz="2" w:space="0"/>
              <w:bottom w:val="single" w:color="auto" w:sz="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使用时间（或时间区间）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 w:hRule="atLeast"/>
        </w:trPr>
        <w:tc>
          <w:tcPr>
            <w:tcW w:w="2283" w:type="dxa"/>
            <w:tcBorders>
              <w:top w:val="single" w:color="auto" w:sz="2" w:space="0"/>
              <w:left w:val="single" w:color="auto" w:sz="12" w:space="0"/>
              <w:bottom w:val="single" w:color="auto" w:sz="2" w:space="0"/>
              <w:right w:val="single" w:color="auto"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偿还银行贷款</w:t>
            </w:r>
          </w:p>
        </w:tc>
        <w:tc>
          <w:tcPr>
            <w:tcW w:w="2268" w:type="dxa"/>
            <w:tcBorders>
              <w:top w:val="single" w:color="auto" w:sz="2" w:space="0"/>
              <w:left w:val="single" w:color="auto" w:sz="2" w:space="0"/>
              <w:bottom w:val="single" w:color="auto" w:sz="2" w:space="0"/>
              <w:right w:val="single" w:color="auto"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4,000.00</w:t>
            </w:r>
          </w:p>
        </w:tc>
        <w:tc>
          <w:tcPr>
            <w:tcW w:w="3969" w:type="dxa"/>
            <w:tcBorders>
              <w:top w:val="single" w:color="auto" w:sz="2" w:space="0"/>
              <w:left w:val="single" w:color="auto" w:sz="2" w:space="0"/>
              <w:bottom w:val="single" w:color="auto" w:sz="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2016年2月18日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 w:hRule="atLeast"/>
        </w:trPr>
        <w:tc>
          <w:tcPr>
            <w:tcW w:w="2283" w:type="dxa"/>
            <w:tcBorders>
              <w:top w:val="single" w:color="auto" w:sz="2" w:space="0"/>
              <w:left w:val="single" w:color="auto" w:sz="12" w:space="0"/>
              <w:bottom w:val="single" w:color="auto" w:sz="2" w:space="0"/>
              <w:right w:val="single" w:color="auto"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支付投标、履约保证金</w:t>
            </w:r>
          </w:p>
        </w:tc>
        <w:tc>
          <w:tcPr>
            <w:tcW w:w="2268" w:type="dxa"/>
            <w:tcBorders>
              <w:top w:val="single" w:color="auto" w:sz="2" w:space="0"/>
              <w:left w:val="single" w:color="auto" w:sz="2" w:space="0"/>
              <w:bottom w:val="single" w:color="auto" w:sz="2" w:space="0"/>
              <w:right w:val="single" w:color="auto"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1,074.62</w:t>
            </w:r>
          </w:p>
        </w:tc>
        <w:tc>
          <w:tcPr>
            <w:tcW w:w="3969" w:type="dxa"/>
            <w:tcBorders>
              <w:top w:val="single" w:color="auto" w:sz="2" w:space="0"/>
              <w:left w:val="single" w:color="auto" w:sz="2" w:space="0"/>
              <w:bottom w:val="single" w:color="auto" w:sz="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2016年2月18日至2016年3月9日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2283" w:type="dxa"/>
            <w:tcBorders>
              <w:top w:val="single" w:color="auto" w:sz="2" w:space="0"/>
              <w:left w:val="single" w:color="auto" w:sz="12" w:space="0"/>
              <w:bottom w:val="single" w:color="auto" w:sz="2" w:space="0"/>
              <w:right w:val="single" w:color="auto"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支付材料采购款及施工费</w:t>
            </w:r>
          </w:p>
        </w:tc>
        <w:tc>
          <w:tcPr>
            <w:tcW w:w="2268" w:type="dxa"/>
            <w:tcBorders>
              <w:top w:val="single" w:color="auto" w:sz="2" w:space="0"/>
              <w:left w:val="single" w:color="auto" w:sz="2" w:space="0"/>
              <w:bottom w:val="single" w:color="auto" w:sz="2" w:space="0"/>
              <w:right w:val="single" w:color="auto"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960.56</w:t>
            </w:r>
          </w:p>
        </w:tc>
        <w:tc>
          <w:tcPr>
            <w:tcW w:w="3969" w:type="dxa"/>
            <w:tcBorders>
              <w:top w:val="single" w:color="auto" w:sz="2" w:space="0"/>
              <w:left w:val="single" w:color="auto" w:sz="2" w:space="0"/>
              <w:bottom w:val="single" w:color="auto" w:sz="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2016年2月2日至2016年2月4日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 w:hRule="atLeast"/>
        </w:trPr>
        <w:tc>
          <w:tcPr>
            <w:tcW w:w="2283" w:type="dxa"/>
            <w:tcBorders>
              <w:top w:val="single" w:color="auto" w:sz="2" w:space="0"/>
              <w:left w:val="single" w:color="auto" w:sz="12" w:space="0"/>
              <w:bottom w:val="single" w:color="auto" w:sz="12" w:space="0"/>
              <w:right w:val="single" w:color="auto"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补充其他流动资金</w:t>
            </w:r>
          </w:p>
        </w:tc>
        <w:tc>
          <w:tcPr>
            <w:tcW w:w="2268" w:type="dxa"/>
            <w:tcBorders>
              <w:top w:val="single" w:color="auto" w:sz="2" w:space="0"/>
              <w:left w:val="single" w:color="auto" w:sz="2" w:space="0"/>
              <w:bottom w:val="single" w:color="auto" w:sz="12" w:space="0"/>
              <w:right w:val="single" w:color="auto"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564.82</w:t>
            </w:r>
          </w:p>
        </w:tc>
        <w:tc>
          <w:tcPr>
            <w:tcW w:w="3969" w:type="dxa"/>
            <w:tcBorders>
              <w:top w:val="single" w:color="auto" w:sz="2" w:space="0"/>
              <w:left w:val="single" w:color="auto" w:sz="2"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2016年2月3日至2016年2月29日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智慧能源业务以公司承接、实施工程的方式实现，实施工程主要采用工程承包模式。该模式在工程实施中涉及到较多资金占用，要求公司必须储备足够的营运资金，以满足工程项目的承揽、规划设计、材料采购、工程施工及后续服务的需要。因此，充足的营运资金是公司开展智慧建筑和智慧能源业务的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2014年至2016年，申请人大力开拓智慧能源业务，承接了较多大型光伏新能源项目，智慧能源业务收入增长较快。2014年至2016年智慧能源业务实现收入情况如下：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单位：万元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45"/>
        <w:gridCol w:w="2282"/>
        <w:gridCol w:w="2257"/>
        <w:gridCol w:w="2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 w:hRule="atLeast"/>
          <w:jc w:val="center"/>
        </w:trPr>
        <w:tc>
          <w:tcPr>
            <w:tcW w:w="1745" w:type="dxa"/>
            <w:tcBorders>
              <w:top w:val="single" w:color="000000" w:sz="12" w:space="0"/>
              <w:left w:val="single" w:color="000000" w:sz="12" w:space="0"/>
              <w:bottom w:val="single" w:color="000000" w:sz="2" w:space="0"/>
              <w:right w:val="single" w:color="000000"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项目</w:t>
            </w:r>
          </w:p>
        </w:tc>
        <w:tc>
          <w:tcPr>
            <w:tcW w:w="2282" w:type="dxa"/>
            <w:tcBorders>
              <w:top w:val="single" w:color="000000" w:sz="12" w:space="0"/>
              <w:left w:val="single" w:color="000000" w:sz="2" w:space="0"/>
              <w:bottom w:val="single" w:color="000000" w:sz="2" w:space="0"/>
              <w:right w:val="single" w:color="000000"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2016年度</w:t>
            </w:r>
          </w:p>
        </w:tc>
        <w:tc>
          <w:tcPr>
            <w:tcW w:w="2257" w:type="dxa"/>
            <w:tcBorders>
              <w:top w:val="single" w:color="000000" w:sz="12" w:space="0"/>
              <w:left w:val="single" w:color="000000" w:sz="2" w:space="0"/>
              <w:bottom w:val="single" w:color="000000" w:sz="2" w:space="0"/>
              <w:right w:val="single" w:color="000000"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2015年度</w:t>
            </w:r>
          </w:p>
        </w:tc>
        <w:tc>
          <w:tcPr>
            <w:tcW w:w="2238" w:type="dxa"/>
            <w:tcBorders>
              <w:top w:val="single" w:color="000000" w:sz="12" w:space="0"/>
              <w:left w:val="single" w:color="000000" w:sz="2" w:space="0"/>
              <w:bottom w:val="single" w:color="000000" w:sz="2" w:space="0"/>
              <w:right w:val="single" w:color="000000"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745" w:type="dxa"/>
            <w:tcBorders>
              <w:top w:val="single" w:color="000000" w:sz="2" w:space="0"/>
              <w:left w:val="single" w:color="000000" w:sz="12" w:space="0"/>
              <w:bottom w:val="single" w:color="000000" w:sz="2" w:space="0"/>
              <w:right w:val="single" w:color="000000"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智慧能源</w:t>
            </w:r>
          </w:p>
        </w:tc>
        <w:tc>
          <w:tcPr>
            <w:tcW w:w="2282" w:type="dxa"/>
            <w:tcBorders>
              <w:top w:val="single" w:color="000000" w:sz="2" w:space="0"/>
              <w:left w:val="single" w:color="000000" w:sz="2" w:space="0"/>
              <w:bottom w:val="single" w:color="000000" w:sz="2" w:space="0"/>
              <w:right w:val="single" w:color="000000"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10,419.98 </w:t>
            </w:r>
          </w:p>
        </w:tc>
        <w:tc>
          <w:tcPr>
            <w:tcW w:w="2257" w:type="dxa"/>
            <w:tcBorders>
              <w:top w:val="single" w:color="000000" w:sz="2" w:space="0"/>
              <w:left w:val="single" w:color="000000" w:sz="2" w:space="0"/>
              <w:bottom w:val="single" w:color="000000" w:sz="2" w:space="0"/>
              <w:right w:val="single" w:color="000000"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6,195.06 </w:t>
            </w:r>
          </w:p>
        </w:tc>
        <w:tc>
          <w:tcPr>
            <w:tcW w:w="2238" w:type="dxa"/>
            <w:tcBorders>
              <w:top w:val="single" w:color="000000" w:sz="2" w:space="0"/>
              <w:left w:val="single" w:color="000000" w:sz="2" w:space="0"/>
              <w:bottom w:val="single" w:color="000000" w:sz="2" w:space="0"/>
              <w:right w:val="single" w:color="000000"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268.86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745" w:type="dxa"/>
            <w:tcBorders>
              <w:top w:val="single" w:color="000000" w:sz="2" w:space="0"/>
              <w:left w:val="single" w:color="000000" w:sz="12" w:space="0"/>
              <w:bottom w:val="single" w:color="000000" w:sz="12" w:space="0"/>
              <w:right w:val="single" w:color="000000"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合</w:t>
            </w:r>
            <w:r>
              <w:rPr>
                <w:rFonts w:hint="eastAsia" w:ascii="微软雅黑" w:hAnsi="微软雅黑" w:eastAsia="微软雅黑" w:cs="微软雅黑"/>
                <w:i w:val="0"/>
                <w:iCs w:val="0"/>
                <w:caps w:val="0"/>
                <w:color w:val="333333"/>
                <w:spacing w:val="0"/>
                <w:sz w:val="19"/>
                <w:szCs w:val="19"/>
                <w:u w:val="none"/>
                <w:bdr w:val="none" w:color="auto" w:sz="0" w:space="0"/>
              </w:rPr>
              <w:t> </w:t>
            </w:r>
            <w:r>
              <w:rPr>
                <w:rFonts w:hint="eastAsia" w:ascii="微软雅黑" w:hAnsi="微软雅黑" w:eastAsia="微软雅黑" w:cs="微软雅黑"/>
                <w:b w:val="0"/>
                <w:bCs w:val="0"/>
                <w:i w:val="0"/>
                <w:iCs w:val="0"/>
                <w:caps w:val="0"/>
                <w:color w:val="000000"/>
                <w:spacing w:val="0"/>
                <w:sz w:val="19"/>
                <w:szCs w:val="19"/>
                <w:u w:val="none"/>
                <w:bdr w:val="none" w:color="auto" w:sz="0" w:space="0"/>
              </w:rPr>
              <w:t>计</w:t>
            </w:r>
          </w:p>
        </w:tc>
        <w:tc>
          <w:tcPr>
            <w:tcW w:w="2282" w:type="dxa"/>
            <w:tcBorders>
              <w:top w:val="single" w:color="000000" w:sz="2" w:space="0"/>
              <w:left w:val="single" w:color="000000" w:sz="2" w:space="0"/>
              <w:bottom w:val="single" w:color="000000" w:sz="12" w:space="0"/>
              <w:right w:val="single" w:color="000000"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10,419.98 </w:t>
            </w:r>
          </w:p>
        </w:tc>
        <w:tc>
          <w:tcPr>
            <w:tcW w:w="2257" w:type="dxa"/>
            <w:tcBorders>
              <w:top w:val="single" w:color="000000" w:sz="2" w:space="0"/>
              <w:left w:val="single" w:color="000000" w:sz="2" w:space="0"/>
              <w:bottom w:val="single" w:color="000000" w:sz="12" w:space="0"/>
              <w:right w:val="single" w:color="000000" w:sz="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6,195.06 </w:t>
            </w:r>
          </w:p>
        </w:tc>
        <w:tc>
          <w:tcPr>
            <w:tcW w:w="2238" w:type="dxa"/>
            <w:tcBorders>
              <w:top w:val="single" w:color="000000" w:sz="2" w:space="0"/>
              <w:left w:val="single" w:color="000000" w:sz="2" w:space="0"/>
              <w:bottom w:val="single" w:color="000000" w:sz="12" w:space="0"/>
              <w:right w:val="single" w:color="000000"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268.86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2014年、2015年承接了较多大型光伏新能源项目，智慧能源业务收入由2014年268.86万元增长至2016年的10,419.98万元，而申请人自有资金积累难以满足快速发展的智慧能源业务资金需求，公司通过银行流动资金贷款用于采购开展智慧能源业务相关的设备、材料。公司前次募集资金实际用途中部分用于偿还银行贷款，亦是为了降低公司资产负债率，以便获取新的银行流动资金贷款用于开拓智慧能源业务。故前次募集资金实际使用情况中，部分用于偿还银行贷款是为了获取新的流动资金贷款用于开拓智慧能源业务，其他用于支付投标、履约保证金，支付材料采购款及施工费，补充其他流动资金均为了推动公司在智慧能源产业市场的拓展和项目的推进，符合前次股票发行方案中募集资金用途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申请人不存在改变募集资金用途的情形，公司募集资金存放及使用符合《挂牌公司股票发行常见问题解答（三）——募集资金管理、认购协议中特殊条款、特殊类型挂牌公司融资》的相关规定。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主办券商认为，申请人不存在改变募集资金用途的情形，公司募集资金存放及使用符合《挂牌公司股票发行常见问题解答（三）——募集资金管理、认购协议中特殊条款、特殊类型挂牌公司融资》的相关规定。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律师认为，申请人不存在改变募集资金用途的情形，公司募集资金存放及使用符合《挂牌公司股票发行常见问题解答（三）——募集资金管理、认购协议中特殊条款、特殊类型挂牌公司融资》的相关规定。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（四）关于本次募集资金专户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申请人尚未开立本次募集资金专户。请申请人按照《挂牌公司股票发行常见问题解答（三）募集资金管理、认购协议中特殊条款、特殊类型挂牌公司融资》的要求，开立本次发行的募集资金专项账户。请主办券商、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申请人已按照《挂牌公司股票发行常见问题解答（三）募集资金管理、认购协议中特殊条款、特殊类型挂牌公司融资》的要求，开立本次发行的募集资金专项账户。账户信息如下：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开户银行：兴业银行合肥政务区支行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账户号：499030100100132637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户名：安徽省安泰科技股份有限公司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jc w:val="both"/>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根据申请人提交的申请文件及对反馈意见的回复，我会认为，申请人信息披露基本符合《公司法》《证券法》《公众公司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安徽省安泰科技股份有限公司向特定对象发行股票的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7F594F2F"/>
    <w:rsid w:val="7F594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2022-09-06T01:15:00Z</dcterms:created>
  <dc:creator>程晋</dc:creator>
  <cp:lastModifiedBy>程晋</cp:lastModifiedBy>
  <dcterms:modified xsi:type="dcterms:W3CDTF">2022-09-06T01:22:11Z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928AE46C1994411A95C80161633E4392</vt:lpwstr>
  </property>
</Properties>
</file>