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u w:val="none"/>
          <w:bdr w:val="none" w:color="auto" w:sz="0" w:space="0"/>
          <w:shd w:val="clear" w:fill="FFFFFF"/>
        </w:rPr>
        <w:t>关于柳州银行股份有限公司申请向特定对象发行股票的审核意见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全称为“柳州银行股份有限公司”，住所地在广西壮族自治区柳州市中山西路12号鑫城大厦，成立于1997年5月27日，截至2018年12月7日，申请人全部股份已由广西北部湾股权登记结算有限责任公司集中登记托管。股东人数共计2,029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申请人法定代表人李耀清，申请人股权结构比较分散，无控股股东和实际控制人，注册资本为2,648,157,676.50元，总股本为2,648,157,676.50股。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主营业务为经营中国银行业监督管理委员会依照有关法律、行政法规和其他规定批准的业务，包括吸收公众存款；发放短期、中期和长期贷款；办理国内结算；办理票据承兑与贴现；发行金融债券；代理发行、代理兑付、承销政府债券；买卖政府债券、金融债券；从事同业拆借业务；提供信用证服务及担保；办理银行卡业务；办理外汇存款、外汇贷款、外汇汇款、外币兑换、国际结算、同业外汇拆借、外汇票据的承兑与贴现、外汇借款、外汇担保、自营及代客外汇买卖；代理收付款项及代理保险业务；提供保管箱服务；财务顾问、资信调查、咨询、见证业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12月18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相关规定，我们对申请人提交的申请文件进行了合规性审核，于2018年12月21日向申请人发出书面反馈，申请人、律师及会计师于2018年12月25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 （一）</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关于净利润及归属于母公司的净利润变动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材料显示，报告期内申请人净利润及归属于母公司的净利润波动较大。请申请人补充披露上述盈利指标波动较大的原因，说明构成营业收入、营业支出的主要项目金额是否真实、准确、完整。请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报告期内，申请人营业收入、营业支出具体情况如下表所示：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105" w:right="0" w:firstLine="36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单位：元</w:t>
      </w:r>
    </w:p>
    <w:tbl>
      <w:tblPr>
        <w:tblW w:w="8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96"/>
        <w:gridCol w:w="2035"/>
        <w:gridCol w:w="2078"/>
        <w:gridCol w:w="1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jc w:val="center"/>
        </w:trPr>
        <w:tc>
          <w:tcPr>
            <w:tcW w:w="2752"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bookmarkStart w:id="0" w:name="RANGE!A1:D14"/>
            <w:r>
              <w:rPr>
                <w:rFonts w:hint="eastAsia" w:ascii="微软雅黑" w:hAnsi="微软雅黑" w:eastAsia="微软雅黑" w:cs="微软雅黑"/>
                <w:b/>
                <w:bCs/>
                <w:i w:val="0"/>
                <w:iCs w:val="0"/>
                <w:caps w:val="0"/>
                <w:color w:val="333333"/>
                <w:spacing w:val="0"/>
                <w:sz w:val="19"/>
                <w:szCs w:val="19"/>
                <w:u w:val="none"/>
                <w:bdr w:val="none" w:color="auto" w:sz="0" w:space="0"/>
              </w:rPr>
              <w:t>项 目</w:t>
            </w:r>
            <w:bookmarkEnd w:id="0"/>
          </w:p>
        </w:tc>
        <w:tc>
          <w:tcPr>
            <w:tcW w:w="2039"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2018年1-6月</w:t>
            </w:r>
          </w:p>
        </w:tc>
        <w:tc>
          <w:tcPr>
            <w:tcW w:w="2081"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2017年度 </w:t>
            </w:r>
          </w:p>
        </w:tc>
        <w:tc>
          <w:tcPr>
            <w:tcW w:w="1890"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2016年度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一、营业收入</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1,352,822,858.23 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2,710,085,145.17 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2,720,107,000.76 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利息净收入</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1,297,377,958.03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2,573,353,683.48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2,619,432,793.41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手续费及佣金净收入</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46,808,829.47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86,127,311.23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64,780,991.23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投资收益</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561,167.19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13,863,357.78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公允价值变动收益</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197,183.61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964,008.76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-1,467,922.43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汇兑收益</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1,094,454.61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-14,574,570.99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17,347,628.23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其他业务收入</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1,572,432.51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3,478,017.20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6,150,152.54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其他收益</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5,772,000.00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60,175,528.30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二、营业支出</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1,148,229,523.41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2,593,953,154.51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1,748,509,950.66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税金及附加</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12,977,701.17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29,442,714.35 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75,957,810.57 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业务及管理费</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504,394,788.29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1,011,369,505.12 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1,096,774,772.34 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资产减值损失</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625,565,110.55 </w:t>
            </w:r>
          </w:p>
        </w:tc>
        <w:tc>
          <w:tcPr>
            <w:tcW w:w="208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1,548,150,076.77 </w:t>
            </w:r>
          </w:p>
        </w:tc>
        <w:tc>
          <w:tcPr>
            <w:tcW w:w="189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572,894,416.12 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2752"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其他业务成本</w:t>
            </w:r>
          </w:p>
        </w:tc>
        <w:tc>
          <w:tcPr>
            <w:tcW w:w="2039"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5,291,923.40 </w:t>
            </w:r>
          </w:p>
        </w:tc>
        <w:tc>
          <w:tcPr>
            <w:tcW w:w="208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4,990,858.27 </w:t>
            </w:r>
          </w:p>
        </w:tc>
        <w:tc>
          <w:tcPr>
            <w:tcW w:w="1890"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2,882,951.63 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申请人营业收入主要包括利息净收入、手续费净收入，营业支出主要包括业务及管理费用和资产减值损失。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申请人2017年度合并净利润为8,352.36万元，归属母公司股东净利润为7,583.20万元，较2016年合并净利润和归属母公司股东净利润出现较大波动，主要是由于当期计提的资产减值损失增加，导致营业支出增幅较大所致。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2017年度营业收入与2016年度基本持平，其中利息净收入比2017年略有下降，是由于受宏观经济情况、利率政策和行业竞争影响，部分信贷资产质量恶化，申请人调整了生息资产投放结构，增加低风险资产的投放比例，增加了揽存力度和加大同业负债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2016年、2017年申请人营业支出分别为174,851.00万元和259,395.32万元，2017年营业支出比2016年营业支出增加84,544.32万元，增长48.53%。营业支出中，资产减值损失增加97,525.57万元，增长170.23%。主要是当期不良贷款率上升，在年末处置了一批不良资产所致。资产减值损失的大幅增加是导致2017年营业支出增加、净利润下降的主要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2018年上半年合并净利润为7,735.88万元，归属母公司股东净利润为23,242.20万元。2018年上半年归属少数股东净利润-15,506.32万元，主要原因为申请人合并范围内的下属村镇银行2018年上半年资产状况恶化，导致资产减值损失计提较2017年大幅上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经核查，会计师认为申请人报告期内盈利指标波动符合实际经营情况。申请人营业收入、营业支出的主要项目金额真实、准确、完整。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2、</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（二）</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关于经营活动产生的现金流量净额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审核中关注到，报告期内申请人经营活动产生的现金流量净额分别为69.24亿元、-78.66亿元、-128.70亿元。</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请申请人补充披露经营活动产生的现金流量净额逐期下降的原因以及与净利润的差异原因。请会计师核查并发表意见。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主要从事存贷款业务，存贷款的增减会对经营活动现金流量产生较大影响；同时，在业务经营过程中，公司亦需综合考量自身流动性指标与资金余缺等有关情况而向央行借款或还款、进行同业存放或存放同业等，该等活动亦会对经营活动现金流量产生较大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报告期内，申请人经营活动产生的现金如下表所示：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单位：元</w:t>
      </w:r>
    </w:p>
    <w:tbl>
      <w:tblPr>
        <w:tblW w:w="9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22"/>
        <w:gridCol w:w="2153"/>
        <w:gridCol w:w="2036"/>
        <w:gridCol w:w="2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794"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项目</w:t>
            </w:r>
          </w:p>
        </w:tc>
        <w:tc>
          <w:tcPr>
            <w:tcW w:w="2003"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2018年1-6月</w:t>
            </w:r>
          </w:p>
        </w:tc>
        <w:tc>
          <w:tcPr>
            <w:tcW w:w="1985"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2017年度</w:t>
            </w:r>
          </w:p>
        </w:tc>
        <w:tc>
          <w:tcPr>
            <w:tcW w:w="1842"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经营活动产生的现金流量：</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客户存款和同业存放款项净增加额</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-7,250,387,368.97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10,901,268,591.28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3,015,812,692.24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向中央银行借款净增加额</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-2,536,000,000.00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1,882,440,545.56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814,000,000.00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向其他金融机构拆入资金净增加额</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1,061,581,000.00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-810,000,000.00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230,000,000.00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收取利息、手续费及佣金的现金</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1,495,551,222.39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3,523,722,007.09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2,442,387,844.78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收到其他与经营活动有关的现金</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4,106,386,358.08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1,148,642,543.66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9,398,260,713.39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2"/>
              <w:jc w:val="lef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经营活动现金流入小计</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-3,122,868,788.50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16,646,073,687.59 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15,900,461,250.41 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客户贷款及垫款净增加额</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8,096,902,307.07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8,292,475,868.34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4,425,981,368.71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存放中央银行和同业款项净增加额</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-717,537,614.62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1,073,373,884.70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-39,893,539.67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支付利息、手续费及佣金的现金</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1,523,410,902.84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3,054,960,124.99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2,834,738,325.49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支付给职工以及为职工支付的现金</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285,816,438.91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533,438,339.81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493,475,776.75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支付的各项税费</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316,350,263.30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474,053,857.48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851,219,509.80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支付其他与经营活动有关的现金</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242,076,110.05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11,084,000,561.81 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410,607,583.58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2"/>
              <w:jc w:val="lef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经营活动现金流出小计</w:t>
            </w:r>
          </w:p>
        </w:tc>
        <w:tc>
          <w:tcPr>
            <w:tcW w:w="200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9,747,018,407.55 </w:t>
            </w:r>
          </w:p>
        </w:tc>
        <w:tc>
          <w:tcPr>
            <w:tcW w:w="198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24,512,302,637.13 </w:t>
            </w:r>
          </w:p>
        </w:tc>
        <w:tc>
          <w:tcPr>
            <w:tcW w:w="18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8,976,129,024.66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3794"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2"/>
              <w:jc w:val="lef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经营活动产生的现金流量净额</w:t>
            </w:r>
          </w:p>
        </w:tc>
        <w:tc>
          <w:tcPr>
            <w:tcW w:w="200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-12,869,887,196.05 </w:t>
            </w:r>
          </w:p>
        </w:tc>
        <w:tc>
          <w:tcPr>
            <w:tcW w:w="1985"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-7,866,228,949.54 </w:t>
            </w:r>
          </w:p>
        </w:tc>
        <w:tc>
          <w:tcPr>
            <w:tcW w:w="1842"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 6,924,332,225.75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2017年经营活动的现金净流量-78.66亿元，比2016年下降147.90亿元，主要是经营活动现金流出大幅增加所致。2017年度经营活动现金流出为245.12亿元，比2016年增加155.36亿，增长173.08%。其中2017年客户贷款及垫款增加了38.66亿，比2016年增长87.36%；存放中央银行和同业款项增加11.13亿，比2016年增长2790.6%；支付其他与经营活动有关的现金增加106.73亿，比2016年增长2,599.41%，主要是大量的卖出回购金融资产业务到期回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贷款投入增加和大量卖出回购金融资产业务回购是导致2017年经营活动现金净流量下降的主要原因。贷款总额总体呈现较快增长，主要是申请人响应国务院号召，加强对现金流紧张的民营企业纾困力度，同时继续推动与中小微企业合作，解决其融资难、融资贵的问题。2017年末大量卖出回购金融资产业务回购减少，主要是受金融去杠杆、监管趋严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申请人2018年上半年经营活动产生的现金流量净额为-128.70亿元，较 2017年度的经营活动的现金净流量下降 50.04 亿元，主要原因为：吸收客户存款及同业存放净增加额较2017年度净增加额下降181.51亿元，主要是同业存放减少。原因是同业存放到期未续做，主要是积极贯彻落实流动性新规，积极运用线上的货币融资工具，减少线下的融资渠道，增强负债稳定性。向央行及其他金融机构借款下降44.18亿元，其主要是到期归还央行常备借贷便利25亿元以及压缩同业存放规模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上述现金流量的变动除受存款下降影响因素外，申请人为提升负债稳定性，针对资产负债结构变化状况及时调整同业负债融资策略，加大线上同业融资力度及中长期的同业存单发行，替代线下同业存放，对经营活动现金净流量下降造成一定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2018年1-6月、2017年度和2016年度，经营活动产生的现金流量净额分别为-128.70亿元、-78.66亿元和69.24亿元，净利润分别为7,735.88万元、8,352.36万元和72,606.89万元。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报告期内，申请人将净利润调节为经营活动现金流量的过程如下表所示：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单位：元</w:t>
      </w:r>
    </w:p>
    <w:tbl>
      <w:tblPr>
        <w:tblW w:w="8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16"/>
        <w:gridCol w:w="2299"/>
        <w:gridCol w:w="1867"/>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项</w:t>
            </w:r>
            <w:r>
              <w:rPr>
                <w:rFonts w:hint="eastAsia" w:ascii="微软雅黑" w:hAnsi="微软雅黑" w:eastAsia="微软雅黑" w:cs="微软雅黑"/>
                <w:i w:val="0"/>
                <w:iCs w:val="0"/>
                <w:caps w:val="0"/>
                <w:color w:val="333333"/>
                <w:spacing w:val="0"/>
                <w:sz w:val="19"/>
                <w:szCs w:val="19"/>
                <w:u w:val="none"/>
                <w:bdr w:val="none" w:color="auto" w:sz="0" w:space="0"/>
              </w:rPr>
              <w:t> </w:t>
            </w:r>
            <w:r>
              <w:rPr>
                <w:rFonts w:hint="eastAsia" w:ascii="微软雅黑" w:hAnsi="微软雅黑" w:eastAsia="微软雅黑" w:cs="微软雅黑"/>
                <w:b/>
                <w:bCs/>
                <w:i w:val="0"/>
                <w:iCs w:val="0"/>
                <w:caps w:val="0"/>
                <w:color w:val="000000"/>
                <w:spacing w:val="0"/>
                <w:sz w:val="19"/>
                <w:szCs w:val="19"/>
                <w:u w:val="none"/>
                <w:bdr w:val="none" w:color="auto" w:sz="0" w:space="0"/>
              </w:rPr>
              <w:t> 目</w:t>
            </w:r>
          </w:p>
        </w:tc>
        <w:tc>
          <w:tcPr>
            <w:tcW w:w="2299"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2018年1-6月发生额</w:t>
            </w:r>
          </w:p>
        </w:tc>
        <w:tc>
          <w:tcPr>
            <w:tcW w:w="1867"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2017年发生额</w:t>
            </w:r>
          </w:p>
        </w:tc>
        <w:tc>
          <w:tcPr>
            <w:tcW w:w="1868"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2016年发生额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净利润</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77,358,760.93</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83,523,588.46</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726,068,930.37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加：资产减值准备</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625,565,110.55</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1,548,150,076.77</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572,894,416.12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4"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固定资产折旧</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31,126,183.73</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61,423,729.20</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82,172,821.62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9"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无形资产摊销</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14,871,795.40</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23,084,882.73</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21,435,678.63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5"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长期待摊费用摊销</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19,131,426.68</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31,645,127.19</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38,168,633.20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3"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处置固定资产、无形资产和其他长期资产的损失（收益以“－”号填列）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-14,502.51</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-610,902.03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固定资产报废损失（收益以“－”号填列）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112,686.55</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46,304.73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公允价值变动损失（收益以“－”号填列）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-197,183.61</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-964,008.76</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1,467,922.43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投资损失（收益以“－”号填列）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-561,167.19</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-13,863,357.78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递延所得税资产减少（增加以“－”号填列）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-146,810,407.08</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-137,301,844.67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递延所得税负债增加（减少以“－”号填列）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-241,002.19</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-73,486,389.78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经营性应收项目的减少（增加以“－”号填列）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-7,599,540,535.29</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-9,131,042,623.25</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3,844,627,816.95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经营性应付项目的增加（减少以“－”号填列）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-4,844,514,384.37</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1,772,185,006.51</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3,584,231,893.20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利息收入中属于投资活动的部分（以“－”号填列）</w:t>
            </w:r>
          </w:p>
        </w:tc>
        <w:tc>
          <w:tcPr>
            <w:tcW w:w="229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-1,193,673,867.56</w:t>
            </w:r>
          </w:p>
        </w:tc>
        <w:tc>
          <w:tcPr>
            <w:tcW w:w="186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-2,106,734,838.48</w:t>
            </w:r>
          </w:p>
        </w:tc>
        <w:tc>
          <w:tcPr>
            <w:tcW w:w="186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-1,721,521,697.24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716"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经营活动产生的现金流量净额</w:t>
            </w:r>
          </w:p>
        </w:tc>
        <w:tc>
          <w:tcPr>
            <w:tcW w:w="2299"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-12,869,887,196.05</w:t>
            </w:r>
          </w:p>
        </w:tc>
        <w:tc>
          <w:tcPr>
            <w:tcW w:w="186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-7,866,228,949.54</w:t>
            </w:r>
          </w:p>
        </w:tc>
        <w:tc>
          <w:tcPr>
            <w:tcW w:w="1868"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6,924,330,225.75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2017年申请人经营活动产生的现金流量净额相较2016年波动较大，主要是由于经营性应收项目大幅增加所致。其中，客户贷款及垫款较2016年末增加82.92亿元，存放中央银行法定准备金增加11.99亿元。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2018年1-6月经营活动产生的现金流量净额相较2017年减少50.04亿，是由于经营性应付项目大幅减少所致和经营性应收增加所致。其中，经营性应付项目减少的原因为：客户对外支付款项导致吸收存款相较2017年末减少70.65亿；归还中央银行借款减少28.27亿元；经营性应收项目增加的原因为：发放贷款及垫款增加80.97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会计师认为，报告期内经营活动现金流量净额变动符合申请人实际经营情况。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（三）关于不良贷款率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申请材料显示，报告期内申请人不良贷款率分别为2.48%、2.65%、3.77%，逐期上升。</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请申请人：（1）结合贷款分类（不限于行业、地域、客户类别等）补充披露不良贷款率攀升的原因；（2）结合贷款的逾期情况、展期情况等分析申请人贷款减值准备计提是否充分；（3）补充披露不良贷款率增长对申请人持续盈利能力的影响。请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作为服务地方经济的城商行，信贷资金主要投向小微企业客户。2018年上半年末，申请人不良贷款主要集中于批发零售业、制造业、农林牧渔业，分别占不良贷款总额的59.49%、13.77%、12.92%，合计占不良贷款总额的86.18%。其中，农林牧渔业的新增不良贷款主要集中在村镇银行。2018年上半年末，申请人广西区内的不良贷款余额占不良贷款总额的84.66%，广西区外的不良贷款余额占不良贷款总额的15.34%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报告期内，不良贷款率上升的主要原因是：一是柳州市作为“桂中商埠”，集中了众多的机电产品、服装批发、钢材等批发零售商，受到电商冲击明显，出现经营困难、资金链紧张的相关中小企业较多，发展转型尚待时日；二是受宏观经济和广西区域经济增速放缓、柳州市主导产业转型加速、房地产密集调控等因素影响，当地部分行业及中小企业经营持续承压、资金链趋紧，部分企业偿债能力下降；三是县域经济基础薄弱，申请人发起的村镇银行作为当地“支农支小”主力军，承担了相应的风险；四是为积极贯彻落实中央关于打好防范化解重大风险攻坚战的精神，按照“时间换空间、资源变资产、增量化存量”的策略，申请人对可挽救的企业不压贷、不抽贷、不断贷，切实服务实体企业和小微企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报告期内，申请人已严格按照相关规定及监管要求，切实根据贷款逾期、展期情况对贷款进行了五级分类，并根据五级分类和监管要求充分地计提了减值准备，但是2018年6月末拨备覆盖率未达到监管要求的150%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报告期内，申请人不良贷款率逐期增长，但未超过监管指标。目前各项业务均正常开展，存贷款业务发展稳定，相关风险得到了充分披露，经过2018年下半年的经营，不良贷款率的情况将得到扭转。申请人暂未发现对其持续盈利能力产生不利影响的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经核查，会计师认为，申请人报告期不良贷款率上升与服务地方经济，扶持中小微企业的主导发展方向相关、与宏观经济和广西区域经济增速放缓、地方主导产业转型加速导致中小企业承压持续加大偿债能力下降等实际情况变化相符合；申请人已根据《企业会计准则》及银行业相关法律法规计提了减值准备；不良贷款率增长对公司持续盈利能力的无重大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（四）关于</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股权质押、股权冻结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申请材料显示，</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申请人未披露股权冻结的情况，也未详细披露股权质押情况。请申请人补充披露报告期内的股权冻结、质押情况，请律师进行核查并发表明确意见。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截至定向发行说明书出具之日，申请人股权质押情况如下：</w:t>
      </w:r>
    </w:p>
    <w:tbl>
      <w:tblPr>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0"/>
        <w:gridCol w:w="2865"/>
        <w:gridCol w:w="1144"/>
        <w:gridCol w:w="273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 w:hRule="atLeast"/>
        </w:trPr>
        <w:tc>
          <w:tcPr>
            <w:tcW w:w="42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序号</w:t>
            </w:r>
          </w:p>
        </w:tc>
        <w:tc>
          <w:tcPr>
            <w:tcW w:w="2976"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股东名称</w:t>
            </w:r>
          </w:p>
        </w:tc>
        <w:tc>
          <w:tcPr>
            <w:tcW w:w="993"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质押数额（万股）</w:t>
            </w:r>
          </w:p>
        </w:tc>
        <w:tc>
          <w:tcPr>
            <w:tcW w:w="283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质权人</w:t>
            </w:r>
          </w:p>
        </w:tc>
        <w:tc>
          <w:tcPr>
            <w:tcW w:w="1134"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质权登记日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 w:hRule="atLeast"/>
        </w:trPr>
        <w:tc>
          <w:tcPr>
            <w:tcW w:w="421"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29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柳州市房地产开发有限责任公司</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12,180.00 </w:t>
            </w:r>
          </w:p>
        </w:tc>
        <w:tc>
          <w:tcPr>
            <w:tcW w:w="2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桂林银行股份有限公司</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 w:hRule="atLeast"/>
        </w:trPr>
        <w:tc>
          <w:tcPr>
            <w:tcW w:w="421"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29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柳州市龙建投资发展有限责任公司</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11,200.00 </w:t>
            </w:r>
          </w:p>
        </w:tc>
        <w:tc>
          <w:tcPr>
            <w:tcW w:w="2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厦门国际银行股份有限公司珠海分行</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 w:hRule="atLeast"/>
        </w:trPr>
        <w:tc>
          <w:tcPr>
            <w:tcW w:w="421"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29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广西海生药业有限公司</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11,000.00 </w:t>
            </w:r>
          </w:p>
        </w:tc>
        <w:tc>
          <w:tcPr>
            <w:tcW w:w="2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中原信托有限公司</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2013.8.30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 w:hRule="atLeast"/>
        </w:trPr>
        <w:tc>
          <w:tcPr>
            <w:tcW w:w="421"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29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玉林市神洲商贸有限公司</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9,000.00 </w:t>
            </w:r>
          </w:p>
        </w:tc>
        <w:tc>
          <w:tcPr>
            <w:tcW w:w="2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中原信托有限公司</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2012.12.21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 w:hRule="atLeast"/>
        </w:trPr>
        <w:tc>
          <w:tcPr>
            <w:tcW w:w="421"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9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广西金伍岳能源集团有限公司</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5,600.00 </w:t>
            </w:r>
          </w:p>
        </w:tc>
        <w:tc>
          <w:tcPr>
            <w:tcW w:w="2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中国金谷国际信托有限公司</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 w:hRule="atLeast"/>
        </w:trPr>
        <w:tc>
          <w:tcPr>
            <w:tcW w:w="421"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29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广西柳州化工控股有限公司</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1,605.51</w:t>
            </w:r>
          </w:p>
        </w:tc>
        <w:tc>
          <w:tcPr>
            <w:tcW w:w="2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中信银行股份有限公司柳州分行</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2014.4.16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6" w:hRule="atLeast"/>
        </w:trPr>
        <w:tc>
          <w:tcPr>
            <w:tcW w:w="3397"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50,585.51</w:t>
            </w:r>
          </w:p>
        </w:tc>
        <w:tc>
          <w:tcPr>
            <w:tcW w:w="2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上述质押股份合计50,585.51万股，占申请人股份总额的19.10%。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截至定向发行说明书出具之日，申请人股权冻结情况如下：</w:t>
      </w:r>
    </w:p>
    <w:tbl>
      <w:tblPr>
        <w:tblW w:w="89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9"/>
        <w:gridCol w:w="1466"/>
        <w:gridCol w:w="1088"/>
        <w:gridCol w:w="4004"/>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序号</w:t>
            </w:r>
          </w:p>
        </w:tc>
        <w:tc>
          <w:tcPr>
            <w:tcW w:w="1490"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股东名称</w:t>
            </w:r>
          </w:p>
        </w:tc>
        <w:tc>
          <w:tcPr>
            <w:tcW w:w="948"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冻结数额（万股）</w:t>
            </w:r>
          </w:p>
        </w:tc>
        <w:tc>
          <w:tcPr>
            <w:tcW w:w="4077"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法院文书编号</w:t>
            </w:r>
          </w:p>
        </w:tc>
        <w:tc>
          <w:tcPr>
            <w:tcW w:w="2019"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执行法院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restart"/>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149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广西海生药业有限公司</w:t>
            </w:r>
          </w:p>
        </w:tc>
        <w:tc>
          <w:tcPr>
            <w:tcW w:w="948"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11,000.00</w:t>
            </w: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柳公（城）冻财字[2018]A100号《协助冻结财产通知书》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柳州市公安局城中分局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（2018）桂02财保4号《民事裁定书》、（2018）桂02执保75号《协助执行通知书》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柳州市中级人民法院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（2018）桂02财保6号《民事裁定书》、（2018）桂02执保77号《协助执行通知书》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柳州市中级人民法院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（2018）桂财保9号《民事裁定书》、(2018)桂执保48号《协助执行通知书》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广西壮族自治区高级人民法院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restart"/>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149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玉林市神洲商贸有限公司</w:t>
            </w:r>
          </w:p>
        </w:tc>
        <w:tc>
          <w:tcPr>
            <w:tcW w:w="948"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11,000.00</w:t>
            </w: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柳公（城）冻财字[2018] A101号《协助冻结财产通知书》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柳州市公安局城中分局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（2018）桂02财保13号《民事裁定书》、（2018）桂02执保84号《协助执行通知书》 </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柳州市中级人民法院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(2018)桂财保2号《民事裁定书》、(2018)桂执保41号《协助执行通知书》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广西壮族自治区高级人民法院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（2017）桂09民初57号之一《民事裁定书》、（2018）桂09执保39号《协助执行通知书》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广西壮族自治区玉林市中级人民法院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restart"/>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149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广西金伍岳能源集团有限公司</w:t>
            </w:r>
          </w:p>
        </w:tc>
        <w:tc>
          <w:tcPr>
            <w:tcW w:w="948"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5,600.00</w:t>
            </w: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（2016）桂民初26号之一《民事裁定书》、（2016）桂执保15号《协助执行通知书》 </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广西壮族自治区高级人民法院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（2017）桂01执42号《执行裁定书》、（2017）桂01执42号《协助执行通知书》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广西壮族自治区南宁市中级人民法院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（2017）桂01民初112、113、114、115号《民事裁定书》、（2017）桂01执保22、23、24、38号之一《协助执行通知书》 </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广西壮族自治区南宁市中级人民法院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（2017）桂01民初986号《民事裁定书》、（2017）桂01执保214号《协助执行通知书》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广西壮族自治区南宁市中级人民法院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（2017）桂01财保5、6、7、8、9、10号《民事裁定书》、（2017）桂01执保107-112号《协助执行通知书》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广西壮族自治区南宁市中级人民法院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409" w:type="dxa"/>
            <w:vMerge w:val="restart"/>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1490"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南宁市金马制药厂（有限公司）</w:t>
            </w:r>
          </w:p>
        </w:tc>
        <w:tc>
          <w:tcPr>
            <w:tcW w:w="948" w:type="dxa"/>
            <w:vMerge w:val="restart"/>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3,000.00</w:t>
            </w: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柳公（城）冻财字[2018] A102号《协助执行通知书》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柳州市公安局城中分局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409"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90"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48" w:type="dxa"/>
            <w:vMerge w:val="continue"/>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407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（2018）桂财保9号《民事裁定书》、(2018)桂执保47号《协助执行通知书》</w:t>
            </w:r>
          </w:p>
        </w:tc>
        <w:tc>
          <w:tcPr>
            <w:tcW w:w="201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广西壮族自治区高级人民法院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2" w:hRule="atLeast"/>
          <w:jc w:val="center"/>
        </w:trPr>
        <w:tc>
          <w:tcPr>
            <w:tcW w:w="1899" w:type="dxa"/>
            <w:gridSpan w:val="2"/>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948"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30,600.00</w:t>
            </w:r>
          </w:p>
        </w:tc>
        <w:tc>
          <w:tcPr>
            <w:tcW w:w="407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2019"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2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上述冻结股份合计30,600.00万股，占申请人股份总额的11.56%。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2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经核查，律师认为，申请人质押股份合计50,585.51万股，占申请人股份总额的19.10%。上述股份质押均履行了内部审议程序，并办理了工商登记手续，质押行为真实、合法、有效。质押股份占比较小、质押股份数较为分散，不会因为个别股东已质押的股份被处置而导致申请人股权结构发生重大变化。申请人冻结股份合计30,600.00万股，占股份总额的11.56%，冻结股份占股份总额较小，不影响股权结构的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我会认为，申请人信息披露基本符合《公司法》《证券法》《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表了明确的意见。据此，我会同意柳州银行股份有限公司向特定对象发行股票的申请。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70874C03"/>
    <w:rsid w:val="7087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2022-09-05T05:54:00Z</dcterms:created>
  <dc:creator>程晋</dc:creator>
  <cp:lastModifiedBy>程晋</cp:lastModifiedBy>
  <dcterms:modified xsi:type="dcterms:W3CDTF">2022-09-05T05:55:08Z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A2D0849FB9D643AAAB74B385D0A543CB</vt:lpwstr>
  </property>
</Properties>
</file>