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关于安徽长丰农村商业银行股份有限公司申请向特定对象发行股票的审核意见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left"/>
        <w:rPr>
          <w:rFonts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16"/>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全称为“安徽长丰农村商业银行股份有限公司”，住所地在安徽省合肥市长丰县水湖镇长寿路与杨公路交叉口，申请人系在长丰农村合作银行清产核资及资产评估的基础上，由包括长丰农村合作银行部分原股东在内的839名自然人及11家企业法人共同发起设立的股份公司。申请人全部股份在安徽省股权登记结算有限公司集中登记托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申请人法定代表人费广海，无控股股东、实际控制人，注册资本596,455,307元，总股本596,455,307股。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申请人主营业务为吸收存款、发放贷款、同业拆借、投资理财等中国银保监会批准的其他业务。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截至目前，申请人共有股东1089户，其中法人股东11户，合计持股比例55.07%；职工自然人股东319人，合计持股比例7.68%；社会自然人股东759人，合计持股比例37.25%。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12月14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于2018年12月26日向申请人发出书面反馈，申请人、律师及会计师于2019年1月16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（一）关于最近一期资产及负债的变动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16"/>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申请材料显示，申请人未针对最近一期资产及负债较上一年的变动情况进行分析。要求</w:t>
      </w: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申请人补充披露最近一期资产及负债增长的原因。要求会计师核查并发表意见。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16"/>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1、2018年9月末申请人资产总额为1,763,601.65万元，较2017年末增长249,297.05万元，增幅16.46%。资产总额增长主要系现金及存放中央银行款项、应收款项类金融资产、发放贷款和垫款、持有至到期投资增长所致。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（1）2018年9月末现金及存放中央银行款项余额为202,964.93万元，较2017年末增加26,106.61万元，增长的原因主要是2018年9月末吸收存款余额较上年末增加，法定存款准备金增加所致。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（2）2018年9月末应收款项类金融资产余额为30,000万元，较2017年末增加30,000万元，增长的原因主要是申请人投资 3年期限“华夏盛世盈团体年金”保险30,000万元，原在“持有至到期投资”科目核算。2018年根据会计核算要求，将其调整在“应收款项类投资”科目核算。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（3）2018年9月末发放贷款和垫款余额为918,383.88万元，较2017</w:t>
      </w:r>
      <w:r>
        <w:rPr>
          <w:rFonts w:hint="eastAsia" w:ascii="微软雅黑" w:hAnsi="微软雅黑" w:eastAsia="微软雅黑" w:cs="微软雅黑"/>
          <w:i w:val="0"/>
          <w:iCs w:val="0"/>
          <w:caps w:val="0"/>
          <w:color w:val="000000"/>
          <w:spacing w:val="0"/>
          <w:sz w:val="19"/>
          <w:szCs w:val="19"/>
          <w:u w:val="none"/>
          <w:bdr w:val="none" w:color="auto" w:sz="0" w:space="0"/>
          <w:shd w:val="clear" w:fill="FFFFFF"/>
        </w:rPr>
        <w:t>年末增加</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189,938.64万元，增长的原因主要是：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6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①新考核办法导向作用明显，支农支小意识显著增强。新增贷款主要以1,000万元以下小微企业为主，其中涉农贷款余额36.64亿元，较年初增加2.96亿元；小微企业贷款余额 79.39亿元，较去年同期增加17.06亿元，增速为27.37%，贷款户数和申贷获得率分别为6,502户、97.32 %。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②零售贷款业务增长较快，易贷卡贷款余额12.81亿元，较年初增加4.3亿元；消费贷余额9,651.02万元，较年初增加426.02万元。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（4）2018年9月末持有至到期投资余额为476,638.07万元，较2017年末增加62,074.19万元，增长的原因主要是同业存单投资增加。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2、2018年9月末，申请人负债总额较2017年末增长240,462.49万元，增幅16.89%，主要系卖出回购金融资产款、吸收存款增长所致。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2018年9月末，申请人卖出回购金融资产款余额39,500.00万元，较2017年末增加39,500.00万元，增长的原因主要是卖出回购金融资产为线上质押式回购正回购业务，主要系结合头寸需求作为流动性管理，较2017年末增长的原因主要是补充清算头寸而融入的线上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（2）2018年9月末，吸收存款余额1,593,882.94万元，较2016年末增加201,840.35万元，增长的原因主要是申请人采取多种措施加大资金组织力度，促进存款规模有所增加。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会计师认为，截止2018年9月30日，申请人资产余额及负债余额较上年末的变动未发现异常情况。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88" w:lineRule="atLeast"/>
        <w:ind w:left="0" w:right="0" w:firstLine="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（二）净息差、净利差高于同行业可比银行的原因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报告期内申请人的净息差及净利差均高于可比银行平均值。要求申请人结合生息资产余额、各类生息资产收益率、付息负债余额、各类付息负债成本率等情况补充披露净息差及净利差高于可比银行的原因。要求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报告期内，申请人各类生息资产收益率与各类付息负债成本率明细情况如下：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单位：万元、%</w:t>
      </w:r>
    </w:p>
    <w:tbl>
      <w:tblPr>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55"/>
        <w:gridCol w:w="1434"/>
        <w:gridCol w:w="1145"/>
        <w:gridCol w:w="1108"/>
        <w:gridCol w:w="1434"/>
        <w:gridCol w:w="1145"/>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827" w:type="dxa"/>
            <w:vMerge w:val="restart"/>
            <w:tcBorders>
              <w:top w:val="single" w:color="auto" w:sz="12"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r>
              <w:rPr>
                <w:rFonts w:hint="eastAsia" w:ascii="微软雅黑" w:hAnsi="微软雅黑" w:eastAsia="微软雅黑" w:cs="微软雅黑"/>
                <w:sz w:val="19"/>
                <w:szCs w:val="19"/>
                <w:u w:val="none"/>
                <w:bdr w:val="none" w:color="auto" w:sz="0" w:space="0"/>
              </w:rPr>
              <w:t> </w:t>
            </w:r>
          </w:p>
        </w:tc>
        <w:tc>
          <w:tcPr>
            <w:tcW w:w="3651" w:type="dxa"/>
            <w:gridSpan w:val="3"/>
            <w:tcBorders>
              <w:top w:val="single" w:color="auto" w:sz="12"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2018年1-9月</w:t>
            </w:r>
          </w:p>
        </w:tc>
        <w:tc>
          <w:tcPr>
            <w:tcW w:w="3646" w:type="dxa"/>
            <w:gridSpan w:val="3"/>
            <w:tcBorders>
              <w:top w:val="single" w:color="auto" w:sz="12"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2017年度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1827" w:type="dxa"/>
            <w:vMerge w:val="continue"/>
            <w:tcBorders>
              <w:top w:val="single" w:color="auto" w:sz="12" w:space="0"/>
              <w:left w:val="single" w:color="auto" w:sz="12" w:space="0"/>
              <w:bottom w:val="single" w:color="auto" w:sz="4" w:space="0"/>
              <w:right w:val="single" w:color="auto" w:sz="4" w:space="0"/>
            </w:tcBorders>
            <w:shd w:val="clear"/>
            <w:tcMar>
              <w:left w:w="108" w:type="dxa"/>
              <w:right w:w="108" w:type="dxa"/>
            </w:tcMar>
            <w:vAlign w:val="center"/>
          </w:tcPr>
          <w:p>
            <w:pPr>
              <w:rPr>
                <w:rFonts w:hint="eastAsia" w:ascii="宋体"/>
                <w:sz w:val="24"/>
                <w:szCs w:val="24"/>
                <w:u w:val="none"/>
              </w:rPr>
            </w:pP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平均余额</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利息收入/支出</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平均收益率/成本率</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平均余额</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利息收入/支出</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平均收益率/成本率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9124" w:type="dxa"/>
            <w:gridSpan w:val="7"/>
            <w:tcBorders>
              <w:top w:val="single" w:color="auto" w:sz="4" w:space="0"/>
              <w:left w:val="single" w:color="auto" w:sz="12"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生息资产明细：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发放贷款及垫款</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849,571.07</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39,989.33</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6.28</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709,182.66</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44,822.73</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债券投资</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241,345.66</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4,768.14</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2.63</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238,232.91</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9,945.35</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存放中央银行</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161,814.06</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2,213.21</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1.82</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141,256.52</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2,475.92</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存拆放同业</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284,680.64</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11,936.44</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5.59</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195,941.23</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11,771.93</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合计</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1,537,411.43</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58,907.12</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5.11</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1,284,613.32</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69,015.93</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9124" w:type="dxa"/>
            <w:gridSpan w:val="7"/>
            <w:tcBorders>
              <w:top w:val="single" w:color="auto" w:sz="4" w:space="0"/>
              <w:left w:val="single" w:color="auto" w:sz="12"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付息负债明细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吸收存款</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1,480,646.97</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15,563.57</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1.40</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1,235,098.11</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16,631.22</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同业存拆放</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19,797.00</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411.44</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2.77</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27,519.00</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2,188.23</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合计</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1,500,443.97</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15,975.01</w:t>
            </w:r>
          </w:p>
        </w:tc>
        <w:tc>
          <w:tcPr>
            <w:tcW w:w="113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1.42</w:t>
            </w:r>
          </w:p>
        </w:tc>
        <w:tc>
          <w:tcPr>
            <w:tcW w:w="13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1,262,617.11</w:t>
            </w:r>
          </w:p>
        </w:tc>
        <w:tc>
          <w:tcPr>
            <w:tcW w:w="113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18,819.45</w:t>
            </w:r>
          </w:p>
        </w:tc>
        <w:tc>
          <w:tcPr>
            <w:tcW w:w="1130"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利息净收入</w:t>
            </w:r>
          </w:p>
        </w:tc>
        <w:tc>
          <w:tcPr>
            <w:tcW w:w="3651" w:type="dxa"/>
            <w:gridSpan w:val="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42,932.11</w:t>
            </w:r>
          </w:p>
        </w:tc>
        <w:tc>
          <w:tcPr>
            <w:tcW w:w="3646" w:type="dxa"/>
            <w:gridSpan w:val="3"/>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50,196.48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净利差</w:t>
            </w:r>
          </w:p>
        </w:tc>
        <w:tc>
          <w:tcPr>
            <w:tcW w:w="3651" w:type="dxa"/>
            <w:gridSpan w:val="3"/>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3.69</w:t>
            </w:r>
          </w:p>
        </w:tc>
        <w:tc>
          <w:tcPr>
            <w:tcW w:w="3646" w:type="dxa"/>
            <w:gridSpan w:val="3"/>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827" w:type="dxa"/>
            <w:tcBorders>
              <w:top w:val="single" w:color="auto" w:sz="4" w:space="0"/>
              <w:left w:val="single" w:color="auto" w:sz="12" w:space="0"/>
              <w:bottom w:val="single" w:color="auto" w:sz="12"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净息差</w:t>
            </w:r>
          </w:p>
        </w:tc>
        <w:tc>
          <w:tcPr>
            <w:tcW w:w="3651" w:type="dxa"/>
            <w:gridSpan w:val="3"/>
            <w:tcBorders>
              <w:top w:val="single" w:color="auto" w:sz="4" w:space="0"/>
              <w:left w:val="single" w:color="auto" w:sz="4" w:space="0"/>
              <w:bottom w:val="single" w:color="auto" w:sz="12"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3.72</w:t>
            </w:r>
          </w:p>
        </w:tc>
        <w:tc>
          <w:tcPr>
            <w:tcW w:w="3646" w:type="dxa"/>
            <w:gridSpan w:val="3"/>
            <w:tcBorders>
              <w:top w:val="single" w:color="auto" w:sz="4" w:space="0"/>
              <w:left w:val="single" w:color="auto" w:sz="4"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3.91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（续上表）</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40"/>
        <w:gridCol w:w="2419"/>
        <w:gridCol w:w="1982"/>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2140" w:type="dxa"/>
            <w:vMerge w:val="restart"/>
            <w:tcBorders>
              <w:top w:val="single" w:color="auto" w:sz="12"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r>
              <w:rPr>
                <w:rFonts w:hint="eastAsia" w:ascii="微软雅黑" w:hAnsi="微软雅黑" w:eastAsia="微软雅黑" w:cs="微软雅黑"/>
                <w:sz w:val="19"/>
                <w:szCs w:val="19"/>
                <w:u w:val="none"/>
                <w:bdr w:val="none" w:color="auto" w:sz="0" w:space="0"/>
              </w:rPr>
              <w:t> </w:t>
            </w:r>
          </w:p>
        </w:tc>
        <w:tc>
          <w:tcPr>
            <w:tcW w:w="6382" w:type="dxa"/>
            <w:gridSpan w:val="3"/>
            <w:tcBorders>
              <w:top w:val="single" w:color="auto" w:sz="12"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2140" w:type="dxa"/>
            <w:vMerge w:val="continue"/>
            <w:tcBorders>
              <w:top w:val="single" w:color="auto" w:sz="12" w:space="0"/>
              <w:left w:val="single" w:color="auto" w:sz="12" w:space="0"/>
              <w:bottom w:val="single" w:color="auto" w:sz="4" w:space="0"/>
              <w:right w:val="single" w:color="auto" w:sz="4" w:space="0"/>
            </w:tcBorders>
            <w:shd w:val="clear"/>
            <w:tcMar>
              <w:left w:w="108" w:type="dxa"/>
              <w:right w:w="108" w:type="dxa"/>
            </w:tcMar>
            <w:vAlign w:val="center"/>
          </w:tcPr>
          <w:p>
            <w:pPr>
              <w:rPr>
                <w:rFonts w:hint="eastAsia" w:ascii="宋体"/>
                <w:sz w:val="24"/>
                <w:szCs w:val="24"/>
                <w:u w:val="none"/>
              </w:rPr>
            </w:pP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平均余额</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利息收入/支出</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平均收益率/成本率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8522" w:type="dxa"/>
            <w:gridSpan w:val="4"/>
            <w:tcBorders>
              <w:top w:val="single" w:color="auto" w:sz="4" w:space="0"/>
              <w:left w:val="single" w:color="auto" w:sz="12"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生息资产明细：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发放贷款及垫款</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605,821.49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38,198.28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债券投资</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146,618.83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3,866.71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存放中央银行</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132,815.54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1,810.99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存拆放同业</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215,522.71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12,285.69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合计</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　 1,100,778.57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　 56,161.67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8522" w:type="dxa"/>
            <w:gridSpan w:val="4"/>
            <w:tcBorders>
              <w:top w:val="single" w:color="auto" w:sz="4" w:space="0"/>
              <w:left w:val="single" w:color="auto" w:sz="12"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付息负债明细：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吸收存款</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982,526.48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14,867.66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同业存拆放</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29,600.78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　　 2,596.53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合计</w:t>
            </w:r>
          </w:p>
        </w:tc>
        <w:tc>
          <w:tcPr>
            <w:tcW w:w="2419"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　 1,012,127.26 </w:t>
            </w:r>
          </w:p>
        </w:tc>
        <w:tc>
          <w:tcPr>
            <w:tcW w:w="1982"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　 17,464.19 </w:t>
            </w:r>
          </w:p>
        </w:tc>
        <w:tc>
          <w:tcPr>
            <w:tcW w:w="1981" w:type="dxa"/>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利息净收入</w:t>
            </w:r>
          </w:p>
        </w:tc>
        <w:tc>
          <w:tcPr>
            <w:tcW w:w="6382" w:type="dxa"/>
            <w:gridSpan w:val="3"/>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38,697.48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4"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净利差</w:t>
            </w:r>
          </w:p>
        </w:tc>
        <w:tc>
          <w:tcPr>
            <w:tcW w:w="6382" w:type="dxa"/>
            <w:gridSpan w:val="3"/>
            <w:tcBorders>
              <w:top w:val="single" w:color="auto" w:sz="4" w:space="0"/>
              <w:left w:val="single" w:color="auto" w:sz="4" w:space="0"/>
              <w:bottom w:val="single" w:color="auto" w:sz="4"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2140" w:type="dxa"/>
            <w:tcBorders>
              <w:top w:val="single" w:color="auto" w:sz="4" w:space="0"/>
              <w:left w:val="single" w:color="auto" w:sz="12" w:space="0"/>
              <w:bottom w:val="single" w:color="auto" w:sz="12" w:space="0"/>
              <w:right w:val="single" w:color="auto" w:sz="4"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净息差</w:t>
            </w:r>
          </w:p>
        </w:tc>
        <w:tc>
          <w:tcPr>
            <w:tcW w:w="6382" w:type="dxa"/>
            <w:gridSpan w:val="3"/>
            <w:tcBorders>
              <w:top w:val="single" w:color="auto" w:sz="4" w:space="0"/>
              <w:left w:val="single" w:color="auto" w:sz="4"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3.52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1、生息资产平均收益率分析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报告期内，申请人及同行业主要生息资产占资产总额的比例如下：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47"/>
        <w:gridCol w:w="851"/>
        <w:gridCol w:w="1021"/>
        <w:gridCol w:w="1007"/>
        <w:gridCol w:w="1009"/>
        <w:gridCol w:w="836"/>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2" w:hRule="atLeast"/>
          <w:jc w:val="center"/>
        </w:trPr>
        <w:tc>
          <w:tcPr>
            <w:tcW w:w="2647" w:type="dxa"/>
            <w:vMerge w:val="restart"/>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p>
        </w:tc>
        <w:tc>
          <w:tcPr>
            <w:tcW w:w="1872"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2018年9月30日</w:t>
            </w:r>
          </w:p>
        </w:tc>
        <w:tc>
          <w:tcPr>
            <w:tcW w:w="2016"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2017年12月31日</w:t>
            </w:r>
          </w:p>
        </w:tc>
        <w:tc>
          <w:tcPr>
            <w:tcW w:w="1987" w:type="dxa"/>
            <w:gridSpan w:val="2"/>
            <w:tcBorders>
              <w:top w:val="single" w:color="auto" w:sz="12"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vMerge w:val="continue"/>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rPr>
                <w:rFonts w:hint="eastAsia" w:ascii="宋体"/>
                <w:sz w:val="24"/>
                <w:szCs w:val="24"/>
                <w:u w:val="none"/>
              </w:rPr>
            </w:pP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r>
              <w:rPr>
                <w:rFonts w:hint="eastAsia" w:ascii="微软雅黑" w:hAnsi="微软雅黑" w:eastAsia="微软雅黑" w:cs="微软雅黑"/>
                <w:color w:val="000000"/>
                <w:sz w:val="19"/>
                <w:szCs w:val="19"/>
                <w:u w:val="none"/>
                <w:bdr w:val="none" w:color="auto" w:sz="0" w:space="0"/>
                <w:vertAlign w:val="superscript"/>
              </w:rPr>
              <w:t>注</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现金及存放中央银行款项</w:t>
            </w: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11.51</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10.26</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11.68</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10.52</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12.45</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存放同业款项</w:t>
            </w: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4.70</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2.04</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8.75</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1.23</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13.01</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应收款项类金融资产</w:t>
            </w: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1.70</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5.50</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0.00</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5.72</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0.00</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发放贷款和垫款</w:t>
            </w: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52.07</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51.25</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48.10</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48.25</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51.31</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可供出售金融资产</w:t>
            </w:r>
          </w:p>
        </w:tc>
        <w:tc>
          <w:tcPr>
            <w:tcW w:w="85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0.17</w:t>
            </w:r>
          </w:p>
        </w:tc>
        <w:tc>
          <w:tcPr>
            <w:tcW w:w="102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12.17</w:t>
            </w:r>
          </w:p>
        </w:tc>
        <w:tc>
          <w:tcPr>
            <w:tcW w:w="100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0.20</w:t>
            </w:r>
          </w:p>
        </w:tc>
        <w:tc>
          <w:tcPr>
            <w:tcW w:w="1009"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18.83</w:t>
            </w:r>
          </w:p>
        </w:tc>
        <w:tc>
          <w:tcPr>
            <w:tcW w:w="83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0.24</w:t>
            </w:r>
          </w:p>
        </w:tc>
        <w:tc>
          <w:tcPr>
            <w:tcW w:w="1151"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647" w:type="dxa"/>
            <w:tcBorders>
              <w:top w:val="single" w:color="auto" w:sz="6" w:space="0"/>
              <w:left w:val="single" w:color="auto" w:sz="12"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持有至到期投资</w:t>
            </w:r>
          </w:p>
        </w:tc>
        <w:tc>
          <w:tcPr>
            <w:tcW w:w="851"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27.03</w:t>
            </w:r>
          </w:p>
        </w:tc>
        <w:tc>
          <w:tcPr>
            <w:tcW w:w="1021"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14.06</w:t>
            </w:r>
          </w:p>
        </w:tc>
        <w:tc>
          <w:tcPr>
            <w:tcW w:w="1007"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27.38</w:t>
            </w:r>
          </w:p>
        </w:tc>
        <w:tc>
          <w:tcPr>
            <w:tcW w:w="1009"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10.23</w:t>
            </w:r>
          </w:p>
        </w:tc>
        <w:tc>
          <w:tcPr>
            <w:tcW w:w="836"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20.79</w:t>
            </w:r>
          </w:p>
        </w:tc>
        <w:tc>
          <w:tcPr>
            <w:tcW w:w="1151" w:type="dxa"/>
            <w:tcBorders>
              <w:top w:val="single" w:color="auto" w:sz="6" w:space="0"/>
              <w:left w:val="single" w:color="auto" w:sz="6"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36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注：江阴银行和张家港行2018年三季度报告只披露了主要会计报表项目，故截止2018年9月30日同行业主要生息资产占资产总额的比例取自无锡银行和常熟银行披露的财务报表数据；数据来源于巨潮资讯网。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申请人及同行业主要生息资产平均收益率如下：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32"/>
        <w:gridCol w:w="1105"/>
        <w:gridCol w:w="1106"/>
        <w:gridCol w:w="916"/>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2" w:hRule="atLeast"/>
          <w:jc w:val="center"/>
        </w:trPr>
        <w:tc>
          <w:tcPr>
            <w:tcW w:w="4132" w:type="dxa"/>
            <w:vMerge w:val="restart"/>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p>
        </w:tc>
        <w:tc>
          <w:tcPr>
            <w:tcW w:w="2211"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2017年12月31日</w:t>
            </w:r>
          </w:p>
        </w:tc>
        <w:tc>
          <w:tcPr>
            <w:tcW w:w="2179" w:type="dxa"/>
            <w:gridSpan w:val="2"/>
            <w:tcBorders>
              <w:top w:val="single" w:color="auto" w:sz="12"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vMerge w:val="continue"/>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rPr>
                <w:rFonts w:hint="eastAsia" w:ascii="宋体"/>
                <w:sz w:val="24"/>
                <w:szCs w:val="24"/>
                <w:u w:val="none"/>
              </w:rPr>
            </w:pPr>
          </w:p>
        </w:tc>
        <w:tc>
          <w:tcPr>
            <w:tcW w:w="11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10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c>
          <w:tcPr>
            <w:tcW w:w="91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263"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现金及存放中央银行款项</w:t>
            </w:r>
          </w:p>
        </w:tc>
        <w:tc>
          <w:tcPr>
            <w:tcW w:w="11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1.75</w:t>
            </w:r>
          </w:p>
        </w:tc>
        <w:tc>
          <w:tcPr>
            <w:tcW w:w="110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1.02</w:t>
            </w:r>
          </w:p>
        </w:tc>
        <w:tc>
          <w:tcPr>
            <w:tcW w:w="91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1.36</w:t>
            </w:r>
          </w:p>
        </w:tc>
        <w:tc>
          <w:tcPr>
            <w:tcW w:w="1263"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存放同业款项</w:t>
            </w:r>
          </w:p>
        </w:tc>
        <w:tc>
          <w:tcPr>
            <w:tcW w:w="11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6.01</w:t>
            </w:r>
          </w:p>
        </w:tc>
        <w:tc>
          <w:tcPr>
            <w:tcW w:w="110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3.38</w:t>
            </w:r>
          </w:p>
        </w:tc>
        <w:tc>
          <w:tcPr>
            <w:tcW w:w="91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5.70</w:t>
            </w:r>
          </w:p>
        </w:tc>
        <w:tc>
          <w:tcPr>
            <w:tcW w:w="1263"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发放贷款和垫款</w:t>
            </w:r>
          </w:p>
        </w:tc>
        <w:tc>
          <w:tcPr>
            <w:tcW w:w="11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6.32</w:t>
            </w:r>
          </w:p>
        </w:tc>
        <w:tc>
          <w:tcPr>
            <w:tcW w:w="110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5.58</w:t>
            </w:r>
          </w:p>
        </w:tc>
        <w:tc>
          <w:tcPr>
            <w:tcW w:w="91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6.31</w:t>
            </w:r>
          </w:p>
        </w:tc>
        <w:tc>
          <w:tcPr>
            <w:tcW w:w="1263"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tcBorders>
              <w:top w:val="single" w:color="auto" w:sz="6" w:space="0"/>
              <w:left w:val="single" w:color="auto" w:sz="12"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可供出售金融资产+持有至到期投资</w:t>
            </w:r>
          </w:p>
        </w:tc>
        <w:tc>
          <w:tcPr>
            <w:tcW w:w="1105"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4.17</w:t>
            </w:r>
          </w:p>
        </w:tc>
        <w:tc>
          <w:tcPr>
            <w:tcW w:w="1106"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3.07</w:t>
            </w:r>
          </w:p>
        </w:tc>
        <w:tc>
          <w:tcPr>
            <w:tcW w:w="916"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2.64</w:t>
            </w:r>
          </w:p>
        </w:tc>
        <w:tc>
          <w:tcPr>
            <w:tcW w:w="1263" w:type="dxa"/>
            <w:tcBorders>
              <w:top w:val="single" w:color="auto" w:sz="6" w:space="0"/>
              <w:left w:val="single" w:color="auto" w:sz="6"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3.18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合各项资产占资产总额的比例和各项资产的平均收益率情况，申请人的生息资产收益率与同行业的差异主要受发放贷款和垫款的平均收益率影响。2017年末、2016年末，申请人发放贷款和垫款的平均收益率分别为6.32%、6.31%，分别高于同行业0.74个百分点、0.62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申请人与同行业发放贷款和垫款的平均收益率差异的主要原因是：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（1）申请人贷款客户主要来源于合肥市长丰县，贷款客户规模较上市农村商业银行的贷款客户规模较小，经营风险也略高，因此获得了较高的风险溢价；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（2）申请人针对目前经济发展形式加快业务转型，大额贷款逐步收回，主要以零售业及消费贷为主，零售业相对于大型企业贷款相比金额小、风险低、利率高，所以贷款收益率均为6个百分点以上。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2、负债平均成本率分析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报告期内，申请人及同行业主要付息负债占负债总额的比例如下：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11"/>
        <w:gridCol w:w="827"/>
        <w:gridCol w:w="981"/>
        <w:gridCol w:w="991"/>
        <w:gridCol w:w="980"/>
        <w:gridCol w:w="813"/>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12" w:hRule="atLeast"/>
          <w:jc w:val="center"/>
        </w:trPr>
        <w:tc>
          <w:tcPr>
            <w:tcW w:w="2811" w:type="dxa"/>
            <w:vMerge w:val="restart"/>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p>
        </w:tc>
        <w:tc>
          <w:tcPr>
            <w:tcW w:w="1808"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2018年9月30日</w:t>
            </w:r>
          </w:p>
        </w:tc>
        <w:tc>
          <w:tcPr>
            <w:tcW w:w="1971"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2017年12月31日</w:t>
            </w:r>
          </w:p>
        </w:tc>
        <w:tc>
          <w:tcPr>
            <w:tcW w:w="1932" w:type="dxa"/>
            <w:gridSpan w:val="2"/>
            <w:tcBorders>
              <w:top w:val="single" w:color="auto" w:sz="12"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vMerge w:val="continue"/>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rPr>
                <w:rFonts w:hint="eastAsia" w:ascii="宋体"/>
                <w:sz w:val="24"/>
                <w:szCs w:val="24"/>
                <w:u w:val="none"/>
              </w:rPr>
            </w:pPr>
          </w:p>
        </w:tc>
        <w:tc>
          <w:tcPr>
            <w:tcW w:w="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98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r>
              <w:rPr>
                <w:rFonts w:hint="eastAsia" w:ascii="微软雅黑" w:hAnsi="微软雅黑" w:eastAsia="微软雅黑" w:cs="微软雅黑"/>
                <w:color w:val="000000"/>
                <w:sz w:val="19"/>
                <w:szCs w:val="19"/>
                <w:u w:val="none"/>
                <w:bdr w:val="none" w:color="auto" w:sz="0" w:space="0"/>
                <w:vertAlign w:val="superscript"/>
              </w:rPr>
              <w:t>注</w:t>
            </w:r>
          </w:p>
        </w:tc>
        <w:tc>
          <w:tcPr>
            <w:tcW w:w="99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9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c>
          <w:tcPr>
            <w:tcW w:w="813"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119"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向中央银行借款</w:t>
            </w:r>
          </w:p>
        </w:tc>
        <w:tc>
          <w:tcPr>
            <w:tcW w:w="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98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1.02</w:t>
            </w:r>
          </w:p>
        </w:tc>
        <w:tc>
          <w:tcPr>
            <w:tcW w:w="99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9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1.82</w:t>
            </w:r>
          </w:p>
        </w:tc>
        <w:tc>
          <w:tcPr>
            <w:tcW w:w="813"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1119"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同业及其他金融机构存放款</w:t>
            </w:r>
          </w:p>
        </w:tc>
        <w:tc>
          <w:tcPr>
            <w:tcW w:w="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0.01</w:t>
            </w:r>
          </w:p>
        </w:tc>
        <w:tc>
          <w:tcPr>
            <w:tcW w:w="98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1.26</w:t>
            </w:r>
          </w:p>
        </w:tc>
        <w:tc>
          <w:tcPr>
            <w:tcW w:w="99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1.76</w:t>
            </w:r>
          </w:p>
        </w:tc>
        <w:tc>
          <w:tcPr>
            <w:tcW w:w="9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1.20</w:t>
            </w:r>
          </w:p>
        </w:tc>
        <w:tc>
          <w:tcPr>
            <w:tcW w:w="813"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2.14%</w:t>
            </w:r>
          </w:p>
        </w:tc>
        <w:tc>
          <w:tcPr>
            <w:tcW w:w="1119"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卖出回购金融资产</w:t>
            </w:r>
          </w:p>
        </w:tc>
        <w:tc>
          <w:tcPr>
            <w:tcW w:w="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2.37</w:t>
            </w:r>
          </w:p>
        </w:tc>
        <w:tc>
          <w:tcPr>
            <w:tcW w:w="98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3.38</w:t>
            </w:r>
          </w:p>
        </w:tc>
        <w:tc>
          <w:tcPr>
            <w:tcW w:w="99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9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9.36</w:t>
            </w:r>
          </w:p>
        </w:tc>
        <w:tc>
          <w:tcPr>
            <w:tcW w:w="813"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2.54</w:t>
            </w:r>
          </w:p>
        </w:tc>
        <w:tc>
          <w:tcPr>
            <w:tcW w:w="1119"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tcBorders>
              <w:top w:val="single" w:color="auto" w:sz="6"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应付债券</w:t>
            </w:r>
          </w:p>
        </w:tc>
        <w:tc>
          <w:tcPr>
            <w:tcW w:w="827"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98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11.02</w:t>
            </w:r>
          </w:p>
        </w:tc>
        <w:tc>
          <w:tcPr>
            <w:tcW w:w="991"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980"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6.71</w:t>
            </w:r>
          </w:p>
        </w:tc>
        <w:tc>
          <w:tcPr>
            <w:tcW w:w="813"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w:t>
            </w:r>
          </w:p>
        </w:tc>
        <w:tc>
          <w:tcPr>
            <w:tcW w:w="1119"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2811" w:type="dxa"/>
            <w:tcBorders>
              <w:top w:val="single" w:color="auto" w:sz="6" w:space="0"/>
              <w:left w:val="single" w:color="auto" w:sz="12"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吸收存款</w:t>
            </w:r>
          </w:p>
        </w:tc>
        <w:tc>
          <w:tcPr>
            <w:tcW w:w="827"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95.78</w:t>
            </w:r>
          </w:p>
        </w:tc>
        <w:tc>
          <w:tcPr>
            <w:tcW w:w="981"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80.37</w:t>
            </w:r>
          </w:p>
        </w:tc>
        <w:tc>
          <w:tcPr>
            <w:tcW w:w="991"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97.78</w:t>
            </w:r>
          </w:p>
        </w:tc>
        <w:tc>
          <w:tcPr>
            <w:tcW w:w="980"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77.70</w:t>
            </w:r>
          </w:p>
        </w:tc>
        <w:tc>
          <w:tcPr>
            <w:tcW w:w="813"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92.86</w:t>
            </w:r>
          </w:p>
        </w:tc>
        <w:tc>
          <w:tcPr>
            <w:tcW w:w="1119" w:type="dxa"/>
            <w:tcBorders>
              <w:top w:val="single" w:color="auto" w:sz="6" w:space="0"/>
              <w:left w:val="single" w:color="auto" w:sz="6"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89.95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36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注：江阴银行和张家港行2018年三季度报告只披露了主要会计报表项目，故截止2018年9月30日同行业主要生息资产占资产总额的比例取自无锡银行和常熟银行披露的财务报表数据；数据来源于巨潮资讯网。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申请人及同行业主要付息负债平均成本率如下：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240" w:afterAutospacing="0" w:line="288" w:lineRule="atLeast"/>
        <w:ind w:left="0" w:right="0" w:firstLine="48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32"/>
        <w:gridCol w:w="1105"/>
        <w:gridCol w:w="1106"/>
        <w:gridCol w:w="916"/>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2" w:hRule="atLeast"/>
          <w:jc w:val="center"/>
        </w:trPr>
        <w:tc>
          <w:tcPr>
            <w:tcW w:w="4132" w:type="dxa"/>
            <w:vMerge w:val="restart"/>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项目</w:t>
            </w:r>
          </w:p>
        </w:tc>
        <w:tc>
          <w:tcPr>
            <w:tcW w:w="2211" w:type="dxa"/>
            <w:gridSpan w:val="2"/>
            <w:tcBorders>
              <w:top w:val="single" w:color="auto" w:sz="12"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2017年12月31日</w:t>
            </w:r>
          </w:p>
        </w:tc>
        <w:tc>
          <w:tcPr>
            <w:tcW w:w="2179" w:type="dxa"/>
            <w:gridSpan w:val="2"/>
            <w:tcBorders>
              <w:top w:val="single" w:color="auto" w:sz="12"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color w:val="00000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vMerge w:val="continue"/>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pPr>
              <w:rPr>
                <w:rFonts w:hint="eastAsia" w:ascii="宋体"/>
                <w:sz w:val="24"/>
                <w:szCs w:val="24"/>
                <w:u w:val="none"/>
              </w:rPr>
            </w:pPr>
          </w:p>
        </w:tc>
        <w:tc>
          <w:tcPr>
            <w:tcW w:w="1105"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10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c>
          <w:tcPr>
            <w:tcW w:w="916"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本行</w:t>
            </w:r>
          </w:p>
        </w:tc>
        <w:tc>
          <w:tcPr>
            <w:tcW w:w="1263" w:type="dxa"/>
            <w:tcBorders>
              <w:top w:val="single" w:color="auto" w:sz="6" w:space="0"/>
              <w:left w:val="single" w:color="auto" w:sz="6" w:space="0"/>
              <w:bottom w:val="single" w:color="auto" w:sz="6"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4132" w:type="dxa"/>
            <w:tcBorders>
              <w:top w:val="single" w:color="auto" w:sz="6" w:space="0"/>
              <w:left w:val="single" w:color="auto" w:sz="12"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吸收存款</w:t>
            </w:r>
          </w:p>
        </w:tc>
        <w:tc>
          <w:tcPr>
            <w:tcW w:w="1105"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1.35</w:t>
            </w:r>
          </w:p>
        </w:tc>
        <w:tc>
          <w:tcPr>
            <w:tcW w:w="1106"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1.99</w:t>
            </w:r>
          </w:p>
        </w:tc>
        <w:tc>
          <w:tcPr>
            <w:tcW w:w="916" w:type="dxa"/>
            <w:tcBorders>
              <w:top w:val="single" w:color="auto" w:sz="6" w:space="0"/>
              <w:left w:val="single" w:color="auto" w:sz="6" w:space="0"/>
              <w:bottom w:val="single" w:color="auto" w:sz="12" w:space="0"/>
              <w:right w:val="single" w:color="auto" w:sz="6"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1.51</w:t>
            </w:r>
          </w:p>
        </w:tc>
        <w:tc>
          <w:tcPr>
            <w:tcW w:w="1263" w:type="dxa"/>
            <w:tcBorders>
              <w:top w:val="single" w:color="auto" w:sz="6" w:space="0"/>
              <w:left w:val="single" w:color="auto" w:sz="6" w:space="0"/>
              <w:bottom w:val="single" w:color="auto" w:sz="12" w:space="0"/>
              <w:right w:val="single" w:color="auto" w:sz="12"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color w:val="000000"/>
                <w:sz w:val="19"/>
                <w:szCs w:val="19"/>
                <w:u w:val="none"/>
                <w:bdr w:val="none" w:color="auto" w:sz="0" w:space="0"/>
              </w:rPr>
              <w:t>2.09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合各项负债占负债总额的比例和各项计息负债的平均成本收益率情况，申请人的计息负债成本率与同行业的差异主要系吸收存款的平均成本率影响。2017年末、2016年末，申请人吸收存款的平均成本率分别为1.35%、1.51%，分别低于同行业0.64个百分点、0.58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申请人与同行业吸收存款的平均成本率差异主要原因是：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w:t>
      </w:r>
      <w:r>
        <w:rPr>
          <w:rFonts w:hint="eastAsia" w:ascii="微软雅黑" w:hAnsi="微软雅黑" w:eastAsia="微软雅黑" w:cs="微软雅黑"/>
          <w:i w:val="0"/>
          <w:iCs w:val="0"/>
          <w:caps w:val="0"/>
          <w:color w:val="000000"/>
          <w:spacing w:val="0"/>
          <w:sz w:val="19"/>
          <w:szCs w:val="19"/>
          <w:u w:val="none"/>
          <w:bdr w:val="none" w:color="auto" w:sz="0" w:space="0"/>
          <w:shd w:val="clear" w:fill="FFFFFF"/>
        </w:rPr>
        <w:t>近年来，申请人各项业务发展速度较快，市场规模不断扩大，资产总额、存贷款余额较改制前均实现了成倍增长，目前已发展为长丰县存贷款规模最大、网点数量最多、发展业绩最好、服务功能最全、地方贡献度最高的地方金融机构。公司依托广泛的营业网点，有效的降低了存款平均利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shd w:val="clear" w:fill="FFFFFF"/>
        </w:rPr>
        <w:t>　 （2）2017年末、2016年末，申请人个人活期存款余额和单位活期存款余额之和占吸收存款余额的比例分别为61.24%、55.15%，同时期同行业可比上市农村商业银行活期存款占比分别为35.31%、37.31%。较高的活期存款占比，使得申请人吸收存款成本率较可比上市农村商业银行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80"/>
        <w:jc w:val="both"/>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000000"/>
          <w:spacing w:val="0"/>
          <w:sz w:val="19"/>
          <w:szCs w:val="19"/>
          <w:u w:val="none"/>
          <w:bdr w:val="none" w:color="auto" w:sz="0" w:space="0"/>
          <w:shd w:val="clear" w:fill="FFFFFF"/>
        </w:rPr>
        <w:t>（3）申请人强化成本管理，针对利率市场化的推进以吸收低成本存款为主，在人民银行规定的基准利率的基础上适当减少上浮的幅度，吸收存款成本率控制在1.4个百分点左右。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会计师认为，申请人关于各项生息资产的平均收益率和付息负债的平均成本率分析合理。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（三）关于拨备覆盖率及不良贷款率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报告期内申请人不良贷款率较同行业可比银行高，最近一期拨备覆盖率下降至196.7%，低于同期可比银行的272.06%。要求申请人补充披露：1、不良贷款率高于同行业可比银行的原因；2、最近一期拨备覆盖率由272.06%下降至196%的原因。要求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1、报告期各期末，申请人不良贷款率均高于上市农村商业银行的平均值，主要与信贷业务的行业结构和区域结构有关：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（1）行业结构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报告期内，申请人贷款客户行业分布如下：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9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1"/>
        <w:gridCol w:w="2364"/>
        <w:gridCol w:w="1199"/>
        <w:gridCol w:w="846"/>
        <w:gridCol w:w="1274"/>
        <w:gridCol w:w="847"/>
        <w:gridCol w:w="1274"/>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4" w:hRule="atLeast"/>
          <w:jc w:val="center"/>
        </w:trPr>
        <w:tc>
          <w:tcPr>
            <w:tcW w:w="626"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241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行业分类</w:t>
            </w:r>
          </w:p>
        </w:tc>
        <w:tc>
          <w:tcPr>
            <w:tcW w:w="113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2018年9月30日</w:t>
            </w:r>
          </w:p>
        </w:tc>
        <w:tc>
          <w:tcPr>
            <w:tcW w:w="85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276"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2017年12月31日</w:t>
            </w:r>
          </w:p>
        </w:tc>
        <w:tc>
          <w:tcPr>
            <w:tcW w:w="851"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275"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2016年12月31日</w:t>
            </w:r>
          </w:p>
        </w:tc>
        <w:tc>
          <w:tcPr>
            <w:tcW w:w="852"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农、林、牧、渔业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410,009.93</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42.54</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330,243.75</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42.61</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244,589.21</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制造业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173,283.00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17.98</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116,392.00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15.02</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120,726.00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个人贷款</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127,550.76</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13.23</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118,273.34</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15.26</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109,211.42</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建筑业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70,457.00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7.31</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68,493.00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8.84</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54,213.00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买断式转贴现</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69,666.87</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7.23</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27,600.00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3.56</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50,418.93</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批发和零售业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50,108.00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5.20</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47,223.00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6.09</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40,333.00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住宿和餐饮业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18,681.00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1.94</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21,926.00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2.83</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20,307.00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房地产业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14,332.00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1.49</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4,752.00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0.61</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3,077.00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租赁和商务服务业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8,658.00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0.90</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9,818.00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1.27</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9,233.00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金融业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4,800.00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0.50</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4,800.00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0.62</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w:t>
            </w:r>
          </w:p>
        </w:tc>
        <w:tc>
          <w:tcPr>
            <w:tcW w:w="241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文化、体育和娱乐业</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4,475.00</w:t>
            </w:r>
          </w:p>
        </w:tc>
        <w:tc>
          <w:tcPr>
            <w:tcW w:w="85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0.46</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6,783.00</w:t>
            </w:r>
          </w:p>
        </w:tc>
        <w:tc>
          <w:tcPr>
            <w:tcW w:w="85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0.88</w:t>
            </w:r>
          </w:p>
        </w:tc>
        <w:tc>
          <w:tcPr>
            <w:tcW w:w="127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4,823.00</w:t>
            </w:r>
          </w:p>
        </w:tc>
        <w:tc>
          <w:tcPr>
            <w:tcW w:w="8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2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w:t>
            </w:r>
          </w:p>
        </w:tc>
        <w:tc>
          <w:tcPr>
            <w:tcW w:w="241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交通运输、仓储和邮政业</w:t>
            </w:r>
          </w:p>
        </w:tc>
        <w:tc>
          <w:tcPr>
            <w:tcW w:w="113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3,950.00</w:t>
            </w:r>
          </w:p>
        </w:tc>
        <w:tc>
          <w:tcPr>
            <w:tcW w:w="85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0.41</w:t>
            </w:r>
          </w:p>
        </w:tc>
        <w:tc>
          <w:tcPr>
            <w:tcW w:w="127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3,650.00</w:t>
            </w:r>
          </w:p>
        </w:tc>
        <w:tc>
          <w:tcPr>
            <w:tcW w:w="851"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0.47</w:t>
            </w:r>
          </w:p>
        </w:tc>
        <w:tc>
          <w:tcPr>
            <w:tcW w:w="127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3,850.00</w:t>
            </w:r>
          </w:p>
        </w:tc>
        <w:tc>
          <w:tcPr>
            <w:tcW w:w="852"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发放的贷款和垫款主要以对公贷款为主，投放行业主要以农、林、牧、渔业和与实体经济相关的制造业和批发零售业占比相对较高。而在经济下行过程中，农、林、牧、渔业、制造业、批发零售业是受不利影响较大的行业，导致近年来不良贷款亦集中在该三个行业。截至2018年9月末、2017年末、2016年末，申请人农、林、牧、渔业、制造业、批发零售业合计在不良贷款中占比分别为80.49%、75.96%、77.16%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报告期内，申请人已就潜在宏观经济风险对贷款行业结构进行针对性调整，在保持贷款业务规模稳定增长的同时，持续有效地降低行业集中度。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（2）区域结构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位于安徽省合肥市下辖长丰县，经营定位为服务县域，服务“三农”、服务“中小微”企业客户，信贷投放重点围绕机关单位、个体工商户、种养殖大户、小微企业主等客户群体，大多集中在长丰县或者合肥市其他辖区。同行业已经上市的农村商业银行多集中在江浙区域，该区域经济总量、经济增速远高于长丰县；另外，江浙区域企业整体规模和质量也远优于公司信贷客户群体。这也是导致申请人不良贷款率高于同行业平均值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2、最近一期拔备覆盖率由272.06%下降至196%的原因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2018年9月末，申请人拔备覆盖率较上年末下降，主要是由于近年来中小企业受宏观经济影响，经营业绩下滑，贷款偿还的及时性下降。申请人持续跟踪其经营情况，分析财务数据，判决其实际状况，其中担保措施完备、还款意愿较好的贷款暂分类为关注类，对于信用风险严重的信贷资产划分至不良贷款。申请人将持续关注逾期贷款的借款人经营状况，判断逾期贷款的风险程度，及时调整其风险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截至2018年9月30日，申请人拔备覆盖率为196.78%，全面覆盖不良贷款，贷款损失准备提取合理，符合监管政策“拨备覆盖率（贷款损失准备占不良贷款的比例）不低于150%”的要求。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34"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会计师认为，报告期内，申请人不良贷款余额、拔备覆盖率准确，申请人关于不良贷款率、拔备覆盖率的分析合理。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（四）关于贷款迁徙率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申请材料显示，报告期内关注类贷款迁徙率分别为65.59%、56.67%、100%，次级类贷款迁徙率分别为100%、88.46%、100%。 要求申请人补充披露报告期内贷款五级分类的准确性与一致性，是否存在通过调整贷款五级分类调减不良贷款规模、降低不良贷款率的情形。要求会计师核查并发表意见。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报告期各期末，</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注类贷款主要系参与的银团贷款，占关注类贷款余额的比例在80%以上，银团贷款五级分类结果按照银团贷款牵头行进行调整，关注类银团贷款出现利息逾期90天以上的，即下调为次级类或可疑类，由于报告期内银团贷款出现了上述情形，导致关注类贷款迁徙率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一直严格按照银监会、财政部、安徽省联社等部门就《贷款风险分类指引》《金融企业呆账核销管理办法》《安徽农村商业银行系统信贷资产风险十级分类操作实施细则》等相关文件制度对信贷资产进行分类，在充分分析借款人及时足额归还贷款本息可能性的基础上，对信贷资产的风险状况做出基本判断，严格依据核心定义确定分类结果。报告期内，申请人贷款五级分类准确，分类执行标准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会计师认为，报告期内申请人贷款五级分类准确，分类执行标准一致；未发现申请人存在通过调整贷款五级分类调减不良贷款规模，降低不良贷款率的情形。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我会认为，申请人信息披露基本符合《公司法》《证券法》《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表了明确的意见。据此，我会同意安徽长丰农村商业银行股份有限公司向特定对象发行股票的申请。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2BD2419D"/>
    <w:rsid w:val="2BD2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2022-09-05T03:52:00Z</dcterms:created>
  <dc:creator>程晋</dc:creator>
  <cp:lastModifiedBy>程晋</cp:lastModifiedBy>
  <dcterms:modified xsi:type="dcterms:W3CDTF">2022-09-05T03:53:01Z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70779CCF72164D32A591835B1A0EE2F2</vt:lpwstr>
  </property>
</Properties>
</file>