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single" w:color="DCDCDC" w:sz="4" w:space="17"/>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333333"/>
          <w:spacing w:val="0"/>
          <w:u w:val="none"/>
        </w:rPr>
      </w:pPr>
      <w:r>
        <w:rPr>
          <w:rFonts w:hint="eastAsia" w:ascii="微软雅黑" w:hAnsi="微软雅黑" w:eastAsia="微软雅黑" w:cs="微软雅黑"/>
          <w:i w:val="0"/>
          <w:iCs w:val="0"/>
          <w:caps w:val="0"/>
          <w:color w:val="333333"/>
          <w:spacing w:val="0"/>
          <w:u w:val="none"/>
          <w:bdr w:val="none" w:color="auto" w:sz="0" w:space="0"/>
          <w:shd w:val="clear" w:fill="FFFFFF"/>
        </w:rPr>
        <w:t>关于上海易销科技股份有限公司申请向特定对象发行股票的审核意见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一、审核情况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(一)申请人基本情况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申请人全称为“上海易销科技股份有限公司”（证券代码：831114,创新层企业），注册地址在上海市普陀区中江路879弄25号楼308室，成立于2005年4月1日，2013年9月12日改制为股份公司，并于2014年8月22日在全国中小企业股份转让系统（以下简称全国股转系统）挂牌公开转让。截至股权登记日（2016年5月13日），共有股东336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申请人法定代表人和实际控制人为薛俊，注册资本为3604万元。申请人主要为电信运营商提供电子渠道连锁运营服务。申请人披露的经营范围为计算机、通讯设备领域的技术开发、技术转让、技术服务，电子商务（不得从事增值电信、金融服务），网络工程，计算机软件开发、销售，通讯设备（除卫星电视广播地面接收设施）、电子产品、电脑软硬件（除计算机信息系统安全专用产品）、百货、办公用品、家电的销售，从事货物及技术的进出口业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（二）审核过程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申请人向特定对象发行股票的行政许可申请于2016年6月 14日正式受理。依据《公司法》、《证券法》、《非上市公众公司监督管理办法》（以下简称《管理办法》）、《非上市公众公司信息披露内容与格式准则第3号——定向发行说明书和发行情况报告书》、《非上市公众公司信息披露内容与格式准则第4号——定向发行申请文件》等相关规定，我会对申请人提交的申请文件进行了合规性审核，并于2016年6月23日书面反馈申请人。2016年7月27日，申请人与主办券商以“需要对历次募集资金使用情况做进一步核查和确认以及财务数据即将超过有效期”为由，向办公厅受理处书面申请中止审查。我会于2016年7月29日发出了中止审查的通知。申请人以及主办券商于2016年8月31日提交了恢复审查的申请，并同时提交了书面反馈意见，将财务数据更新至2016年6月30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全国股份转让系统就本次发行出具了《关于上海易销科技股份有限公司股票发行的自律监管情况函》，未发现申请人存在重大违法违规行为。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二、审核中关注的问题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42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（一）关于业绩增长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审核中关注到，报告期内申请人营业收入和净利润大幅增长，其中2015年较2014年相比，营业收入增长了327.67%，归属于挂牌公司股东的净利润增长了923.9%。申请人未披露具体原因。对此，请申请人结合企业经营、业务开展情况，补充披露：（1）报告期内主要产品或服务情况，营业收入的构成、具体内容及不同构成之间的划分方法依据；（2）营业收入、净利润增长的具体原因；（3）营业收入是否真实准确完整，收入确认等会计核算是否符合《企业会计准则》的规定。同时，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申请人补充披露：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1、关于报告期内主要产品或服务情况，营业收入的构成、具体内容及不同构成之间的划分方法依据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申请人主要为国内移动通信运营商提供电子渠道服务。申请人“迷你电子营业厅微终端”平台（又称“IBT终端”平台）为接入的主要设备。根据业务性质不同，营业收入主要可以划分为服务收入和销售收入。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服务收入：服务收入是指为电信运营商提供办理无线上网套餐、手机合约套餐等电子渠道服务，并通过该电子渠道平台，申请人为移动终端设备用户提供电信运营商包括但不限于入网、无线上网、充值等电子渠道服务、应用软件的快速下载服务、手机供应链服务、渠道支撑服务取得收入。电子渠道连锁运营平台服务是指申请人自有的后台服务系统集成了各大运营商标准业务接口，通过IBT终端平台实现移动设备对各种电信运营商服务的快速接入，用户通过IBT终端进行实时查询、号码选择、SIM卡片开通、套餐服务选择、应用软件下载、资费充值等业务办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销售收入：销售收入是指销售手机通信产品、数码产品等移动设备产生的收入。移动设备销售业务是指申请人利用自身渠道优势，根据下游渠道商提交的购机需求，向手机供应商或代理商批量采购手机并配送给下游渠道商，下游渠道商向申请人支付手机款项，从而赚取差价实现手机销售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2、关于营业收入、净利润增长的具体原因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28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8"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10"/>
        <w:gridCol w:w="1845"/>
        <w:gridCol w:w="1600"/>
        <w:gridCol w:w="1637"/>
        <w:gridCol w:w="16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810"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1845"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2016年1-6月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（已审数）</w:t>
            </w:r>
          </w:p>
        </w:tc>
        <w:tc>
          <w:tcPr>
            <w:tcW w:w="1600"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（已审数）</w:t>
            </w:r>
          </w:p>
        </w:tc>
        <w:tc>
          <w:tcPr>
            <w:tcW w:w="1637" w:type="dxa"/>
            <w:tcBorders>
              <w:top w:val="single" w:color="000000" w:sz="12" w:space="0"/>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2015年1-6月（已审数）</w:t>
            </w:r>
          </w:p>
        </w:tc>
        <w:tc>
          <w:tcPr>
            <w:tcW w:w="1636"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2014年度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（已审数）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810"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营业收入</w:t>
            </w:r>
          </w:p>
        </w:tc>
        <w:tc>
          <w:tcPr>
            <w:tcW w:w="184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39,672,146.37</w:t>
            </w:r>
          </w:p>
        </w:tc>
        <w:tc>
          <w:tcPr>
            <w:tcW w:w="160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85,975,935.37</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29,472,792.99</w:t>
            </w:r>
          </w:p>
        </w:tc>
        <w:tc>
          <w:tcPr>
            <w:tcW w:w="1636"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20,103,398.62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810"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其中：服务收入</w:t>
            </w:r>
          </w:p>
        </w:tc>
        <w:tc>
          <w:tcPr>
            <w:tcW w:w="184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23,065,713.05</w:t>
            </w:r>
          </w:p>
        </w:tc>
        <w:tc>
          <w:tcPr>
            <w:tcW w:w="160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45,892,676.84</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14,663,051.16</w:t>
            </w:r>
          </w:p>
        </w:tc>
        <w:tc>
          <w:tcPr>
            <w:tcW w:w="1636"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10,935,800.27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810"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63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销售收入</w:t>
            </w:r>
          </w:p>
        </w:tc>
        <w:tc>
          <w:tcPr>
            <w:tcW w:w="184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16,606,433.32</w:t>
            </w:r>
          </w:p>
        </w:tc>
        <w:tc>
          <w:tcPr>
            <w:tcW w:w="160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40,083,258.53</w:t>
            </w:r>
          </w:p>
        </w:tc>
        <w:tc>
          <w:tcPr>
            <w:tcW w:w="163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14,809,741.83</w:t>
            </w:r>
          </w:p>
        </w:tc>
        <w:tc>
          <w:tcPr>
            <w:tcW w:w="1636"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9,167,598.35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810" w:type="dxa"/>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净利润</w:t>
            </w:r>
          </w:p>
        </w:tc>
        <w:tc>
          <w:tcPr>
            <w:tcW w:w="1845"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7,073,195.51</w:t>
            </w:r>
          </w:p>
        </w:tc>
        <w:tc>
          <w:tcPr>
            <w:tcW w:w="1600"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20,581,881.43</w:t>
            </w:r>
          </w:p>
        </w:tc>
        <w:tc>
          <w:tcPr>
            <w:tcW w:w="1637"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4,534,706.69</w:t>
            </w:r>
          </w:p>
        </w:tc>
        <w:tc>
          <w:tcPr>
            <w:tcW w:w="1636"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1,992,722.33</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2016年1-6月营业收入较上年同期增加34.61%，从上表可以看出2016年1-6月营业收入增加的主要原因是申请人电子运营商服务收入增长较快，较2015年1-6月电子运营商服务收入增长57.31%。2015年度营业收入较上年同期增加327.67%，其中电子运营商服务收入较2014年度增长319.66%，移动设备销售收入增长337.23%。2014年上半年申请人处于筹备挂牌阶段，内部资金投入短缺导致市场无法打开，2014年末已投入的IBT终端平台总数仅为约1,300台。2014年8月申请人正式挂牌，并于同年11月至2015年3月累计3次定增，将募集的资金大部分用于购置IBT终端平台并投放从而使申请人快速扩大了市场。从IBT终端平台投入数量上来看，由2014年末约1,300台迅速增加到了2015年末约25,000台，截至2016年6月30日,申请人IBT终端设备铺设累计约47,000台。从市场地域上来看，IBT终端铺设区域从江浙沪地区迅速扩展到了北京、河南、安徽等地区。申请人通过铺设IBT终端设备，大力发展开卡、套餐服务选择、渠道增值服务业务、渠道支撑服务业务等电子运营商服务。综上，申请人于2015年度获得资本投入后大力铺设IBT终端设备，开拓新的渠道，导致营业收入、净利润等财务指标大幅度上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6"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611"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266"/>
        <w:gridCol w:w="1605"/>
        <w:gridCol w:w="1590"/>
        <w:gridCol w:w="1643"/>
        <w:gridCol w:w="15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1605"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2016年1-6月（已审数）</w:t>
            </w:r>
          </w:p>
        </w:tc>
        <w:tc>
          <w:tcPr>
            <w:tcW w:w="1590"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（已审数）</w:t>
            </w:r>
          </w:p>
        </w:tc>
        <w:tc>
          <w:tcPr>
            <w:tcW w:w="1643" w:type="dxa"/>
            <w:tcBorders>
              <w:top w:val="single" w:color="000000" w:sz="12" w:space="0"/>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2015年1-6月（已审数）</w:t>
            </w:r>
          </w:p>
        </w:tc>
        <w:tc>
          <w:tcPr>
            <w:tcW w:w="1507"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2014年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（已审数）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营业收入</w:t>
            </w:r>
          </w:p>
        </w:tc>
        <w:tc>
          <w:tcPr>
            <w:tcW w:w="16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39,672,146.37</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85,975,935.37 </w:t>
            </w:r>
          </w:p>
        </w:tc>
        <w:tc>
          <w:tcPr>
            <w:tcW w:w="16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29,472,792.99</w:t>
            </w:r>
          </w:p>
        </w:tc>
        <w:tc>
          <w:tcPr>
            <w:tcW w:w="1507"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20,103,398.62 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营业总成本</w:t>
            </w:r>
          </w:p>
        </w:tc>
        <w:tc>
          <w:tcPr>
            <w:tcW w:w="16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31,277,716.25</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62,986,393.55</w:t>
            </w:r>
          </w:p>
        </w:tc>
        <w:tc>
          <w:tcPr>
            <w:tcW w:w="16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23,925,454.30</w:t>
            </w:r>
          </w:p>
        </w:tc>
        <w:tc>
          <w:tcPr>
            <w:tcW w:w="1507"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20,637,615.32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315"/>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营业成本</w:t>
            </w:r>
          </w:p>
        </w:tc>
        <w:tc>
          <w:tcPr>
            <w:tcW w:w="16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18,753,039.06</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40,331,832.41 </w:t>
            </w:r>
          </w:p>
        </w:tc>
        <w:tc>
          <w:tcPr>
            <w:tcW w:w="16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15,027,951.03</w:t>
            </w:r>
          </w:p>
        </w:tc>
        <w:tc>
          <w:tcPr>
            <w:tcW w:w="1507"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9,493,776.29 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营业税金及附加</w:t>
            </w:r>
          </w:p>
        </w:tc>
        <w:tc>
          <w:tcPr>
            <w:tcW w:w="16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42,528.97</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789,785.65 </w:t>
            </w:r>
          </w:p>
        </w:tc>
        <w:tc>
          <w:tcPr>
            <w:tcW w:w="16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704,361.84</w:t>
            </w:r>
          </w:p>
        </w:tc>
        <w:tc>
          <w:tcPr>
            <w:tcW w:w="1507"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487,305.57 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销售费用</w:t>
            </w:r>
          </w:p>
        </w:tc>
        <w:tc>
          <w:tcPr>
            <w:tcW w:w="16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4,238,604.53</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6,409,401.41 </w:t>
            </w:r>
          </w:p>
        </w:tc>
        <w:tc>
          <w:tcPr>
            <w:tcW w:w="16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3,339,422.46</w:t>
            </w:r>
          </w:p>
        </w:tc>
        <w:tc>
          <w:tcPr>
            <w:tcW w:w="1507"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3,754,004.99 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　　管理费用</w:t>
            </w:r>
          </w:p>
        </w:tc>
        <w:tc>
          <w:tcPr>
            <w:tcW w:w="16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7,181,986.13</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15,009,356.78 </w:t>
            </w:r>
          </w:p>
        </w:tc>
        <w:tc>
          <w:tcPr>
            <w:tcW w:w="16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5,060,955.50</w:t>
            </w:r>
          </w:p>
        </w:tc>
        <w:tc>
          <w:tcPr>
            <w:tcW w:w="1507"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5,809,001.49 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　　财务费用</w:t>
            </w:r>
          </w:p>
        </w:tc>
        <w:tc>
          <w:tcPr>
            <w:tcW w:w="16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838,671.23</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609,938.78 </w:t>
            </w:r>
          </w:p>
        </w:tc>
        <w:tc>
          <w:tcPr>
            <w:tcW w:w="16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84,839.73</w:t>
            </w:r>
          </w:p>
        </w:tc>
        <w:tc>
          <w:tcPr>
            <w:tcW w:w="1507"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577,575.32 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　　资产减值损失</w:t>
            </w:r>
          </w:p>
        </w:tc>
        <w:tc>
          <w:tcPr>
            <w:tcW w:w="16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223,119.91</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-168,651.69 </w:t>
            </w:r>
          </w:p>
        </w:tc>
        <w:tc>
          <w:tcPr>
            <w:tcW w:w="16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-292,076.26</w:t>
            </w:r>
          </w:p>
        </w:tc>
        <w:tc>
          <w:tcPr>
            <w:tcW w:w="1507"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515,951.66 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　　投资收益（损失以"-"填列）</w:t>
            </w:r>
          </w:p>
        </w:tc>
        <w:tc>
          <w:tcPr>
            <w:tcW w:w="16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-233.58</w:t>
            </w:r>
          </w:p>
        </w:tc>
        <w:tc>
          <w:tcPr>
            <w:tcW w:w="159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4,730.21 </w:t>
            </w:r>
          </w:p>
        </w:tc>
        <w:tc>
          <w:tcPr>
            <w:tcW w:w="16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w:t>
            </w:r>
          </w:p>
        </w:tc>
        <w:tc>
          <w:tcPr>
            <w:tcW w:w="1507"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6" w:type="dxa"/>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净利润</w:t>
            </w:r>
          </w:p>
        </w:tc>
        <w:tc>
          <w:tcPr>
            <w:tcW w:w="1605"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7,073,195.51</w:t>
            </w:r>
          </w:p>
        </w:tc>
        <w:tc>
          <w:tcPr>
            <w:tcW w:w="1590"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20,581,881.43</w:t>
            </w:r>
          </w:p>
        </w:tc>
        <w:tc>
          <w:tcPr>
            <w:tcW w:w="1643"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4,534,706.69</w:t>
            </w:r>
          </w:p>
        </w:tc>
        <w:tc>
          <w:tcPr>
            <w:tcW w:w="1507"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1,992,722.33</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8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2016年1-6月净利润较上年同期增长55.98%，2015年净利润较上年同期增加932.85%，主要是申请人随着渠道的陆续铺设，盈利能力逐步增加。申请人自主研发的“迷你电子营业厅微终端”平台通过铺设进入零售渠道商，提高了有效渠道，大力推动了毛利较高的电子渠道服务业务收入，所以申请人整体净利润增加较大。同时，申请人2016年1-6月营业收入较上年同期增加34.61%，2016年1-6月营业总成本较上年同期增长30.73%；申请人2015年度营业收入较2014年度增长327.67%，而2015年度营业总成本较2014年度增长205.20%。2016年1-6月、2015年营业收入增长幅度均超过上年同期营业总成本增长幅度，造成净利润大幅上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6"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3、关于报告期内营业收入确认和核算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6"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报告期内，申请人营业收入确认的具体方法为：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6"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对于运营商服务收入，终端用户通过IBT终端平台签订合约套餐后，申请人将按照每月合约资费的百分比，向电信运营商收取佣金、分成等收入。电信运营商与申请人每1至2个月进行一次对账，确认数据无误后将通知申请人开具发票，此时申请人确认服务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对于移动设备销售收入，适用商品销售收入的确认原则。其中，非合约手机等移动设备在交付给购货方时，申请人已将商品所有权上的主要风险和报酬转移给买方，此时确认销售收入；合约手机在合约生效后，在电信运营商通知申请人开具发票时，确认销售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主办券商认为，营业收入的构成与申请人提供的服务和产品相匹配，营业收入构成划分合理，收入确认符合企业会计准则规定，营业收入真实准确完整。同时，营业收入大幅增加主要是因为公司业务拓展、渠道大幅增加导致，符合申请人实际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会计师认为，申请人营业收入、净利润大幅增加主要是因为销售收入及服务收入的大幅增加导致；上述财务指标或数据大幅增长均由申请人业务拓展、渠道增加导致，符合申请人实际情况，增加幅度合理。申请人营业收入真实准确完整，收入确认等会计核算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42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（二）关于经营活动的现金流量净额</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审核中关注到，报告期内申请人经营活动产生的现金流量净额均为负，与业绩变化趋势背离。此外，2015年度存在大额的往来款（约2.8亿元），申请人未披露具体情况。对此，请申请人补充披露报告期内在业绩大幅增长的情况下，经营活动产生的现金流量净额均为负的原因，大额往来款的具体情况和产生原因，是否合法合规。同时，请主办券商、律师、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申请人补充披露：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1、关于经营活动产生的现金流量净额均为负的原因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8"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774"/>
        <w:gridCol w:w="1750"/>
        <w:gridCol w:w="1668"/>
        <w:gridCol w:w="1668"/>
        <w:gridCol w:w="1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774"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1750"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2016年1-6月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（已审数）</w:t>
            </w:r>
          </w:p>
        </w:tc>
        <w:tc>
          <w:tcPr>
            <w:tcW w:w="1668"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（已审数）</w:t>
            </w:r>
          </w:p>
        </w:tc>
        <w:tc>
          <w:tcPr>
            <w:tcW w:w="1668"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2014年度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（已审数）</w:t>
            </w:r>
          </w:p>
        </w:tc>
        <w:tc>
          <w:tcPr>
            <w:tcW w:w="1668"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2013年度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（已审数）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1774"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营业收入</w:t>
            </w:r>
          </w:p>
        </w:tc>
        <w:tc>
          <w:tcPr>
            <w:tcW w:w="175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39,672,146.37</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85,975,935.37</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20,103,398.62</w:t>
            </w:r>
          </w:p>
        </w:tc>
        <w:tc>
          <w:tcPr>
            <w:tcW w:w="166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14,722,195.72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774"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净利润</w:t>
            </w:r>
          </w:p>
        </w:tc>
        <w:tc>
          <w:tcPr>
            <w:tcW w:w="175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7,073,195.51</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20,581,881.43</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1,992,722.33</w:t>
            </w:r>
          </w:p>
        </w:tc>
        <w:tc>
          <w:tcPr>
            <w:tcW w:w="166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-1,235,255.11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774"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应收账款（余额）</w:t>
            </w:r>
          </w:p>
        </w:tc>
        <w:tc>
          <w:tcPr>
            <w:tcW w:w="175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32,808,652.59</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26,578,443.85</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12,670,116.11</w:t>
            </w:r>
          </w:p>
        </w:tc>
        <w:tc>
          <w:tcPr>
            <w:tcW w:w="166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8,816,960.48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774"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预付款项</w:t>
            </w:r>
          </w:p>
        </w:tc>
        <w:tc>
          <w:tcPr>
            <w:tcW w:w="175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42,327,294.08</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31,820,185.08</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11,380,830.61</w:t>
            </w:r>
          </w:p>
        </w:tc>
        <w:tc>
          <w:tcPr>
            <w:tcW w:w="166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3,470,250.86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774"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存货</w:t>
            </w:r>
          </w:p>
        </w:tc>
        <w:tc>
          <w:tcPr>
            <w:tcW w:w="175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2,347,272.08</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2,733,764.44</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2,745,136.65</w:t>
            </w:r>
          </w:p>
        </w:tc>
        <w:tc>
          <w:tcPr>
            <w:tcW w:w="166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3,955,850.89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774"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应付账款</w:t>
            </w:r>
          </w:p>
        </w:tc>
        <w:tc>
          <w:tcPr>
            <w:tcW w:w="175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706,984.33</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1,739,384.46</w:t>
            </w:r>
          </w:p>
        </w:tc>
        <w:tc>
          <w:tcPr>
            <w:tcW w:w="166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41,280.20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774"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预收款项</w:t>
            </w:r>
          </w:p>
        </w:tc>
        <w:tc>
          <w:tcPr>
            <w:tcW w:w="175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19,019.70</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300,660.00</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w:t>
            </w:r>
          </w:p>
        </w:tc>
        <w:tc>
          <w:tcPr>
            <w:tcW w:w="166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774"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其他应付款</w:t>
            </w:r>
          </w:p>
        </w:tc>
        <w:tc>
          <w:tcPr>
            <w:tcW w:w="175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2,185,476.98</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1,402,555.45</w:t>
            </w:r>
          </w:p>
        </w:tc>
        <w:tc>
          <w:tcPr>
            <w:tcW w:w="166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3,401,527.25</w:t>
            </w:r>
          </w:p>
        </w:tc>
        <w:tc>
          <w:tcPr>
            <w:tcW w:w="166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2,403,740.93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774" w:type="dxa"/>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经营活动现金流量净额</w:t>
            </w:r>
          </w:p>
        </w:tc>
        <w:tc>
          <w:tcPr>
            <w:tcW w:w="1750"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-10,213,754.91</w:t>
            </w:r>
          </w:p>
        </w:tc>
        <w:tc>
          <w:tcPr>
            <w:tcW w:w="1668"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-2,545,103.03</w:t>
            </w:r>
          </w:p>
        </w:tc>
        <w:tc>
          <w:tcPr>
            <w:tcW w:w="1668"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-7,765,527.12</w:t>
            </w:r>
          </w:p>
        </w:tc>
        <w:tc>
          <w:tcPr>
            <w:tcW w:w="1668"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-7,820,183.30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2016年1-6月营业收入较上年同期增长34.61%，净利润较上年同期增加55.98%，而经营活动现金流量净额为负数。截至2016年6月30日，申请人应收账款余额较2015年末增加6,230,208.74元，同比增加23.44%；预付款项较2015年末增加10,507,109.00元，同比增加33.02%。2016年上半年申请人经营活动现金流量净额为负主要原因系申请人2016年度应收账款、预付款项增加所致。2015年度营业收入较上年同期增加了327.67%，净利润较上年同期增加18,589,159.10元，同比增加932.85%，而经营活动现金流量净额则为负数。申请人应收账款余额2015年末较上年度增加13,908,327.74元，同比增加109.77%。同时预付款项2015年末较上年度增加20,439,354.47元，同比增加179.59%。2015年度申请人经营活动现金流量净额为负主要原因系申请人2015年度应收账款、预付款项大幅增加所致。2014年度营业收入与上年同期增加了36.55%，申请人扭亏为盈，但净利润较小（为1,992,722.33元），而经营活动现金流量净额为负数。申请人应收账款余额2014年度较上年度增加3,853,155.63元，同比增加43.70%。同时预付款项2014年度较上年度增加7,910,579.75元，同比增加227.95%。2014年度申请人经营活动现金流量净额为负主要原因系申请人2014年度应收账款、预付款项大幅增加所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2016年6月30日，2015年末和2014年末应收账款余额根据业务性质分类如下：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8"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261"/>
        <w:gridCol w:w="2477"/>
        <w:gridCol w:w="1905"/>
        <w:gridCol w:w="18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1"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 </w:t>
            </w:r>
          </w:p>
        </w:tc>
        <w:tc>
          <w:tcPr>
            <w:tcW w:w="2477"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2016年6月30日</w:t>
            </w:r>
          </w:p>
        </w:tc>
        <w:tc>
          <w:tcPr>
            <w:tcW w:w="1905"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2015年末</w:t>
            </w:r>
          </w:p>
        </w:tc>
        <w:tc>
          <w:tcPr>
            <w:tcW w:w="1885"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2014年末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1"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电子运营商服务</w:t>
            </w:r>
          </w:p>
        </w:tc>
        <w:tc>
          <w:tcPr>
            <w:tcW w:w="247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32,075,432.59</w:t>
            </w:r>
          </w:p>
        </w:tc>
        <w:tc>
          <w:tcPr>
            <w:tcW w:w="19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25,776,743.85</w:t>
            </w:r>
          </w:p>
        </w:tc>
        <w:tc>
          <w:tcPr>
            <w:tcW w:w="1885"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11,736,476.11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1"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移动设备销售</w:t>
            </w:r>
          </w:p>
        </w:tc>
        <w:tc>
          <w:tcPr>
            <w:tcW w:w="247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733,220.00</w:t>
            </w:r>
          </w:p>
        </w:tc>
        <w:tc>
          <w:tcPr>
            <w:tcW w:w="1905"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801,700.00</w:t>
            </w:r>
          </w:p>
        </w:tc>
        <w:tc>
          <w:tcPr>
            <w:tcW w:w="1885"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933,640.00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261" w:type="dxa"/>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合计</w:t>
            </w:r>
          </w:p>
        </w:tc>
        <w:tc>
          <w:tcPr>
            <w:tcW w:w="2477"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32,808,652.59</w:t>
            </w:r>
          </w:p>
        </w:tc>
        <w:tc>
          <w:tcPr>
            <w:tcW w:w="1905"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26,578,443.85</w:t>
            </w:r>
          </w:p>
        </w:tc>
        <w:tc>
          <w:tcPr>
            <w:tcW w:w="1885"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12,670,116.11</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截至2016年6月30日，申请人应收账款余额账龄都在一年以内，主要由申请人提供电子运营商服务产生。申请人2014年末应收账款余额在2015年度已经全部收回，2015年末应收账款余额账龄都在一年以内，主要由公司提供电子运营商服务产生。截至本次反馈意见回复出具之日，2015年末由于电子运营商服务产生的应收账款余额中，已经收回21,186,743.85元；由于移动设备销售产生的应收账款余额801,700.00元已经全部收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报告期内，申请人IBT终端大幅增加，从2014年末约1,300台迅速增加到了2015年末约25,000台，到2016年6月30日申请人已铺设IBT终端约47000台。随着渠道终端的大面积铺开，申请人电子运营商业务收入大幅上升。2016年6月末单台IBT终端对应的电子运营商服务平均应收账款余额为682.46元，2015年末单台IBT终端对应的电子运营商服务平均应收账款余额为1,031.07元，较2014年末单台平均应收账款余额9,028.06元大幅下降。主要由于申请人在短时间内铺设了大量IBT终端设备，而IBT终端大部分系2015年下半年（约19000台）及2016年上半年（约22000台）铺设，终端投入时间较短的渠道网点业务量也较小，因而大幅拉低了单台设备平均应收账款余额。电子运营商服务业务的主要客户为三大电信运营商，根据三大运营商自身较为强势的结算政策，在一定时间内向申请人支付运营佣金、奖励分成，付款周期为6个月到1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申请人预付款项主要为IBT微终端和手机设备采购支出。报告期内，申请人预付款项增加主要为采购IBT终端和手机设备。2016年6月30日，2015年末和2014年末，申请人预付款项明细如下：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2"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000"/>
        <w:gridCol w:w="2077"/>
        <w:gridCol w:w="2127"/>
        <w:gridCol w:w="23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000"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 </w:t>
            </w:r>
          </w:p>
        </w:tc>
        <w:tc>
          <w:tcPr>
            <w:tcW w:w="2077"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2016年6月30日</w:t>
            </w:r>
          </w:p>
        </w:tc>
        <w:tc>
          <w:tcPr>
            <w:tcW w:w="2127"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2015年末</w:t>
            </w:r>
          </w:p>
        </w:tc>
        <w:tc>
          <w:tcPr>
            <w:tcW w:w="2318"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2014年末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2000"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采购IBT终端</w:t>
            </w:r>
          </w:p>
        </w:tc>
        <w:tc>
          <w:tcPr>
            <w:tcW w:w="207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30,283,029.06</w:t>
            </w:r>
          </w:p>
        </w:tc>
        <w:tc>
          <w:tcPr>
            <w:tcW w:w="212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22,707,614.06</w:t>
            </w:r>
          </w:p>
        </w:tc>
        <w:tc>
          <w:tcPr>
            <w:tcW w:w="231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 8,250,307.69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000"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采购手机设备</w:t>
            </w:r>
          </w:p>
        </w:tc>
        <w:tc>
          <w:tcPr>
            <w:tcW w:w="207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11,850,945.02</w:t>
            </w:r>
          </w:p>
        </w:tc>
        <w:tc>
          <w:tcPr>
            <w:tcW w:w="212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8,583,126.02</w:t>
            </w:r>
          </w:p>
        </w:tc>
        <w:tc>
          <w:tcPr>
            <w:tcW w:w="231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 2,381,855.92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000"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其他</w:t>
            </w:r>
          </w:p>
        </w:tc>
        <w:tc>
          <w:tcPr>
            <w:tcW w:w="207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193,320.00</w:t>
            </w:r>
          </w:p>
        </w:tc>
        <w:tc>
          <w:tcPr>
            <w:tcW w:w="212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529,445.00</w:t>
            </w:r>
          </w:p>
        </w:tc>
        <w:tc>
          <w:tcPr>
            <w:tcW w:w="231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 748,667.00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2000" w:type="dxa"/>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合计</w:t>
            </w:r>
          </w:p>
        </w:tc>
        <w:tc>
          <w:tcPr>
            <w:tcW w:w="2077"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42,327,294.08</w:t>
            </w:r>
          </w:p>
        </w:tc>
        <w:tc>
          <w:tcPr>
            <w:tcW w:w="2127"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31,820,185.08</w:t>
            </w:r>
          </w:p>
        </w:tc>
        <w:tc>
          <w:tcPr>
            <w:tcW w:w="2318"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11,380,830.61</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截至2016年6月30日，申请人向苏州东润信息技术有限公司采购IBT终端设备，预付款项余额为30,283,029.06元。同时，申请人通过向上游手机供应商或代理商采购苹果、联想、华为、OPPO等品牌手机设备，预付款项余额为11,850,945.02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2、关于大额往来款的具体情况和产生原因，是否合法合规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同时开展充值代收代付业务，2015年度该项业务发生额占“收到的其他与经营活动有关的现金”金额较大。申请人与运营商或全国性充值平台签订代理协议，下游零售渠道商可以利用申请人提供的“迷你电子营业厅微终端”为用户进行充值服务，方便下游经销商为终端用户进行充值。下游经销商通过转账、网银支付等方式，将收款直接汇入申请人的对公账户，申请人在收到充值业务款项时，将该业务产生的现金通过“收到其他与经营活动有关的现金”科目进行核算。同时，申请人通过转账或网银支付等方式，将代收款项支付给上游电信运营商或上游代理商，并通过“支付其他与经营活动有关的现金”科目进行核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由于三大运营商在充值业务的结算政策上会不断浮动，申请人向上游运营商实际支付的款项不一定完全会跟向下游经销商收取的充值费相同。充值业务在申请人业务定位中扮演着吸引客户与增加客户依赖度的作用，并非申请人主营业务和盈利点，申请人可以利用较大的充值流水进行营运资金管理、加强上下游业务联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根据主办券商、律师、会计师的核查，申请人分别与上游供应商及下游客户签订代理服务协议、合作协议，不属于非金融机构支付业务，申请人因从事代收代付业务而产生大额往来款不存在违反法律法规而受到行政处罚情形，经营行为合法、合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主办券商和会计师认为，申请人经营活动现金流量为负主要是应收账款、预付款项大幅增加所致，申请人经营活动产生的大额往来款跟申请人当前业务模式相关，大额往来款产生合法合规。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律师认为，申请人分别与上游供应商及下游客户签订代理服务协议、合作协议，不属于非金融机构支付业务，申请人因从事代收代付业务而产生大额往来款不存在违反法律法规而受到行政处罚的情形，经营行为合法、合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（三）关于决策程序的情况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审核中关注到，一名董事和占当次股东大会有表决权股份总数的16.43%的股东分别在与本次股票发行有关的第一届董事会第二十二次会议、2016年第三次临时股东大会投反对票。对此，请主办券商和律师核查以上董事、股东投反对票的原因，以及本次股票发行方案、表决程序是否合法合规，是否存在潜在问题和纠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主办券商和律师回复称：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第一届董事会第二十二次会议上，相关议案表决结果为4名董事赞成，1名反对，0名弃权，其中董事徐瑞芬投反对票。根据董事徐瑞芬填写的《表决票》，其投反对票的理由为“定价太低，不符合市场原则，对于其他非管理层股东锁定期太长，一年锁定期更为合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2016年第三次临时股东大会上，相关议案表决结果为同意23,147,750股，占出席会议有表决权股份的83.57%；反对4,550,750股，占出席会议有表决权股份的16.43%，其中，股东徐瑞芬、上海泓域迩投资合伙企业（有限合伙）（以下简称“泓域迩投资”）、上海棕泉珥投资合伙企业（有限合伙）（以下简称“棕泉珥投资”）、欧阳春炜、上海屹和投资管理合伙企业（有限合伙）（以下简称“屹和投资”）就与本次发行有关议案投反对票。根据投反对票的股东填写的《表决票》，股东徐瑞芬及其代表泓域迩投资、棕泉珥投资就本次发行相关议案反对的理由均为本次发行价格太低且非管理层小股东锁定期太长；王婧代表欧阳春炜、屹和投资就本次发行相关议案反对的理由为定增价格偏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主办券商和律师认为，投反对票的董事或股东及股东代表已在表决票内写明本次议案反对理由，本次董事会、股东大会投票表决结束后，申请人统计并公布了每项议案的现场投票表决结果，履行了相关信息披露义务。本次股票发行方案符合《公司法》、《管理办法》、《发行业务规则》等法律、法规及规范性文件规定；申请人本次董事会、股东大会的召集、召开的程序、表决方式和表决程序符合《公司法》、《董事会议事规则》、《股东大会议事规则》等法律法规、其他规范性文件及《公司章程》的相关规定，合法有效，不存在潜在问题及纠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（四）关于申请人前一次股票发行方案是否已撤销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审核中关注到，申请人曾于2015年8月25日向我会提交定向发行的行政许可申请，该次发行方案经第一届董事会第九次会议和2015年第四次临时股东大会审议通过，发行对象为11名在册股东。申请人该次定向发行申请于2015年10月9日被我会正式受理后，申请人以“综合考虑目前的融资环境和融资时机等因素”向我会书面申请撤回了行政许可申请。对此，请申请人补充披露该次股票发行方案是否已撤销，相关信息披露是否符合全国中小企业股份转让系统信息披露的有关规定。同时，请主办券商、律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申请人补充披露：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与2015年8月25日申请人向我会提交定向发行的行政许可申请有关的会议为第一届董事会第九次会议和2015年第四次临时股东大会。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申请人第一届董事会第九次会议（2015年3月16日召开）审议通过的《关于上海易销科技股份有限公司定向发行股票的议案》的有效期为股东大会批准之日起十二个月，《关于提请股东大会授权董事会全权办理本次股票发行相关事宜的议案》中本次股票发行对董事会授权的有效期自股东大会（2015年4月2日召开）批准授权之日起十二个月。2016年4月29日，申请人召开了关于本次股票发行的第一届董事会第二十二次会议，截至本次股票发行相关董事会召开之日，前次股票发行议案已超过有效期，不具备法律效力，因此，申请人未单独就前次股票发行方案撤销召开董事会及股东大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主办券商和律师认为，申请人虽未就撤销前次股票发行方案召开董事会或股东大会，但是前次股票发行方案已经超过有效期，申请人的相关信息披露符合《全国中小企业股份转让系统挂牌公司信息披露细则（试行）》的有关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（五）关于募集资金用途</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审核中关注到，挂牌以来申请人累计进行了3次定向发行，共募集资金6519.6万元。认购人将历次募集资金汇至银行基本账户，申请人根据经营业务需要划转至一般账户使用，2015年度申请人存在将部分募集资金用于理财产品、私募基金的情况。本次股票发行拟募集资金不超过5700万元，募集资金将投产、研发“迷你电子营业厅微终端”及补充流动资金。对此，请申请人补充披露：（1）自挂牌以来募集资金实际使用情况，是否与公开披露的募集资金用途一致，如实际使用超出方案披露的范围，是否有相应授权，募集资金是否用于持有交易性金融资产和可供出售的金融资产、借予他人、委托理财等财务性投资，是否直接或间接投资于以买卖有价证券为主要业务的公司；（2）结合所处行业、经营模式、财务状况等因素量化分析募集资金的必要性和合理性。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申请人补充披露：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1、挂牌以来募集资金实际使用情况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申请人自挂牌以来，已累计完成了三次定向发行股票融资，累计募集资金总计6,519.60万元，截至反馈意见回复出具之日，申请人历次募集资金已经使用完毕。申请人在前次募集资金的过程中，并未建立募集资金管理制度和募集资金专用账户。认购人将历次募集资金汇至公司的银行基本账户，股票发行完成后申请人根据经营业务需要划转至一般账户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鉴于申请人之前并未设立募集资金专户，为了对募集资金和自有资金的使用进行区分，明确前次募集资金的实际使用情况，2016年7月7日，申请人召开第一届董事会第二十三次会议，审议通过了《关于上海易销科技股份有限公司前次募集资金使用情况专项调查意见》的议案，全体董事对历次募集资金实际使用情况予以确认。上述募集资金用于购置设备及支付人工工资，超出了披露的募集资金用途范围。同时，申请人为充分使用闲置资金，购买了安全性高、流动性好的短期理财产品。2015年6月底，申请人购买短期理财产品的滚动累计金额约8,400.00万元都已经收回。自2015年7月开始，申请人并未购买任何理财产品。申请人历次募集资金实际使用情况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1）申请人于第一届董事会第四次会议以及2014年第三次临时股东大会审议通过了与股票发行相关议案。本次股票发行实际收到增资款1,155.00万元。该次股票发行方案披露的募集资金用途为补充流动资金。该次募集资金的实际使用情况如下（实际使用资金超出募集资金部分已用自有资金或银行贷款补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319"/>
        <w:gridCol w:w="22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6319"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本次募集资金</w:t>
            </w:r>
          </w:p>
        </w:tc>
        <w:tc>
          <w:tcPr>
            <w:tcW w:w="2209" w:type="dxa"/>
            <w:tcBorders>
              <w:top w:val="single" w:color="000000" w:sz="12" w:space="0"/>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11,550,000.00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向苏州东润信息技术有限公司采购迷你电子营业厅微终端设备</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9,653,400.00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jc w:val="center"/>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向上海宝擎电子有限公司采购迷你电子营业厅微终端设备</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1,040,200.00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支付员工工资、社保</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908,004.18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6319" w:type="dxa"/>
            <w:tcBorders>
              <w:top w:val="nil"/>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合计使用</w:t>
            </w:r>
          </w:p>
        </w:tc>
        <w:tc>
          <w:tcPr>
            <w:tcW w:w="220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11,601,604.18</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申请人于第一届董事会第六次会议以及2015年第一次临时股东大会审议通过了与股票发行相关议案。本次股票发行实际收到增资款5295.00万元。该次股票发行方案披露的募集资金用途为补充公司流动资金。该次募集资金的实际使用情况如下（实际使用资金超出募集资金部分已用自有资金或银行贷款补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8"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319"/>
        <w:gridCol w:w="22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6319"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本次募集资金</w:t>
            </w:r>
          </w:p>
        </w:tc>
        <w:tc>
          <w:tcPr>
            <w:tcW w:w="2209" w:type="dxa"/>
            <w:tcBorders>
              <w:top w:val="single" w:color="000000" w:sz="12" w:space="0"/>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52,950,000.00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向苏州东润信息技术有限公司采购迷你电子营业厅微终端设备</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28,777,440.00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向上海宝擎电子有限公司采购迷你电子营业厅微终端设备</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17,039,750.00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支付员工工资、社保</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7,318,979.47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397" w:hRule="atLeast"/>
        </w:trPr>
        <w:tc>
          <w:tcPr>
            <w:tcW w:w="6319" w:type="dxa"/>
            <w:tcBorders>
              <w:top w:val="nil"/>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合计使用</w:t>
            </w:r>
          </w:p>
        </w:tc>
        <w:tc>
          <w:tcPr>
            <w:tcW w:w="220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53,136,169.47</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（3）申请人于第一届董事会第八次会议以及2015 年第三次临时股东大会审议通过了与股票发行相关议案。本次股票发行实际收到增资款69.60万元。该次股票发行方案披露的募集资金用途为补充流动资金。该次募集资金的实际使用情况如下（实际使用资金超出募集资金部分已用自有资金或银行贷款补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319"/>
        <w:gridCol w:w="22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jc w:val="center"/>
        </w:trPr>
        <w:tc>
          <w:tcPr>
            <w:tcW w:w="6319"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本次募集资金</w:t>
            </w:r>
          </w:p>
        </w:tc>
        <w:tc>
          <w:tcPr>
            <w:tcW w:w="2209" w:type="dxa"/>
            <w:tcBorders>
              <w:top w:val="single" w:color="000000" w:sz="12" w:space="0"/>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696,000.00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jc w:val="center"/>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jc w:val="center"/>
        </w:trPr>
        <w:tc>
          <w:tcPr>
            <w:tcW w:w="631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向上海宝擎电子有限公司采购迷你电子营业厅微终端设备</w:t>
            </w:r>
          </w:p>
        </w:tc>
        <w:tc>
          <w:tcPr>
            <w:tcW w:w="2209"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752,000.00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jc w:val="center"/>
        </w:trPr>
        <w:tc>
          <w:tcPr>
            <w:tcW w:w="6319" w:type="dxa"/>
            <w:tcBorders>
              <w:top w:val="nil"/>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合计使用</w:t>
            </w:r>
          </w:p>
        </w:tc>
        <w:tc>
          <w:tcPr>
            <w:tcW w:w="2209"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752,000.00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由于申请人存在实际募集资金用途超出披露用途范围的情形，2016年7月28日，申请人召开第一届董事会第二十四次会议决议，确认申请人挂牌以来历次募集资金实际用途超出披露的募集资金用途范围，对历次募集资金实际投向进行了确认。2016年8月12日，申请人召开2016年第四次临时股东大会，对上述事项予以确认，募集资金实际投向虽然超出披露范围，但与主营业务相关，有利于促进申请人业务发展，不存在损害申请人股东利益的情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已出具承诺函，承诺本次定向发行募集资金将严格按照发行方案披露的用途使用，不会将募集资金用于持有交易性金融资产和可供出售金融资产、借予他人、委托理财等财务性投资，直接或者间接投资于以买卖有价证券为主要业务的公司，同时，申请人已经设立专项银行账户，用于存放和管理本次发行募集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2、募集资金的必要性和合理性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本次股票发行募集资金将投产、研发“迷你电子营业厅微终端”及补充流动资金。具体募集资金计划用途如下：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8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单位：万元</w:t>
      </w:r>
    </w:p>
    <w:tbl>
      <w:tblPr>
        <w:tblW w:w="8522"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668"/>
        <w:gridCol w:w="3543"/>
        <w:gridCol w:w="1276"/>
        <w:gridCol w:w="20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668"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资金使用项目</w:t>
            </w:r>
          </w:p>
        </w:tc>
        <w:tc>
          <w:tcPr>
            <w:tcW w:w="3543"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项目内容</w:t>
            </w:r>
          </w:p>
        </w:tc>
        <w:tc>
          <w:tcPr>
            <w:tcW w:w="1276"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预计金额</w:t>
            </w:r>
          </w:p>
        </w:tc>
        <w:tc>
          <w:tcPr>
            <w:tcW w:w="2035"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拟投入资金占本次 募集资金比例（%）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668"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购买设备</w:t>
            </w:r>
          </w:p>
        </w:tc>
        <w:tc>
          <w:tcPr>
            <w:tcW w:w="35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投产“迷你电子营业厅微终端” 约30,000台</w:t>
            </w:r>
          </w:p>
        </w:tc>
        <w:tc>
          <w:tcPr>
            <w:tcW w:w="1276"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4,500.00 </w:t>
            </w:r>
          </w:p>
        </w:tc>
        <w:tc>
          <w:tcPr>
            <w:tcW w:w="2035"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78.95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668" w:type="dxa"/>
            <w:vMerge w:val="restart"/>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技术研发</w:t>
            </w:r>
          </w:p>
        </w:tc>
        <w:tc>
          <w:tcPr>
            <w:tcW w:w="35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“迷你电子营业厅微终端”技术升级研发费</w:t>
            </w:r>
          </w:p>
        </w:tc>
        <w:tc>
          <w:tcPr>
            <w:tcW w:w="1276"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400.00</w:t>
            </w:r>
          </w:p>
        </w:tc>
        <w:tc>
          <w:tcPr>
            <w:tcW w:w="2035"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668" w:type="dxa"/>
            <w:vMerge w:val="continue"/>
            <w:tcBorders>
              <w:top w:val="single" w:color="000000" w:sz="4" w:space="0"/>
              <w:left w:val="single" w:color="000000" w:sz="12" w:space="0"/>
              <w:bottom w:val="single" w:color="000000" w:sz="4" w:space="0"/>
              <w:right w:val="single" w:color="000000" w:sz="4" w:space="0"/>
            </w:tcBorders>
            <w:shd w:val="clear"/>
            <w:vAlign w:val="center"/>
          </w:tcPr>
          <w:p>
            <w:pPr>
              <w:rPr>
                <w:rFonts w:hint="eastAsia" w:ascii="宋体"/>
                <w:sz w:val="24"/>
                <w:szCs w:val="24"/>
                <w:u w:val="none"/>
              </w:rPr>
            </w:pPr>
          </w:p>
        </w:tc>
        <w:tc>
          <w:tcPr>
            <w:tcW w:w="35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“第三代迷你电子营业厅微终端”研发费</w:t>
            </w:r>
          </w:p>
        </w:tc>
        <w:tc>
          <w:tcPr>
            <w:tcW w:w="1276"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700.00</w:t>
            </w:r>
          </w:p>
        </w:tc>
        <w:tc>
          <w:tcPr>
            <w:tcW w:w="2035"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12.28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668"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补充流动资金</w:t>
            </w:r>
          </w:p>
        </w:tc>
        <w:tc>
          <w:tcPr>
            <w:tcW w:w="35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补充“迷你电子营业厅微终端”在国内各省运营扩张及公司日常经营的流动资金</w:t>
            </w:r>
          </w:p>
        </w:tc>
        <w:tc>
          <w:tcPr>
            <w:tcW w:w="1276"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100.00</w:t>
            </w:r>
          </w:p>
        </w:tc>
        <w:tc>
          <w:tcPr>
            <w:tcW w:w="2035"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5211" w:type="dxa"/>
            <w:gridSpan w:val="2"/>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合计</w:t>
            </w:r>
          </w:p>
        </w:tc>
        <w:tc>
          <w:tcPr>
            <w:tcW w:w="1276"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5,700.00</w:t>
            </w:r>
          </w:p>
        </w:tc>
        <w:tc>
          <w:tcPr>
            <w:tcW w:w="2035"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100.00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（1）投产“迷你电子营业厅微终端”约30,000台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根据申请人2016年渠道发展规划和各分公司以及渠道商上报的需求计划，申请人预计全年生产并布设55,392台“迷你电子营业厅微终端”，分别由上海分公司布设1,771台，浙江分公司布设4,423台，江苏分公司布设4,302台，北京分公司布设4,563台，河南代理商布设6,172台，安徽代理商布设6,161台，通过新增三个直营分公司渠道布设12,000台，通过新增四个代理商渠道布设16,000台。到2016年末，在已完成布设的25,108台设备的基础上，完成申请人80,500台设备的布点。此次募集资金约4,500.00万元将用于投产30,000台“迷你电子营业厅微终端”，余下25,392台“迷你电子营业厅微终端”将用自有资金或银行贷款补足。“迷你电子营业厅微终端”的生产成本主要由身份证网络阅读系统和其他原材料构成，当前采购成本平均约1,500.00元/台。申请人的“迷你电子营业厅微终端”配合落实国家“手机实名制登记”的要求，安装了身份证网络阅读系统，该种阅读系统能够识别与读取二代身份证的准确信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315"/>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（2）技术研发支出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申请人2016年（预计数）、2015年、2014年研发投入金额如下：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8"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662"/>
        <w:gridCol w:w="1844"/>
        <w:gridCol w:w="2113"/>
        <w:gridCol w:w="19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trPr>
        <w:tc>
          <w:tcPr>
            <w:tcW w:w="2662"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1844"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2014年</w:t>
            </w:r>
          </w:p>
        </w:tc>
        <w:tc>
          <w:tcPr>
            <w:tcW w:w="2113"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w:t>
            </w:r>
          </w:p>
        </w:tc>
        <w:tc>
          <w:tcPr>
            <w:tcW w:w="1909"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预计2016年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662"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研发投入金额</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1,555,394.35</w:t>
            </w:r>
          </w:p>
        </w:tc>
        <w:tc>
          <w:tcPr>
            <w:tcW w:w="211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9,209,841.93</w:t>
            </w:r>
          </w:p>
        </w:tc>
        <w:tc>
          <w:tcPr>
            <w:tcW w:w="1909"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662"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营业收入</w:t>
            </w:r>
          </w:p>
        </w:tc>
        <w:tc>
          <w:tcPr>
            <w:tcW w:w="1844"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20,103,398.62</w:t>
            </w:r>
          </w:p>
        </w:tc>
        <w:tc>
          <w:tcPr>
            <w:tcW w:w="211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85,975,935.37</w:t>
            </w:r>
          </w:p>
        </w:tc>
        <w:tc>
          <w:tcPr>
            <w:tcW w:w="1909"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130,000,000.00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662" w:type="dxa"/>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研发投入占营业收入占比</w:t>
            </w:r>
          </w:p>
        </w:tc>
        <w:tc>
          <w:tcPr>
            <w:tcW w:w="1844"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7.74%</w:t>
            </w:r>
          </w:p>
        </w:tc>
        <w:tc>
          <w:tcPr>
            <w:tcW w:w="2113"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10.71%</w:t>
            </w:r>
          </w:p>
        </w:tc>
        <w:tc>
          <w:tcPr>
            <w:tcW w:w="1909"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15.38%</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所处的行业为信息传输、软件和信息技术服务业，行业技术发展与更新换代较快，需要公司不断进行研发投入，以满足技术进步和用户的需求。申请人在运营商业务日趋复杂及快速变化的情况下，不断完善和优化公司技术服务产品。随着申请人产品线及目标受众的不断拓展，对技术的创新要求不断提升，为此申请人研发团队根据申请人发展需要，发展和完善公司产品，为巩固现有市场、开拓新的市场注入活力。2015年度申请人研发投入占比较2014年度有所增长，预计2016年度研发投入占比较2015年度将有所增长。2016年申请人在对现有“迷你电子营业厅微终端”进行升级改造的同时，为保持申请人竞争优势，集成更多系统功能，申请人开始对“第三代迷你电子营业厅微终端”进行研究开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8"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42"/>
        <w:gridCol w:w="2843"/>
        <w:gridCol w:w="28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842"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2843"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2016年1月-6月</w:t>
            </w:r>
          </w:p>
        </w:tc>
        <w:tc>
          <w:tcPr>
            <w:tcW w:w="2843"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842"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研发人员薪酬</w:t>
            </w:r>
          </w:p>
        </w:tc>
        <w:tc>
          <w:tcPr>
            <w:tcW w:w="28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1,435,806.03</w:t>
            </w:r>
          </w:p>
        </w:tc>
        <w:tc>
          <w:tcPr>
            <w:tcW w:w="2843"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1,627,117.84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842"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折旧费</w:t>
            </w:r>
          </w:p>
        </w:tc>
        <w:tc>
          <w:tcPr>
            <w:tcW w:w="28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3,350,399.37</w:t>
            </w:r>
          </w:p>
        </w:tc>
        <w:tc>
          <w:tcPr>
            <w:tcW w:w="2843"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2,567,102.04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842"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服务费</w:t>
            </w:r>
          </w:p>
        </w:tc>
        <w:tc>
          <w:tcPr>
            <w:tcW w:w="28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2,481,671.48</w:t>
            </w:r>
          </w:p>
        </w:tc>
        <w:tc>
          <w:tcPr>
            <w:tcW w:w="2843"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2,775,538.36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842"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磨具购置</w:t>
            </w:r>
          </w:p>
        </w:tc>
        <w:tc>
          <w:tcPr>
            <w:tcW w:w="28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643,290.56</w:t>
            </w:r>
          </w:p>
        </w:tc>
        <w:tc>
          <w:tcPr>
            <w:tcW w:w="2843"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77,626.84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842"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设备维护费</w:t>
            </w:r>
          </w:p>
        </w:tc>
        <w:tc>
          <w:tcPr>
            <w:tcW w:w="28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572,700</w:t>
            </w:r>
          </w:p>
        </w:tc>
        <w:tc>
          <w:tcPr>
            <w:tcW w:w="2843"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581,831.03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842"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其他</w:t>
            </w:r>
          </w:p>
        </w:tc>
        <w:tc>
          <w:tcPr>
            <w:tcW w:w="284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465,249.92</w:t>
            </w:r>
          </w:p>
        </w:tc>
        <w:tc>
          <w:tcPr>
            <w:tcW w:w="2843"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1,580,625.82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2842" w:type="dxa"/>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合计</w:t>
            </w:r>
          </w:p>
        </w:tc>
        <w:tc>
          <w:tcPr>
            <w:tcW w:w="2843"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8,949,117.36</w:t>
            </w:r>
          </w:p>
        </w:tc>
        <w:tc>
          <w:tcPr>
            <w:tcW w:w="2843"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9,209,841.93</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2015年，申请人技术研发人员由18人增长到42人，增长了133.33%。2015年申请人研发支出共计9,209,841.93元，其中除去折旧费的付现成本为6,642,739.89元。付现成本主要由研发人员工资、办公费、外包研发服务费、低值易耗品、设备维护费组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2016年上半年，申请人已经发生研发支出8,949,117.36元，其中应付公司研发人员职工薪酬1,435,806.03元。根据申请人人才战略规划，申请人将逐步建立约75人的技术研发团队，研发人员数量与工资薪酬将进一步上升。按照申请人目前的研发投入，申请人全年度研发投入金额约为2,000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（3）补充流动资金的合理性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申请人2015年度、2014年度营业收入85,975,935.37元、20,103,398.62元，各年度经营性流动资产和经营性流动负债占销售收入的比例及平均比例如下：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8"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171"/>
        <w:gridCol w:w="1740"/>
        <w:gridCol w:w="1140"/>
        <w:gridCol w:w="1770"/>
        <w:gridCol w:w="1489"/>
        <w:gridCol w:w="12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171"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1740"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2015年12月31日</w:t>
            </w:r>
          </w:p>
        </w:tc>
        <w:tc>
          <w:tcPr>
            <w:tcW w:w="1140"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占2015年度销售收入比例</w:t>
            </w:r>
          </w:p>
        </w:tc>
        <w:tc>
          <w:tcPr>
            <w:tcW w:w="1770"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2014年12月31日</w:t>
            </w:r>
          </w:p>
        </w:tc>
        <w:tc>
          <w:tcPr>
            <w:tcW w:w="1489"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占2014年度销售收入比例</w:t>
            </w:r>
          </w:p>
        </w:tc>
        <w:tc>
          <w:tcPr>
            <w:tcW w:w="1218"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平均比例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171"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应收账款</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25,781,090.54</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29.99%</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11,671,937.85</w:t>
            </w:r>
          </w:p>
        </w:tc>
        <w:tc>
          <w:tcPr>
            <w:tcW w:w="1489"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58.06%</w:t>
            </w:r>
          </w:p>
        </w:tc>
        <w:tc>
          <w:tcPr>
            <w:tcW w:w="121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44.02%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171"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预付款项</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31,820,185.08</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37.01%</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11,380,830.61</w:t>
            </w:r>
          </w:p>
        </w:tc>
        <w:tc>
          <w:tcPr>
            <w:tcW w:w="1489"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56.61%</w:t>
            </w:r>
          </w:p>
        </w:tc>
        <w:tc>
          <w:tcPr>
            <w:tcW w:w="121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46.81%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171"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其他应收款</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5,062,586.75</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5.89%</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6,762,116.88</w:t>
            </w:r>
          </w:p>
        </w:tc>
        <w:tc>
          <w:tcPr>
            <w:tcW w:w="1489"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33.64%</w:t>
            </w:r>
          </w:p>
        </w:tc>
        <w:tc>
          <w:tcPr>
            <w:tcW w:w="121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19.76%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171"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存货</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2,733,764.44</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3.18%</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2,745,136.65</w:t>
            </w:r>
          </w:p>
        </w:tc>
        <w:tc>
          <w:tcPr>
            <w:tcW w:w="1489"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13.66%</w:t>
            </w:r>
          </w:p>
        </w:tc>
        <w:tc>
          <w:tcPr>
            <w:tcW w:w="121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171"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其他流动资产</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2,257,127.83</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2.63%</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295,246.00</w:t>
            </w:r>
          </w:p>
        </w:tc>
        <w:tc>
          <w:tcPr>
            <w:tcW w:w="1489"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1.47%</w:t>
            </w:r>
          </w:p>
        </w:tc>
        <w:tc>
          <w:tcPr>
            <w:tcW w:w="121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171" w:type="dxa"/>
            <w:tcBorders>
              <w:top w:val="single" w:color="000000" w:sz="4"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经营性流动资产总额</w:t>
            </w:r>
          </w:p>
        </w:tc>
        <w:tc>
          <w:tcPr>
            <w:tcW w:w="17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67,654,754.64</w:t>
            </w:r>
          </w:p>
        </w:tc>
        <w:tc>
          <w:tcPr>
            <w:tcW w:w="114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78.69%</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32,855,267.99</w:t>
            </w:r>
          </w:p>
        </w:tc>
        <w:tc>
          <w:tcPr>
            <w:tcW w:w="1489"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163.43%</w:t>
            </w:r>
          </w:p>
        </w:tc>
        <w:tc>
          <w:tcPr>
            <w:tcW w:w="1218" w:type="dxa"/>
            <w:tcBorders>
              <w:top w:val="single" w:color="000000" w:sz="4"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121.06%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7" w:hRule="atLeast"/>
        </w:trPr>
        <w:tc>
          <w:tcPr>
            <w:tcW w:w="1171" w:type="dxa"/>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经营性流动负债总额</w:t>
            </w:r>
          </w:p>
        </w:tc>
        <w:tc>
          <w:tcPr>
            <w:tcW w:w="1740"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5,166,008.17</w:t>
            </w:r>
          </w:p>
        </w:tc>
        <w:tc>
          <w:tcPr>
            <w:tcW w:w="1140"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6.01%</w:t>
            </w:r>
          </w:p>
        </w:tc>
        <w:tc>
          <w:tcPr>
            <w:tcW w:w="1770"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5,811,138.36</w:t>
            </w:r>
          </w:p>
        </w:tc>
        <w:tc>
          <w:tcPr>
            <w:tcW w:w="1489"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28.91%</w:t>
            </w:r>
          </w:p>
        </w:tc>
        <w:tc>
          <w:tcPr>
            <w:tcW w:w="1218"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17.46%</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根据申请人目前的经营情况、市场状况、申请人全年收入分布状态与上半年已经完成的销售收入，申请人预计2016年度营业收入较2015年度增长60%。测算申请人2016年度、2017年度销售收入情况如下：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单位：元</w:t>
      </w:r>
    </w:p>
    <w:tbl>
      <w:tblPr>
        <w:tblW w:w="8522"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704"/>
        <w:gridCol w:w="1704"/>
        <w:gridCol w:w="1704"/>
        <w:gridCol w:w="1705"/>
        <w:gridCol w:w="17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704"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项目</w:t>
            </w:r>
          </w:p>
        </w:tc>
        <w:tc>
          <w:tcPr>
            <w:tcW w:w="1704"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2015年度</w:t>
            </w:r>
          </w:p>
        </w:tc>
        <w:tc>
          <w:tcPr>
            <w:tcW w:w="1704"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预计增长比例</w:t>
            </w:r>
          </w:p>
        </w:tc>
        <w:tc>
          <w:tcPr>
            <w:tcW w:w="1705" w:type="dxa"/>
            <w:tcBorders>
              <w:top w:val="single" w:color="000000" w:sz="12"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预计2016年度</w:t>
            </w:r>
          </w:p>
        </w:tc>
        <w:tc>
          <w:tcPr>
            <w:tcW w:w="1705" w:type="dxa"/>
            <w:tcBorders>
              <w:top w:val="single" w:color="000000" w:sz="12" w:space="0"/>
              <w:left w:val="single" w:color="000000" w:sz="4" w:space="0"/>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预计2017年度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704" w:type="dxa"/>
            <w:tcBorders>
              <w:top w:val="single" w:color="000000" w:sz="4" w:space="0"/>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营业收入</w:t>
            </w:r>
          </w:p>
        </w:tc>
        <w:tc>
          <w:tcPr>
            <w:tcW w:w="1704"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85,975,935.37</w:t>
            </w:r>
          </w:p>
        </w:tc>
        <w:tc>
          <w:tcPr>
            <w:tcW w:w="1704"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60.00%</w:t>
            </w:r>
          </w:p>
        </w:tc>
        <w:tc>
          <w:tcPr>
            <w:tcW w:w="1705" w:type="dxa"/>
            <w:tcBorders>
              <w:top w:val="single" w:color="000000" w:sz="4" w:space="0"/>
              <w:left w:val="single" w:color="000000" w:sz="4"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137,561,496.59</w:t>
            </w:r>
          </w:p>
        </w:tc>
        <w:tc>
          <w:tcPr>
            <w:tcW w:w="1705" w:type="dxa"/>
            <w:tcBorders>
              <w:top w:val="single" w:color="000000" w:sz="4" w:space="0"/>
              <w:left w:val="single" w:color="000000" w:sz="4" w:space="0"/>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220,098,394.55</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根据申请人2015年的实际情况，申请人预计的2016年度、2017年度合计营运资金缺口为165,533,190.28元。申请人将通过多种手段和方式补充流动资金，实现公司顺利发展。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主办券商和会计师认为，申请人历次募集资金实际使用情况超出披露的募集资金用途范围，但上述事项已经经过第一届董事会第二十四次会议和2016年第四次临时股东大会补充确认。历次募集资金未用于持有交易性金融资产和可供出售金融资产、借予他人、委托理财等财务性投资，未直接或者间接投资于以买卖有价证券为主要业务的公司的情况。本次募集资金拟投产、研发“迷你电子营业厅微终端”及补充流动资金必要且合理，符合申请人战略发展规划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（六）关于资金占用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审核中关注到，申请人未披露报告期内是否存在资金占用等情况。对此，请申请人补充披露报告期内是否存在资金占用等违规使用资金的问题。同时，请主办券商、会计师核查并发表明确意见。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申请人补充披露：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报告期内，除申请人控股股东薛俊及股东高骏华使用总计618.40万元作为员工备用金用于经营性往来外，申请人控股股东及其他关联方不存在资金占用等违规使用资金的问题。中兴财光华会计师事务所对此事项特出具了《关于上海易销科技股份有限公司控股股东及其他关联方占用资金情况的专项说明》（中兴财光华审专字（2016）第304008号，已在http://www.neeq.com.cn/信息披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主办券商和会计师认为，报告期内，除申请人控股股东薛俊及股东高骏华使用总计618.40万元作为员工备用金用于经营性往来外，申请人控股股东及其他关联方不存在资金占用等违规使用资金的问题。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　　（七）关于中介机构发表意见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审核中关注到，中介机构发表意见不完整。对此，请主办券商、律师围绕《非上市公众公司信息披露内容与格式准则第3号——定向发行说明书和发行情况报告书》逐条进行核查并发表明确意见，包括并不限于本次发行的价格、发行对象、发行程序、优先认购安排、限售安排、本次发行对申请人的影响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根据主办券商和律师的回复，主办券商和律师已按要求发表了意见。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三、合规性审核意见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根据申请人提交的申请文件以及对反馈意见的回复，我会认为，申请人信息披露基本符合《公司法》、《证券法》、《管理办法》、《非上市公众公司信息披露内容与格式准则第3号——定向发行说明书和发行情况报告书》、《非上市公众公司信息披露内容与格式准则第4号——定向发行申请文件》等法律法规的规定，相关中介机构已就本次申请的相关问题依法发表了明确的意见。据此，我会同意上海易销科技股份有限公司向特定对象发行股票的申请。</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ZTYxYTQ2NWNhYzg0Yjk0NmNkZjcyOTY2YmEzMjMifQ=="/>
  </w:docVars>
  <w:rsids>
    <w:rsidRoot w:val="00000000"/>
    <w:rsid w:val="595372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2022-09-05T05:49:55Z</dcterms:created>
  <dc:creator>Lenovo</dc:creator>
  <cp:lastModifiedBy>Lenovo</cp:lastModifiedBy>
  <dcterms:modified xsi:type="dcterms:W3CDTF">2022-09-05T05:50:04Z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9C8C7572DBCF4C3687EB8C5C0D484B49</vt:lpwstr>
  </property>
</Properties>
</file>