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4" w:space="21"/>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pPr>
      <w:r>
        <w:rPr>
          <w:rFonts w:hint="eastAsia" w:ascii="微软雅黑" w:hAnsi="微软雅黑" w:eastAsia="微软雅黑" w:cs="微软雅黑"/>
          <w:i w:val="0"/>
          <w:iCs w:val="0"/>
          <w:caps w:val="0"/>
          <w:color w:val="333333"/>
          <w:spacing w:val="0"/>
          <w:u w:val="none"/>
          <w:bdr w:val="none" w:color="auto" w:sz="0" w:space="0"/>
          <w:shd w:val="clear" w:fill="FFFFFF"/>
        </w:rPr>
        <w:t>关于广东河源农村商业银行股份有限公司申请向特定对象发行股票的审核意见</w:t>
      </w:r>
      <w:bookmarkStart w:id="5" w:name="_GoBack"/>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84" w:lineRule="atLeast"/>
        <w:ind w:left="0" w:right="0" w:firstLine="0"/>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一、审核情况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416"/>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bdr w:val="none" w:color="auto" w:sz="0" w:space="0"/>
          <w:shd w:val="clear" w:fill="FFFFFF"/>
        </w:rPr>
        <w:t>（一）</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申请人全称为“广东河源农村商业银行股份有限公司”，住所地在广东省河源市新市区红星路199号，2010年在河源市源城区农村信用合作联社的基础上组建成立，目前在广东股权交易中心集中登记托管。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法定代表人卓仲宇，无控股股东、实际控制人，注册资本517,000,004元，总股本517,000,004股,主营业务为吸收存款、发放贷款、同业拆借、投资理财等中国银保监会批准的其他业务。截至2018年6月30日，申请人股本总额为517,000,004股。其中：法人股267,825,038股，占总股本的51.80%；自然人股249,174,966股，占总股本的48.20%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申请人主营业务为吸收存款、发放贷款、同业拆借、投资理财以及中国银保监会批准的其他业务。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（二）审核过程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向特定对象发行股票的行政许可申请于2018年10月24日正式受理。依据《公司法》《证券法》《非上市公众公司监督管理办法》（以下简称《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相关规定，我们对申请人提交的申请文件进行了合规性审核，于2018年11月7日向申请人发出书面反馈，申请人、律师及会计师于2018年12月5日提交了第一次反馈意见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4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二、审核中关注的问题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jc w:val="both"/>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　（一）关于财务指标及监管指标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审核中关注到，</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申请人净利差、净息差、拨备覆盖率、不良贷款率如下：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单位：%</w:t>
      </w:r>
    </w:p>
    <w:tbl>
      <w:tblP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13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2130"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2018年1-6月</w:t>
            </w:r>
          </w:p>
        </w:tc>
        <w:tc>
          <w:tcPr>
            <w:tcW w:w="2131"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w:t>
            </w:r>
          </w:p>
        </w:tc>
        <w:tc>
          <w:tcPr>
            <w:tcW w:w="2131"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1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净息差</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2131"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4.26</w:t>
            </w:r>
          </w:p>
        </w:tc>
        <w:tc>
          <w:tcPr>
            <w:tcW w:w="2131"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1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净利差</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2131"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4.14</w:t>
            </w:r>
          </w:p>
        </w:tc>
        <w:tc>
          <w:tcPr>
            <w:tcW w:w="2131"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1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拨备覆盖率</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312.30</w:t>
            </w:r>
          </w:p>
        </w:tc>
        <w:tc>
          <w:tcPr>
            <w:tcW w:w="2131"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468.82</w:t>
            </w:r>
          </w:p>
        </w:tc>
        <w:tc>
          <w:tcPr>
            <w:tcW w:w="2131"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393.44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1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不良贷款率</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0.89</w:t>
            </w:r>
          </w:p>
        </w:tc>
        <w:tc>
          <w:tcPr>
            <w:tcW w:w="2131"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0.59</w:t>
            </w:r>
          </w:p>
        </w:tc>
        <w:tc>
          <w:tcPr>
            <w:tcW w:w="2131"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0.65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　　申请人选取的同期可比公司对应平均指标如下：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单位：%</w:t>
      </w:r>
    </w:p>
    <w:tbl>
      <w:tblP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30"/>
        <w:gridCol w:w="2130"/>
        <w:gridCol w:w="2130"/>
        <w:gridCol w:w="2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4260" w:type="dxa"/>
            <w:gridSpan w:val="2"/>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2130"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2017年</w:t>
            </w:r>
          </w:p>
        </w:tc>
        <w:tc>
          <w:tcPr>
            <w:tcW w:w="2130"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2016年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60" w:type="dxa"/>
            <w:gridSpan w:val="2"/>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净息差</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2.43</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4260" w:type="dxa"/>
            <w:gridSpan w:val="2"/>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净利差</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2.22</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2130"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不良贷款率</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可比股份制银行</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1.78</w:t>
            </w:r>
          </w:p>
        </w:tc>
        <w:tc>
          <w:tcPr>
            <w:tcW w:w="2130"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130"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可比城商行</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1.53</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trPr>
        <w:tc>
          <w:tcPr>
            <w:tcW w:w="2130"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b w:val="0"/>
                <w:bCs w:val="0"/>
                <w:i w:val="0"/>
                <w:iCs w:val="0"/>
                <w:caps w:val="0"/>
                <w:color w:val="000000"/>
                <w:spacing w:val="0"/>
                <w:sz w:val="19"/>
                <w:szCs w:val="19"/>
                <w:u w:val="none"/>
                <w:bdr w:val="none" w:color="auto" w:sz="0" w:space="0"/>
              </w:rPr>
              <w:t>可比农商行</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1.43</w:t>
            </w:r>
          </w:p>
        </w:tc>
        <w:tc>
          <w:tcPr>
            <w:tcW w:w="213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textAlignment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要求申请人补充披露：（1）各项生息资产的平均收益率以及各项负债的平均成本率与同行业可比银行的差异及其原因分析，说明申请人经营业绩的合理性；（2）报告期内贷款五级分类具体情况、贷款逾期及展期情况，分析不良贷款与逾期贷款的差异情况；（3）结合信贷客户类型、规模、行业分布、客户资质等补充披露不良贷款率与同行业可比公司的差异原因</w:t>
      </w:r>
      <w:r>
        <w:rPr>
          <w:rFonts w:hint="eastAsia" w:ascii="微软雅黑" w:hAnsi="微软雅黑" w:eastAsia="微软雅黑" w:cs="微软雅黑"/>
          <w:b w:val="0"/>
          <w:bCs w:val="0"/>
          <w:i w:val="0"/>
          <w:iCs w:val="0"/>
          <w:caps w:val="0"/>
          <w:color w:val="000000"/>
          <w:spacing w:val="0"/>
          <w:sz w:val="21"/>
          <w:szCs w:val="21"/>
          <w:u w:val="none"/>
          <w:bdr w:val="none" w:color="auto" w:sz="0" w:space="0"/>
          <w:shd w:val="clear" w:fill="FFFFFF"/>
        </w:rPr>
        <w:t>；</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（4）拨备覆盖率与同行业可比公司是否存在差异以及差异的原因分析；（5）申请人对贷款风险的防范及应对措施。要求会计师核查并发表明确意见。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600"/>
        <w:jc w:val="both"/>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申请人选取了的同行业可比银行是：江苏张家港农村商业银行股份有限公司、江苏江阴农村商业银行股份有限公司、江苏常熟农村商业银行股份有限公司、无锡农村商业银行股份有限公司。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（1）关于各项生息资产的平均收益率以及各项负债的平均成本率与同行业可比银行的差异及其原因分析以及申请人经营业绩的合理性。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报告期内，申请人生息资产与计息负债明细情况如下：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万元、%</w:t>
      </w:r>
    </w:p>
    <w:tbl>
      <w:tblPr>
        <w:tblW w:w="9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70"/>
        <w:gridCol w:w="1434"/>
        <w:gridCol w:w="1145"/>
        <w:gridCol w:w="1100"/>
        <w:gridCol w:w="1274"/>
        <w:gridCol w:w="1145"/>
        <w:gridCol w:w="10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项目</w:t>
            </w:r>
          </w:p>
        </w:tc>
        <w:tc>
          <w:tcPr>
            <w:tcW w:w="3544" w:type="dxa"/>
            <w:gridSpan w:val="3"/>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2017年度</w:t>
            </w:r>
          </w:p>
        </w:tc>
        <w:tc>
          <w:tcPr>
            <w:tcW w:w="3543" w:type="dxa"/>
            <w:gridSpan w:val="3"/>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平均余额</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利息收支</w:t>
            </w:r>
          </w:p>
        </w:tc>
        <w:tc>
          <w:tcPr>
            <w:tcW w:w="1134"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平均利率</w:t>
            </w:r>
          </w:p>
        </w:tc>
        <w:tc>
          <w:tcPr>
            <w:tcW w:w="1275"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平均余额</w:t>
            </w:r>
          </w:p>
        </w:tc>
        <w:tc>
          <w:tcPr>
            <w:tcW w:w="1134"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利息收支</w:t>
            </w:r>
          </w:p>
        </w:tc>
        <w:tc>
          <w:tcPr>
            <w:tcW w:w="1134"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平均利率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生息资产小计</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1,023,629.64</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58,875.21</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5.75</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819,768.76</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49,984.24</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存放中央银行款项</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137,750.18 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1,926.29 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1.40 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111,655.33</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1,525.95</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存放同业款项</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231,035.41 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9,078.84 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3.93 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224,404.00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8,002.80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交易性金融资产</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2,000.00 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62.00 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3.10 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333.33</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7.64</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买入返售金融资产</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6,657.67 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533.34 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8.01 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发放贷款和垫款</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525,404.74 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41,550.48 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7.91 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471,184.49</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40,010.81</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可供出售金融资产</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28,596.28 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994.21 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3.48</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持有至到期投资</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36,547.86 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1,694.78 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4.64 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12,191.61</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437.04</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应收款项类投资</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55,637.50 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3,035.27 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5.46 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计息负债小计</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948,092.49</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15,199.20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1.61</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755,876.12</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14,344.88</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向中央银行借款</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11,000.00 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357.16 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3.25 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1,000.00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16.64</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同业及其他金融机构存放款</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81,408.63 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2,961.16 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3.64 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83,814.00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3,886.21</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卖出回购金融资产</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825.00 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33.36 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4.04 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98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吸收存款</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855,169.65 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11,847.52 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1.39 </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671,062.12</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10,442.03</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申请人净利差与净息差与同行业可比公司相比较高的原因是生息资产的平均收益率较高，各项负债的成本收益率较低。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1）生息资产平均收益率分析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申请人及同行业</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可比公司</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主要生息资产占总资产比例如下：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782"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w:t>
      </w:r>
    </w:p>
    <w:tbl>
      <w:tblPr>
        <w:tblW w:w="8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30"/>
        <w:gridCol w:w="1134"/>
        <w:gridCol w:w="1134"/>
        <w:gridCol w:w="993"/>
        <w:gridCol w:w="850"/>
        <w:gridCol w:w="1032"/>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bookmarkStart w:id="0" w:name="_Hlk530060401"/>
            <w:r>
              <w:rPr>
                <w:rFonts w:hint="eastAsia" w:ascii="微软雅黑" w:hAnsi="微软雅黑" w:eastAsia="微软雅黑" w:cs="微软雅黑"/>
                <w:b/>
                <w:bCs/>
                <w:i w:val="0"/>
                <w:iCs w:val="0"/>
                <w:caps w:val="0"/>
                <w:color w:val="333333"/>
                <w:spacing w:val="0"/>
                <w:sz w:val="19"/>
                <w:szCs w:val="19"/>
                <w:u w:val="none"/>
                <w:bdr w:val="none" w:color="auto" w:sz="0" w:space="0"/>
              </w:rPr>
              <w:t>项目</w:t>
            </w:r>
            <w:bookmarkEnd w:id="0"/>
          </w:p>
        </w:tc>
        <w:tc>
          <w:tcPr>
            <w:tcW w:w="2268"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2018年6月末</w:t>
            </w:r>
          </w:p>
        </w:tc>
        <w:tc>
          <w:tcPr>
            <w:tcW w:w="1843"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1990"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850"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032"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958"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现金及存放中央银行款项</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17.82</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10.58</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15.16 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10.52</w:t>
            </w:r>
          </w:p>
        </w:tc>
        <w:tc>
          <w:tcPr>
            <w:tcW w:w="103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20.15 </w:t>
            </w:r>
          </w:p>
        </w:tc>
        <w:tc>
          <w:tcPr>
            <w:tcW w:w="95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存放同业款项</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17.32</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1.30</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15.77 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1.23 </w:t>
            </w:r>
          </w:p>
        </w:tc>
        <w:tc>
          <w:tcPr>
            <w:tcW w:w="103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19.05 </w:t>
            </w:r>
          </w:p>
        </w:tc>
        <w:tc>
          <w:tcPr>
            <w:tcW w:w="95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交易性金融资产</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0.15</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0.81</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0.18 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0.72</w:t>
            </w:r>
          </w:p>
        </w:tc>
        <w:tc>
          <w:tcPr>
            <w:tcW w:w="103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0.22 </w:t>
            </w:r>
          </w:p>
        </w:tc>
        <w:tc>
          <w:tcPr>
            <w:tcW w:w="95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应收款项类投资</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1.12</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4.47</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3.24 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5.72</w:t>
            </w:r>
          </w:p>
        </w:tc>
        <w:tc>
          <w:tcPr>
            <w:tcW w:w="103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0.22 </w:t>
            </w:r>
          </w:p>
        </w:tc>
        <w:tc>
          <w:tcPr>
            <w:tcW w:w="95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发放贷款和垫款</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47.88</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50.86</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48.57 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48.25</w:t>
            </w:r>
          </w:p>
        </w:tc>
        <w:tc>
          <w:tcPr>
            <w:tcW w:w="103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53.13 </w:t>
            </w:r>
          </w:p>
        </w:tc>
        <w:tc>
          <w:tcPr>
            <w:tcW w:w="95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48.05 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8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可供出售金融资产</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5.02</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16.93</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5.64 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18.83</w:t>
            </w:r>
          </w:p>
        </w:tc>
        <w:tc>
          <w:tcPr>
            <w:tcW w:w="103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0.00 </w:t>
            </w:r>
          </w:p>
        </w:tc>
        <w:tc>
          <w:tcPr>
            <w:tcW w:w="95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持有至到期投资</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5.97</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10.73</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5.78 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10.23 </w:t>
            </w:r>
          </w:p>
        </w:tc>
        <w:tc>
          <w:tcPr>
            <w:tcW w:w="103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1.82 </w:t>
            </w:r>
          </w:p>
        </w:tc>
        <w:tc>
          <w:tcPr>
            <w:tcW w:w="95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8.23 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422"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申请人及同行业主要生息资产平均收益率如下：</w:t>
      </w:r>
    </w:p>
    <w:tbl>
      <w:tblPr>
        <w:tblW w:w="87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37"/>
        <w:gridCol w:w="1372"/>
        <w:gridCol w:w="1276"/>
        <w:gridCol w:w="1134"/>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3737"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bookmarkStart w:id="1" w:name="_Hlk530064458"/>
            <w:r>
              <w:rPr>
                <w:rFonts w:hint="eastAsia" w:ascii="微软雅黑" w:hAnsi="微软雅黑" w:eastAsia="微软雅黑" w:cs="微软雅黑"/>
                <w:b/>
                <w:bCs/>
                <w:i w:val="0"/>
                <w:iCs w:val="0"/>
                <w:caps w:val="0"/>
                <w:color w:val="333333"/>
                <w:spacing w:val="0"/>
                <w:sz w:val="19"/>
                <w:szCs w:val="19"/>
                <w:u w:val="none"/>
                <w:bdr w:val="none" w:color="auto" w:sz="0" w:space="0"/>
              </w:rPr>
              <w:t>项目</w:t>
            </w:r>
            <w:bookmarkEnd w:id="1"/>
          </w:p>
        </w:tc>
        <w:tc>
          <w:tcPr>
            <w:tcW w:w="2648"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2409"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7" w:hRule="atLeast"/>
          <w:jc w:val="center"/>
        </w:trPr>
        <w:tc>
          <w:tcPr>
            <w:tcW w:w="3737"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37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134"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27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373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现金及存放中央银行款项</w:t>
            </w:r>
          </w:p>
        </w:tc>
        <w:tc>
          <w:tcPr>
            <w:tcW w:w="137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1.40</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1.02</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1.37</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373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存放同业款项</w:t>
            </w:r>
          </w:p>
        </w:tc>
        <w:tc>
          <w:tcPr>
            <w:tcW w:w="137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3.93</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3.38</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3.57</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373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发放贷款和垫款</w:t>
            </w:r>
          </w:p>
        </w:tc>
        <w:tc>
          <w:tcPr>
            <w:tcW w:w="137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7.91</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5.58</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8.49</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73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可供出售金融资产+持有至到期投资</w:t>
            </w:r>
          </w:p>
        </w:tc>
        <w:tc>
          <w:tcPr>
            <w:tcW w:w="137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4.13</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3.07</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3.58</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3.18</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综合各项资产占总资产的比例和各项资产的平均收益率情况，申请人的生息资产收益率与同行业的差异主要受发放贷款和垫款的平均收益率影响。2016年-2017年，申请人发放贷款和垫款的平均收益率比同行业分别高出2.80个百分点和2.33个百分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与同行业发放贷款和垫款的平均收益率差异主要原因是申请人定位于河源市区县，对河源市区县的贷款比例超过其总贷款的90%以上，而同行业可比公司均为上市城市商业银行，其贷款客户多集中于较为发达的地级市等地区。由于申请人贷款客户主要来源于河源市县区地区，其贷款客户规模较小，经营风险较高。因此，申请人获得了较高的风险溢价。申请人与同行业可比公司贷款客户详细情况对比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单位：万元、%</w:t>
      </w:r>
    </w:p>
    <w:tbl>
      <w:tblPr>
        <w:tblW w:w="87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37"/>
        <w:gridCol w:w="1372"/>
        <w:gridCol w:w="1276"/>
        <w:gridCol w:w="1134"/>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3737"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项目</w:t>
            </w:r>
          </w:p>
        </w:tc>
        <w:tc>
          <w:tcPr>
            <w:tcW w:w="2648"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2409"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7" w:hRule="atLeast"/>
          <w:jc w:val="center"/>
        </w:trPr>
        <w:tc>
          <w:tcPr>
            <w:tcW w:w="3737"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37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134"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27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373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前十大贷款客户户均贷款额度</w:t>
            </w:r>
          </w:p>
        </w:tc>
        <w:tc>
          <w:tcPr>
            <w:tcW w:w="137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8,510.90</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25,521.17</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6,830.00</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26,639.40 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373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小微贷款比例</w:t>
            </w:r>
          </w:p>
        </w:tc>
        <w:tc>
          <w:tcPr>
            <w:tcW w:w="137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58.50</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35.65</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58.38</w:t>
            </w:r>
          </w:p>
        </w:tc>
        <w:tc>
          <w:tcPr>
            <w:tcW w:w="127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注：（1）前十大贷款客户户均贷款额度=前十大贷款客户总额/10；（2）小微贷款比例=小微企业贷款总额/发放贷款和垫款总额；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2）负债平均成本率分析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申请人及同行业主要计息负债占总负债比例如下：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w:t>
      </w:r>
    </w:p>
    <w:tbl>
      <w:tblPr>
        <w:tblW w:w="8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72"/>
        <w:gridCol w:w="1423"/>
        <w:gridCol w:w="1270"/>
        <w:gridCol w:w="1276"/>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972"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bookmarkStart w:id="2" w:name="_Hlk530073599"/>
            <w:r>
              <w:rPr>
                <w:rFonts w:hint="eastAsia" w:ascii="微软雅黑" w:hAnsi="微软雅黑" w:eastAsia="微软雅黑" w:cs="微软雅黑"/>
                <w:b/>
                <w:bCs/>
                <w:i w:val="0"/>
                <w:iCs w:val="0"/>
                <w:caps w:val="0"/>
                <w:color w:val="333333"/>
                <w:spacing w:val="0"/>
                <w:sz w:val="19"/>
                <w:szCs w:val="19"/>
                <w:u w:val="none"/>
                <w:bdr w:val="none" w:color="auto" w:sz="0" w:space="0"/>
              </w:rPr>
              <w:t>项目</w:t>
            </w:r>
            <w:bookmarkEnd w:id="2"/>
          </w:p>
        </w:tc>
        <w:tc>
          <w:tcPr>
            <w:tcW w:w="2693"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2699"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97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27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276"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423"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40" w:hRule="atLeast"/>
          <w:jc w:val="center"/>
        </w:trPr>
        <w:tc>
          <w:tcPr>
            <w:tcW w:w="297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向中央银行借款</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127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1.82</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1.50</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297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同业及其他金融机构存放款</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5.41</w:t>
            </w:r>
          </w:p>
        </w:tc>
        <w:tc>
          <w:tcPr>
            <w:tcW w:w="127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1.20</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2.48</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97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卖出回购金融资产</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127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9.36</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40" w:hRule="atLeast"/>
          <w:jc w:val="center"/>
        </w:trPr>
        <w:tc>
          <w:tcPr>
            <w:tcW w:w="297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应付债券</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127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6.71</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97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吸收存款</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92.90</w:t>
            </w:r>
          </w:p>
        </w:tc>
        <w:tc>
          <w:tcPr>
            <w:tcW w:w="127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77.70</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93.96</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89.95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申请人及同行业主要计息负债平均成本率如下：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w:t>
      </w:r>
    </w:p>
    <w:tbl>
      <w:tblPr>
        <w:tblW w:w="83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72"/>
        <w:gridCol w:w="1423"/>
        <w:gridCol w:w="1270"/>
        <w:gridCol w:w="1276"/>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972"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项目</w:t>
            </w:r>
          </w:p>
        </w:tc>
        <w:tc>
          <w:tcPr>
            <w:tcW w:w="2693"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2699"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972"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27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276"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423"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97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向中央银行借款</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3.25 </w:t>
            </w:r>
          </w:p>
        </w:tc>
        <w:tc>
          <w:tcPr>
            <w:tcW w:w="127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1.42</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1.66</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97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应付债券</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127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3.38</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40" w:hRule="atLeast"/>
          <w:jc w:val="center"/>
        </w:trPr>
        <w:tc>
          <w:tcPr>
            <w:tcW w:w="2972"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吸收存款</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1.39</w:t>
            </w:r>
          </w:p>
        </w:tc>
        <w:tc>
          <w:tcPr>
            <w:tcW w:w="127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1.99</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1.56</w:t>
            </w:r>
          </w:p>
        </w:tc>
        <w:tc>
          <w:tcPr>
            <w:tcW w:w="142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综合各项负债占总负债的比例和各项计息负债的平均成本率情况，申请人的计息负债成本率与同行业的差异主要受吸收存款的平均成本率影响。2016年至2017年，申请人吸收存款的平均成本率比同行业分别低出0.53个百分点和0.60个百分点。主要原因是：申请人是河源市区网点最多、覆盖面最广的金融机构，存款市场占有率为21.44%，位居河源市金融机构首位，而申请人2016年-2017年的存款中，活期存款占比分别为50.51%和51.24%，同时期同行业可比银行活期存款占比分别为37.31%和35.31%。较高的活期存款占比致使申请人吸收存款的成本率较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经核查，会计师认为，申请人各项生息资产的平均收益率以及各项负债的平均成本率分析合理。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（2）报告期内贷款五级分类具体情况、贷款逾期及展期情况，分析不良贷款与逾期贷款的差异情况。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报告期内五级贷款分类情况如下：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3168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万元、%</w:t>
      </w:r>
    </w:p>
    <w:tbl>
      <w:tblPr>
        <w:tblW w:w="8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84"/>
        <w:gridCol w:w="1556"/>
        <w:gridCol w:w="986"/>
        <w:gridCol w:w="1275"/>
        <w:gridCol w:w="913"/>
        <w:gridCol w:w="1275"/>
        <w:gridCol w:w="9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11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五级分类</w:t>
            </w:r>
          </w:p>
        </w:tc>
        <w:tc>
          <w:tcPr>
            <w:tcW w:w="2563"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2018年6月末</w:t>
            </w:r>
          </w:p>
        </w:tc>
        <w:tc>
          <w:tcPr>
            <w:tcW w:w="2126"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2268"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11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57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金额</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金额</w:t>
            </w:r>
          </w:p>
        </w:tc>
        <w:tc>
          <w:tcPr>
            <w:tcW w:w="850"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c>
          <w:tcPr>
            <w:tcW w:w="1276"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金额</w:t>
            </w:r>
          </w:p>
        </w:tc>
        <w:tc>
          <w:tcPr>
            <w:tcW w:w="992"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11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正常</w:t>
            </w:r>
          </w:p>
        </w:tc>
        <w:tc>
          <w:tcPr>
            <w:tcW w:w="157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625,631.74</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96.67 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526,681.11 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96.83 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473,523.61 </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11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关注</w:t>
            </w:r>
          </w:p>
        </w:tc>
        <w:tc>
          <w:tcPr>
            <w:tcW w:w="157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15,790.12</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2.44 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14,052.85 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2.58 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17,809.99 </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11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次级</w:t>
            </w:r>
          </w:p>
        </w:tc>
        <w:tc>
          <w:tcPr>
            <w:tcW w:w="157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2,027.39</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0.31 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349.59 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0.06 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1,273.86 </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11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可疑</w:t>
            </w:r>
          </w:p>
        </w:tc>
        <w:tc>
          <w:tcPr>
            <w:tcW w:w="157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3,746.55</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0.58 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2,848.59 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0.52 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1,943.03 </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11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损失</w:t>
            </w:r>
          </w:p>
        </w:tc>
        <w:tc>
          <w:tcPr>
            <w:tcW w:w="157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0.00 </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111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合计</w:t>
            </w:r>
          </w:p>
        </w:tc>
        <w:tc>
          <w:tcPr>
            <w:tcW w:w="157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647,195.80</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100.00</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543,932.14</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100.00 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494,550.49　</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贷款逾期及展期情况如下：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报告期内，申请人逾期贷款情况如下：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万元、%</w:t>
      </w:r>
    </w:p>
    <w:tbl>
      <w:tblPr>
        <w:tblW w:w="8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74"/>
        <w:gridCol w:w="1261"/>
        <w:gridCol w:w="913"/>
        <w:gridCol w:w="1128"/>
        <w:gridCol w:w="913"/>
        <w:gridCol w:w="1145"/>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268"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bookmarkStart w:id="3" w:name="_Hlk530040698"/>
            <w:r>
              <w:rPr>
                <w:rFonts w:hint="eastAsia" w:ascii="微软雅黑" w:hAnsi="微软雅黑" w:eastAsia="微软雅黑" w:cs="微软雅黑"/>
                <w:b/>
                <w:bCs/>
                <w:i w:val="0"/>
                <w:iCs w:val="0"/>
                <w:caps w:val="0"/>
                <w:color w:val="333333"/>
                <w:spacing w:val="0"/>
                <w:sz w:val="19"/>
                <w:szCs w:val="19"/>
                <w:u w:val="none"/>
                <w:bdr w:val="none" w:color="auto" w:sz="0" w:space="0"/>
              </w:rPr>
              <w:t>项目</w:t>
            </w:r>
            <w:bookmarkEnd w:id="3"/>
          </w:p>
        </w:tc>
        <w:tc>
          <w:tcPr>
            <w:tcW w:w="2127"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2018年6月末</w:t>
            </w:r>
          </w:p>
        </w:tc>
        <w:tc>
          <w:tcPr>
            <w:tcW w:w="1984"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1969"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268"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金额</w:t>
            </w:r>
          </w:p>
        </w:tc>
        <w:tc>
          <w:tcPr>
            <w:tcW w:w="85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金额</w:t>
            </w:r>
          </w:p>
        </w:tc>
        <w:tc>
          <w:tcPr>
            <w:tcW w:w="850"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c>
          <w:tcPr>
            <w:tcW w:w="1134"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金额</w:t>
            </w:r>
          </w:p>
        </w:tc>
        <w:tc>
          <w:tcPr>
            <w:tcW w:w="83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26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逾期30天以内</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22,813.62</w:t>
            </w:r>
          </w:p>
        </w:tc>
        <w:tc>
          <w:tcPr>
            <w:tcW w:w="85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35.86 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1,678.82 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25.62 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3,903.15　</w:t>
            </w:r>
          </w:p>
        </w:tc>
        <w:tc>
          <w:tcPr>
            <w:tcW w:w="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26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逾期31天到90天</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35,039.43</w:t>
            </w:r>
          </w:p>
        </w:tc>
        <w:tc>
          <w:tcPr>
            <w:tcW w:w="85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55.07 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1,686.37</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25.74 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1,444.58 </w:t>
            </w:r>
          </w:p>
        </w:tc>
        <w:tc>
          <w:tcPr>
            <w:tcW w:w="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26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逾期91天到180天</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2,188.06</w:t>
            </w:r>
          </w:p>
        </w:tc>
        <w:tc>
          <w:tcPr>
            <w:tcW w:w="85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3.44 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328.09 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5.01 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2,078.92 </w:t>
            </w:r>
          </w:p>
        </w:tc>
        <w:tc>
          <w:tcPr>
            <w:tcW w:w="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26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逾期181天到270天</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903.00</w:t>
            </w:r>
          </w:p>
        </w:tc>
        <w:tc>
          <w:tcPr>
            <w:tcW w:w="85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1.42 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449.73 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6.86 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488.60 </w:t>
            </w:r>
          </w:p>
        </w:tc>
        <w:tc>
          <w:tcPr>
            <w:tcW w:w="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40" w:hRule="atLeast"/>
          <w:jc w:val="center"/>
        </w:trPr>
        <w:tc>
          <w:tcPr>
            <w:tcW w:w="226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逾期271天到360天</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85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21.50 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0.33 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325.87 </w:t>
            </w:r>
          </w:p>
        </w:tc>
        <w:tc>
          <w:tcPr>
            <w:tcW w:w="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26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逾期361天以上</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2,678.80</w:t>
            </w:r>
          </w:p>
        </w:tc>
        <w:tc>
          <w:tcPr>
            <w:tcW w:w="85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4.21 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2,387.77 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36.44 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1,869.70 </w:t>
            </w:r>
          </w:p>
        </w:tc>
        <w:tc>
          <w:tcPr>
            <w:tcW w:w="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268"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合计</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63,622.91</w:t>
            </w:r>
          </w:p>
        </w:tc>
        <w:tc>
          <w:tcPr>
            <w:tcW w:w="85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100.00 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6,552.28 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100.00 </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10,110.82</w:t>
            </w:r>
          </w:p>
        </w:tc>
        <w:tc>
          <w:tcPr>
            <w:tcW w:w="83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bdr w:val="none" w:color="auto" w:sz="0" w:space="0"/>
              </w:rPr>
              <w:t>100.00 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报告期内，申请人展期贷款情况如下：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万元、%</w:t>
      </w:r>
    </w:p>
    <w:tbl>
      <w:tblPr>
        <w:tblW w:w="8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75"/>
        <w:gridCol w:w="1276"/>
        <w:gridCol w:w="857"/>
        <w:gridCol w:w="1161"/>
        <w:gridCol w:w="1002"/>
        <w:gridCol w:w="1273"/>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707"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展期贷款五级分类</w:t>
            </w:r>
          </w:p>
        </w:tc>
        <w:tc>
          <w:tcPr>
            <w:tcW w:w="2091"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2018年6月末</w:t>
            </w:r>
          </w:p>
        </w:tc>
        <w:tc>
          <w:tcPr>
            <w:tcW w:w="2167"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2268"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707"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金额</w:t>
            </w:r>
          </w:p>
        </w:tc>
        <w:tc>
          <w:tcPr>
            <w:tcW w:w="81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c>
          <w:tcPr>
            <w:tcW w:w="116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金额</w:t>
            </w:r>
          </w:p>
        </w:tc>
        <w:tc>
          <w:tcPr>
            <w:tcW w:w="1006"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c>
          <w:tcPr>
            <w:tcW w:w="1276"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金额</w:t>
            </w:r>
          </w:p>
        </w:tc>
        <w:tc>
          <w:tcPr>
            <w:tcW w:w="992"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70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正常</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119,551.12</w:t>
            </w:r>
          </w:p>
        </w:tc>
        <w:tc>
          <w:tcPr>
            <w:tcW w:w="81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94.25　</w:t>
            </w:r>
          </w:p>
        </w:tc>
        <w:tc>
          <w:tcPr>
            <w:tcW w:w="116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75,288.81</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95.59 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53,856.55 </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82.64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70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关注</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6,654.25</w:t>
            </w:r>
          </w:p>
        </w:tc>
        <w:tc>
          <w:tcPr>
            <w:tcW w:w="81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5.25　</w:t>
            </w:r>
          </w:p>
        </w:tc>
        <w:tc>
          <w:tcPr>
            <w:tcW w:w="116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3,051.93 </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3.87 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11,184.28 </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17.16 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170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次级</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20.97</w:t>
            </w:r>
          </w:p>
        </w:tc>
        <w:tc>
          <w:tcPr>
            <w:tcW w:w="81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0.02　</w:t>
            </w:r>
          </w:p>
        </w:tc>
        <w:tc>
          <w:tcPr>
            <w:tcW w:w="116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29.99</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0.04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130.00</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70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可疑</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616.98</w:t>
            </w:r>
          </w:p>
        </w:tc>
        <w:tc>
          <w:tcPr>
            <w:tcW w:w="81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0.49　</w:t>
            </w:r>
          </w:p>
        </w:tc>
        <w:tc>
          <w:tcPr>
            <w:tcW w:w="116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395.00 </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0.50 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70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损失</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w:t>
            </w:r>
          </w:p>
        </w:tc>
        <w:tc>
          <w:tcPr>
            <w:tcW w:w="81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　</w:t>
            </w:r>
          </w:p>
        </w:tc>
        <w:tc>
          <w:tcPr>
            <w:tcW w:w="116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0.00 </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0.00 </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0.00 </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1707"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合计</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126,843.32</w:t>
            </w:r>
          </w:p>
        </w:tc>
        <w:tc>
          <w:tcPr>
            <w:tcW w:w="81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100.00</w:t>
            </w:r>
          </w:p>
        </w:tc>
        <w:tc>
          <w:tcPr>
            <w:tcW w:w="116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78,765.73</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100.00</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65,170.83</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100.00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根据中国银行业监督管理委员会《贷款风险分类指引》（银监发〔2007〕54号）、《小企业风险分类方法》（银监发〔2007〕63号），结合自身实际情况对企事业单位贷款、小企业贷款、自然人贷款，分别使用不同的分类方法。同时根据《农村合作金融机构信贷风险分类指引》（银监发〔2006〕23号）中“六、分类标准”之“（二）企事业单位贷款和自然人其他贷款分类标准”之“3.有下列情况之一的一般划入次级类”之“（8）</w:t>
      </w:r>
      <w:r>
        <w:rPr>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本金或利息逾期91天至180天的贷款或表外业务垫款31至90天。</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”及《关于调整商业银行贷款损失准备监管要求的通知》（银监发〔2018〕7号）中“二、调整方式及参考因素”之“（一）贷款分类准确性。</w:t>
      </w:r>
      <w:r>
        <w:rPr>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根据单家银行逾期90天以上贷款纳入不良贷款的比例，对风险分类结果准确性高的银行，可适度下调贷款损失准备监管要求</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……”，申请人制订了河源农商行贷款分类管理办法，对逾期贷款30天以内或逾期31天至90天，划分为五级贷款分类中的正常类或关注类；对逾期贷款91天及以上，划分为五级贷款中的不良贷款类。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会计师认为，申请人报告期内五级贷款、展期及逾期贷款分类准确，不存在重大偏离《贷款分类指引》相关规定的情况。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（3）结合信贷客户类型、规模、行业分布、客户资质等补充披露不良贷款率与同行业可比公司的差异原因。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申请人不良贷款率较同行业可比公司平均水准显著偏低，主要原因分析如下：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1）信贷客户类型分析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报告期内，申请人及同行业可比公司的信贷客户按照地域类型的分布情况如下：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765" w:right="3168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w:t>
      </w:r>
    </w:p>
    <w:tbl>
      <w:tblPr>
        <w:tblW w:w="8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614"/>
        <w:gridCol w:w="1276"/>
        <w:gridCol w:w="993"/>
        <w:gridCol w:w="1276"/>
        <w:gridCol w:w="987"/>
        <w:gridCol w:w="1277"/>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614"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项目</w:t>
            </w:r>
          </w:p>
        </w:tc>
        <w:tc>
          <w:tcPr>
            <w:tcW w:w="2269"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2018年6月末</w:t>
            </w:r>
          </w:p>
        </w:tc>
        <w:tc>
          <w:tcPr>
            <w:tcW w:w="2263"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2269"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614"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987"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277"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992"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64" w:hRule="atLeast"/>
          <w:jc w:val="center"/>
        </w:trPr>
        <w:tc>
          <w:tcPr>
            <w:tcW w:w="1614"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注册地所在市</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95.61</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71.36</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97.16</w:t>
            </w:r>
          </w:p>
        </w:tc>
        <w:tc>
          <w:tcPr>
            <w:tcW w:w="98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72.69</w:t>
            </w:r>
          </w:p>
        </w:tc>
        <w:tc>
          <w:tcPr>
            <w:tcW w:w="127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97.36</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614"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其他地区</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4.39</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28.64</w:t>
            </w:r>
          </w:p>
        </w:tc>
        <w:tc>
          <w:tcPr>
            <w:tcW w:w="127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2.84</w:t>
            </w:r>
          </w:p>
        </w:tc>
        <w:tc>
          <w:tcPr>
            <w:tcW w:w="98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27.31</w:t>
            </w:r>
          </w:p>
        </w:tc>
        <w:tc>
          <w:tcPr>
            <w:tcW w:w="127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2.64</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22.36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尽管区域性商业银行信贷客户总体地域集中度较高，但申请人相较同行业可比公司，信贷客户在地域类型的分布上更为集中。申请人作为县区级农商行，长期根植于当地，具备较强的地缘优势，在持续集中服务当地企业客户的过程中，积累了强大的信评及管理经验，在“贷前、贷中、贷后“各信贷环节中能够发挥地缘信息及人脉优势，有效深入企业内部了解尽调，对当地企业风险把控的能力更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报告期内，申请人及同行业可比公司的信贷客户按照客户性质类型的占比情况如下：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3168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单位：亿元</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5"/>
        <w:gridCol w:w="317"/>
        <w:gridCol w:w="317"/>
        <w:gridCol w:w="6681"/>
        <w:gridCol w:w="317"/>
        <w:gridCol w:w="317"/>
        <w:gridCol w:w="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64" w:hRule="atLeast"/>
          <w:jc w:val="center"/>
        </w:trPr>
        <w:tc>
          <w:tcPr>
            <w:tcW w:w="1490"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项目</w:t>
            </w:r>
          </w:p>
        </w:tc>
        <w:tc>
          <w:tcPr>
            <w:tcW w:w="2442"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2018年6月末</w:t>
            </w:r>
          </w:p>
        </w:tc>
        <w:tc>
          <w:tcPr>
            <w:tcW w:w="2292"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2298"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490"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3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2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000"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293"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00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149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公司贷款</w:t>
            </w:r>
          </w:p>
        </w:tc>
        <w:tc>
          <w:tcPr>
            <w:tcW w:w="143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56.05</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73.74</w:t>
            </w:r>
          </w:p>
        </w:tc>
        <w:tc>
          <w:tcPr>
            <w:tcW w:w="12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58.80</w:t>
            </w:r>
          </w:p>
        </w:tc>
        <w:tc>
          <w:tcPr>
            <w:tcW w:w="100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74.22</w:t>
            </w:r>
          </w:p>
        </w:tc>
        <w:tc>
          <w:tcPr>
            <w:tcW w:w="12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58.87</w:t>
            </w:r>
          </w:p>
        </w:tc>
        <w:tc>
          <w:tcPr>
            <w:tcW w:w="100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4" w:hRule="atLeast"/>
          <w:jc w:val="center"/>
        </w:trPr>
        <w:tc>
          <w:tcPr>
            <w:tcW w:w="149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个人贷款</w:t>
            </w:r>
          </w:p>
        </w:tc>
        <w:tc>
          <w:tcPr>
            <w:tcW w:w="143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42.36</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26.26</w:t>
            </w:r>
          </w:p>
        </w:tc>
        <w:tc>
          <w:tcPr>
            <w:tcW w:w="12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316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41.20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w:t>
            </w:r>
          </w:p>
        </w:tc>
        <w:tc>
          <w:tcPr>
            <w:tcW w:w="100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25.78</w:t>
            </w:r>
          </w:p>
        </w:tc>
        <w:tc>
          <w:tcPr>
            <w:tcW w:w="12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41.13</w:t>
            </w:r>
          </w:p>
        </w:tc>
        <w:tc>
          <w:tcPr>
            <w:tcW w:w="100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24.25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从信贷客户类型来看，申请人相较于同行业可比公司个人贷款占比相对较高，主要系个人经营性小额贷款相对较高，信贷风险得到有效分散。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2）信贷客户规模分析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报告期内，申请人信贷客户规模分布情况如下：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3168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w:t>
      </w:r>
    </w:p>
    <w:tbl>
      <w:tblPr>
        <w:tblW w:w="8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039"/>
        <w:gridCol w:w="2127"/>
        <w:gridCol w:w="2127"/>
        <w:gridCol w:w="2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203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客户规模</w:t>
            </w:r>
          </w:p>
        </w:tc>
        <w:tc>
          <w:tcPr>
            <w:tcW w:w="2127"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2018年6月末</w:t>
            </w:r>
          </w:p>
        </w:tc>
        <w:tc>
          <w:tcPr>
            <w:tcW w:w="2127"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2122"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203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大型企业</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212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203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中型企业</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c>
          <w:tcPr>
            <w:tcW w:w="212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203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小型企业</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74.11</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74.62</w:t>
            </w:r>
          </w:p>
        </w:tc>
        <w:tc>
          <w:tcPr>
            <w:tcW w:w="212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203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微型企业</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8.12</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7.13</w:t>
            </w:r>
          </w:p>
        </w:tc>
        <w:tc>
          <w:tcPr>
            <w:tcW w:w="212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jc w:val="center"/>
        </w:trPr>
        <w:tc>
          <w:tcPr>
            <w:tcW w:w="2039"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个人经营性贷款</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17.77</w:t>
            </w:r>
          </w:p>
        </w:tc>
        <w:tc>
          <w:tcPr>
            <w:tcW w:w="212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15.07</w:t>
            </w:r>
          </w:p>
        </w:tc>
        <w:tc>
          <w:tcPr>
            <w:tcW w:w="212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13.87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从信贷客户规模来看，与同行业可比公司显著不同的是，申请人所有信贷客户均为规模较小的小微企业客户及经营性贷款个人客户，由于单户规模显著较小，申请人贷款客户呈现出数量多、单笔信贷数额小的特征，信贷风险得到有效分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3）信贷客户行业分布分析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报告期内，申请人及同行业可比公司的贷款行业分布情况如下：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3168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579"/>
        <w:gridCol w:w="315"/>
        <w:gridCol w:w="315"/>
        <w:gridCol w:w="327"/>
        <w:gridCol w:w="315"/>
        <w:gridCol w:w="327"/>
        <w:gridCol w:w="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685"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项目</w:t>
            </w:r>
          </w:p>
        </w:tc>
        <w:tc>
          <w:tcPr>
            <w:tcW w:w="1959"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2018年6月末</w:t>
            </w:r>
          </w:p>
        </w:tc>
        <w:tc>
          <w:tcPr>
            <w:tcW w:w="1974"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1904"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685"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96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981"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987"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917"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340" w:hRule="atLeast"/>
          <w:jc w:val="center"/>
        </w:trPr>
        <w:tc>
          <w:tcPr>
            <w:tcW w:w="268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3168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农林牧渔业</w:t>
            </w:r>
          </w:p>
        </w:tc>
        <w:tc>
          <w:tcPr>
            <w:tcW w:w="96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21.46</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3.65</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26.86 </w:t>
            </w:r>
          </w:p>
        </w:tc>
        <w:tc>
          <w:tcPr>
            <w:tcW w:w="98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3.71</w:t>
            </w:r>
          </w:p>
        </w:tc>
        <w:tc>
          <w:tcPr>
            <w:tcW w:w="98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28.52</w:t>
            </w:r>
          </w:p>
        </w:tc>
        <w:tc>
          <w:tcPr>
            <w:tcW w:w="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68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316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批发零售业</w:t>
            </w:r>
          </w:p>
        </w:tc>
        <w:tc>
          <w:tcPr>
            <w:tcW w:w="96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35.57</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11.94</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25.55</w:t>
            </w:r>
          </w:p>
        </w:tc>
        <w:tc>
          <w:tcPr>
            <w:tcW w:w="98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9.82　</w:t>
            </w:r>
          </w:p>
        </w:tc>
        <w:tc>
          <w:tcPr>
            <w:tcW w:w="98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25.63 </w:t>
            </w:r>
          </w:p>
        </w:tc>
        <w:tc>
          <w:tcPr>
            <w:tcW w:w="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68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　房地产业</w:t>
            </w:r>
          </w:p>
        </w:tc>
        <w:tc>
          <w:tcPr>
            <w:tcW w:w="96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18.97</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1.22</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17.10</w:t>
            </w:r>
          </w:p>
        </w:tc>
        <w:tc>
          <w:tcPr>
            <w:tcW w:w="98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1.34</w:t>
            </w:r>
          </w:p>
        </w:tc>
        <w:tc>
          <w:tcPr>
            <w:tcW w:w="98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11.26</w:t>
            </w:r>
          </w:p>
        </w:tc>
        <w:tc>
          <w:tcPr>
            <w:tcW w:w="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68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316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建筑业</w:t>
            </w:r>
          </w:p>
        </w:tc>
        <w:tc>
          <w:tcPr>
            <w:tcW w:w="96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15.74</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3.83</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20.36</w:t>
            </w:r>
          </w:p>
        </w:tc>
        <w:tc>
          <w:tcPr>
            <w:tcW w:w="98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4.34</w:t>
            </w:r>
          </w:p>
        </w:tc>
        <w:tc>
          <w:tcPr>
            <w:tcW w:w="98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17.47</w:t>
            </w:r>
          </w:p>
        </w:tc>
        <w:tc>
          <w:tcPr>
            <w:tcW w:w="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685"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3168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制造业</w:t>
            </w:r>
          </w:p>
        </w:tc>
        <w:tc>
          <w:tcPr>
            <w:tcW w:w="96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3.38</w:t>
            </w:r>
          </w:p>
        </w:tc>
        <w:tc>
          <w:tcPr>
            <w:tcW w:w="9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33.95</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5.39</w:t>
            </w:r>
          </w:p>
        </w:tc>
        <w:tc>
          <w:tcPr>
            <w:tcW w:w="98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35.47</w:t>
            </w:r>
          </w:p>
        </w:tc>
        <w:tc>
          <w:tcPr>
            <w:tcW w:w="98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8.90</w:t>
            </w:r>
          </w:p>
        </w:tc>
        <w:tc>
          <w:tcPr>
            <w:tcW w:w="917"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36.06</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参考中国人民银行发布《中国区域金融运行报告（2017）》，全国商业银行不良贷款余额主要集中在批发零售业、制造业和农林牧渔业。由于申请人属于县区级农商行，致使其贷款投向集中在农林牧渔和批发零售等行业。农林牧渔和批发零售业由于其固有的行业特征，不良贷款率较高，申请人农林牧渔和批发零售业占贷款比例显著高于同行业，而制造业占比显著低于同行业。所以从信贷客户行业分布及同行业数据可获得性角度分析，并不能有效分析出申请人相比于同行业不良贷款率较低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4）信贷客户资质分析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报告期内，申请人及同行业可比公司按照担保方式分类的信贷构成如下表所示：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490"/>
        <w:gridCol w:w="1436"/>
        <w:gridCol w:w="1006"/>
        <w:gridCol w:w="1292"/>
        <w:gridCol w:w="1000"/>
        <w:gridCol w:w="1293"/>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490"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项目</w:t>
            </w:r>
          </w:p>
        </w:tc>
        <w:tc>
          <w:tcPr>
            <w:tcW w:w="2442"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2018年6月末</w:t>
            </w:r>
          </w:p>
        </w:tc>
        <w:tc>
          <w:tcPr>
            <w:tcW w:w="2292"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2298"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490"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43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2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000"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293"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005"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49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质押贷款</w:t>
            </w:r>
          </w:p>
        </w:tc>
        <w:tc>
          <w:tcPr>
            <w:tcW w:w="143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2.41</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10.52</w:t>
            </w:r>
          </w:p>
        </w:tc>
        <w:tc>
          <w:tcPr>
            <w:tcW w:w="12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2.82</w:t>
            </w:r>
          </w:p>
        </w:tc>
        <w:tc>
          <w:tcPr>
            <w:tcW w:w="100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11.44</w:t>
            </w:r>
          </w:p>
        </w:tc>
        <w:tc>
          <w:tcPr>
            <w:tcW w:w="12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2.96</w:t>
            </w:r>
          </w:p>
        </w:tc>
        <w:tc>
          <w:tcPr>
            <w:tcW w:w="100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13.35 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49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抵押贷款</w:t>
            </w:r>
          </w:p>
        </w:tc>
        <w:tc>
          <w:tcPr>
            <w:tcW w:w="143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94.32</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38.42</w:t>
            </w:r>
          </w:p>
        </w:tc>
        <w:tc>
          <w:tcPr>
            <w:tcW w:w="12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91.84</w:t>
            </w:r>
          </w:p>
        </w:tc>
        <w:tc>
          <w:tcPr>
            <w:tcW w:w="100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37.69</w:t>
            </w:r>
          </w:p>
        </w:tc>
        <w:tc>
          <w:tcPr>
            <w:tcW w:w="12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92.55</w:t>
            </w:r>
          </w:p>
        </w:tc>
        <w:tc>
          <w:tcPr>
            <w:tcW w:w="100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49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保证贷款</w:t>
            </w:r>
          </w:p>
        </w:tc>
        <w:tc>
          <w:tcPr>
            <w:tcW w:w="143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1.72</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45.26</w:t>
            </w:r>
          </w:p>
        </w:tc>
        <w:tc>
          <w:tcPr>
            <w:tcW w:w="12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3.8</w:t>
            </w:r>
          </w:p>
        </w:tc>
        <w:tc>
          <w:tcPr>
            <w:tcW w:w="100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45.31</w:t>
            </w:r>
          </w:p>
        </w:tc>
        <w:tc>
          <w:tcPr>
            <w:tcW w:w="12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3.95</w:t>
            </w:r>
          </w:p>
        </w:tc>
        <w:tc>
          <w:tcPr>
            <w:tcW w:w="100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41.04 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4" w:hRule="atLeast"/>
          <w:jc w:val="center"/>
        </w:trPr>
        <w:tc>
          <w:tcPr>
            <w:tcW w:w="149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信用贷款</w:t>
            </w:r>
          </w:p>
        </w:tc>
        <w:tc>
          <w:tcPr>
            <w:tcW w:w="143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1.54</w:t>
            </w:r>
          </w:p>
        </w:tc>
        <w:tc>
          <w:tcPr>
            <w:tcW w:w="1006"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5.80</w:t>
            </w:r>
          </w:p>
        </w:tc>
        <w:tc>
          <w:tcPr>
            <w:tcW w:w="129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1.54</w:t>
            </w:r>
          </w:p>
        </w:tc>
        <w:tc>
          <w:tcPr>
            <w:tcW w:w="100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5.56</w:t>
            </w:r>
          </w:p>
        </w:tc>
        <w:tc>
          <w:tcPr>
            <w:tcW w:w="12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0.54</w:t>
            </w:r>
          </w:p>
        </w:tc>
        <w:tc>
          <w:tcPr>
            <w:tcW w:w="100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5.08 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相较于保证贷款发放占比较高的同行业可比公司，申请人的抵质押类贷款较同行业可比公司显著较高，完全无担保的信用贷款占比极小，对当地企业信贷的抵质押物准入标准更为严格，发放的抵质押类贷款中，担保物主要为房产及土地，折扣率为30%-70%，能够完全覆盖信贷风险敞口，随着近年房产及土地价格的逐年增长，发行人的信贷风险进一步降低。相比同行业更加审慎的信贷增信措施使得发行人的多数不良贷款均能通过处置抵质押物的方式完全收回，较好遏制不良贷款发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此外，在风险管控及制度建设方面，申请人信贷管理措施细致程度较高。一是申请人在不良贷款清收处置时通过强化对各机构贷款回收工作的考评，落实清收责任，实施一户一策，并实行专人清收，对信贷机构主要负责人落实责任期内保额清收责任制，签订目标责任状，责任期内，各机构不良贷款余额不得超过上年末不良贷款余额，零余额机构必须保持不良贷款为0，确保了贷款本金和利息按时足额回收。二是动态调整不断优化客户结构。申请人通过贷前调查充分对客户进行评价，并根据评价结果，明确客户是否进入或退出，针对退出客户，制定退出计划，通过动态调整不断优化客户结构。同时以个人高端客户消费贷款业务品种为依托，实现优质高端客户的引入，通过调整准入条件和额度，进一步提升高端客户比例，严格限制高风险客户准入，加大压缩高风险客户占比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会计师认为，申请人不良贷款余额划分较为准确，不良贷款率与同行业差异原因合理。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（4）拨备覆盖率与同行业可比公司是否存在差异及差异的原因分析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报告期内，申请人与同行业可比公司的拨备覆盖率情况如下：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单位：%</w:t>
      </w:r>
    </w:p>
    <w:tbl>
      <w:tblPr>
        <w:tblW w:w="8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997"/>
        <w:gridCol w:w="729"/>
        <w:gridCol w:w="729"/>
        <w:gridCol w:w="778"/>
        <w:gridCol w:w="729"/>
        <w:gridCol w:w="77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vMerge w:val="restart"/>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bookmarkStart w:id="4" w:name="_Hlk530307246"/>
            <w:r>
              <w:rPr>
                <w:rFonts w:hint="eastAsia" w:ascii="微软雅黑" w:hAnsi="微软雅黑" w:eastAsia="微软雅黑" w:cs="微软雅黑"/>
                <w:b/>
                <w:bCs/>
                <w:i w:val="0"/>
                <w:iCs w:val="0"/>
                <w:caps w:val="0"/>
                <w:color w:val="333333"/>
                <w:spacing w:val="0"/>
                <w:sz w:val="19"/>
                <w:szCs w:val="19"/>
                <w:u w:val="none"/>
                <w:bdr w:val="none" w:color="auto" w:sz="0" w:space="0"/>
              </w:rPr>
              <w:t>项目</w:t>
            </w:r>
            <w:bookmarkEnd w:id="4"/>
          </w:p>
        </w:tc>
        <w:tc>
          <w:tcPr>
            <w:tcW w:w="2268"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2018年6月末</w:t>
            </w:r>
          </w:p>
        </w:tc>
        <w:tc>
          <w:tcPr>
            <w:tcW w:w="1843"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2017年末</w:t>
            </w:r>
          </w:p>
        </w:tc>
        <w:tc>
          <w:tcPr>
            <w:tcW w:w="1990"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2016年末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vMerge w:val="continue"/>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850"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c>
          <w:tcPr>
            <w:tcW w:w="1032"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申请人</w:t>
            </w:r>
          </w:p>
        </w:tc>
        <w:tc>
          <w:tcPr>
            <w:tcW w:w="958"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bdr w:val="none" w:color="auto" w:sz="0" w:space="0"/>
              </w:rPr>
              <w:t>同行业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3168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拨备覆盖率</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312.30</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251.67</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468.82 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224.36</w:t>
            </w:r>
          </w:p>
        </w:tc>
        <w:tc>
          <w:tcPr>
            <w:tcW w:w="103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393.44</w:t>
            </w:r>
          </w:p>
        </w:tc>
        <w:tc>
          <w:tcPr>
            <w:tcW w:w="95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196.53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0" w:hRule="atLeast"/>
          <w:jc w:val="center"/>
        </w:trPr>
        <w:tc>
          <w:tcPr>
            <w:tcW w:w="28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贷款损失准备充足率</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668.84</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537.38</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836.20 </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471.77</w:t>
            </w:r>
          </w:p>
        </w:tc>
        <w:tc>
          <w:tcPr>
            <w:tcW w:w="103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768.96 </w:t>
            </w:r>
          </w:p>
        </w:tc>
        <w:tc>
          <w:tcPr>
            <w:tcW w:w="95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648.54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830" w:type="dxa"/>
            <w:tcBorders>
              <w:top w:val="nil"/>
              <w:left w:val="single" w:color="auto" w:sz="4" w:space="0"/>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rPr>
              <w:t>不良贷款率</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0.89</w:t>
            </w:r>
          </w:p>
        </w:tc>
        <w:tc>
          <w:tcPr>
            <w:tcW w:w="113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1.58</w:t>
            </w:r>
          </w:p>
        </w:tc>
        <w:tc>
          <w:tcPr>
            <w:tcW w:w="993"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0.59</w:t>
            </w:r>
          </w:p>
        </w:tc>
        <w:tc>
          <w:tcPr>
            <w:tcW w:w="850"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1.67</w:t>
            </w:r>
          </w:p>
        </w:tc>
        <w:tc>
          <w:tcPr>
            <w:tcW w:w="1032"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0.65</w:t>
            </w:r>
          </w:p>
        </w:tc>
        <w:tc>
          <w:tcPr>
            <w:tcW w:w="95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bdr w:val="none" w:color="auto" w:sz="0" w:space="0"/>
              </w:rPr>
              <w:t>1.79</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申请人拨备覆盖率与同行业存在差异，2016年-2017年末及2018年6月末申请人拨备覆盖率比同行业高出196.91个百分点、244.46个百分点和60.63个百分点。申请人拨备覆盖率较高的原因主要是：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贷款损失准备计提充足。2016年-2017年末及2018年6月末，申请人贷款损失准备充足率比同行业同期高出120.42个百分点、364.43个百分点和131.46个百分点。充足的贷款损失准备，致使拨备覆盖率计算公式中分子偏大，拨备覆盖率数值偏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2、不良贷款较低。2016年-2017年末及2018年6月末，申请人不良贷款率比同行业同期低出1.14个百分点、1.08个百分点和0.69个百分点。较低的不良贷款，致使拨备覆盖率计算公式中分母偏小，拨备覆盖率数值偏大。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会计师认为，申请人拨备覆盖率、贷款损失准备充足率和不良贷款比率指标的计算符合相关规定。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（5）申请人对贷款风险的防范及应对措施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随着申请人经营风险的复杂程度逐渐增高，贷款风险防范及应对措施将相应提高，考虑目前市场环境变化，在推动贷款风险防范工作时，基于市场化和法治化原则，申请人进一步加大新常态化下贷款风险的防范及应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第一，结合债务人上下游企业、供应链金融融资状况，用市场化的眼光对不良贷款进行价值重估，通过引入战略投资者，利用重组、并购等方式对不良贷款进行市场化处置，实现不良贷款价值的最大化；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第二，在总行层面建立逾期贷款、关注类贷款风险监控机制，建立统一台账，设置逾期贷款占比、关注类贷款占比预警线，全面管理申请人存量贷款质量，对全部逾期贷款制定清息方案，超90天贷款全部入账不良贷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第三，动态监控逾期贷款迁徙状态，对逾期贷款按30天、60天、90天进行划断监测，对逾期30-90天贷款进行重点监控，及时发现贷款质量下滑风险；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316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第四，对高风险授信客户重点关注欠息和清收，清收和防范结合，严防向不良贷款转化，对一般高风险客户，采取减少存量贷款余额，补充担保条件，尽可能降低相关贷款风险暴露。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w:t>
      </w:r>
      <w:r>
        <w:rPr>
          <w:rFonts w:hint="eastAsia" w:ascii="微软雅黑" w:hAnsi="微软雅黑" w:eastAsia="微软雅黑" w:cs="微软雅黑"/>
          <w:i w:val="0"/>
          <w:iCs w:val="0"/>
          <w:caps w:val="0"/>
          <w:color w:val="333333"/>
          <w:spacing w:val="0"/>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会计师认为，申请人对贷款的风险防范及应对措施合理、有效，内部控制完善。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0"/>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bCs/>
          <w:i w:val="0"/>
          <w:iCs w:val="0"/>
          <w:caps w:val="0"/>
          <w:color w:val="333333"/>
          <w:spacing w:val="0"/>
          <w:sz w:val="21"/>
          <w:szCs w:val="21"/>
          <w:u w:val="none"/>
          <w:bdr w:val="none" w:color="auto" w:sz="0" w:space="0"/>
          <w:shd w:val="clear" w:fill="FFFFFF"/>
        </w:rPr>
        <w:t>　 　（二）关于财务报表编报基础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审核中关注到，申请人财务报表附注中披露财务报表的编制基础是《企业会计准则》和《金融企业会计制度》。要求申请人补充披露以《金融企业会计制度》（已废止）为基础编制财务报表的具体情况，说明以《金融企业会计制度》（已废止）作为财报编制基础是否符合法律法规或企业会计制度相关规定。请律师、会计师核查并发表明确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申请人回复如下：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申请人是经中国银行业监督管理委员会批准，在河源市源城区农村信用合作联社的基础上组建的中小金融机构。中国银保监会及其各地的派出机构（以下简称“银保监机构”）是申请人主要监管部门。同时，根据《国务院关于印发深化农村信用社改革试点方案的通知》（国发[2003]15号）和《国务院办公厅转发银监会、人民银行关于明确对农村信用社监督管理职责分工指导意见的通知》（国办发[2004]48号）的规定，广东省农村信用社联合社（以下简称“省联社”）代表广东省政府承担对当地信用社（包括农村信用社改制的银行类金融机构）的管理、指导、协调和服务，并承担结合当地信用社实际，制定信用社业务经营、财务核算、劳动用工、分配制度、风险控制等管理制度并督促执行的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据此，2014年省联社发布了《关于印发广东省农村合作金融机构2014年第二批会计结算业务制度的通知》（“《省联社通知》”），其中包括《广东省农村合作金融机构会计工作基本规定》（以下简称“《省联社会计工作基本规定》”）和《广东省农村合作金融机构数据大集中系统会计分录（2014修订版）》（以下简称“《会计分录》”）等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《省联社会计工作基本规定》明确：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1．其“根据《中华人民共和国会计法》《中华人民共和国商业银行法》《企业会计准则》和《金融企业会计制度》等有关法规规定，结合我省农合机构的实际情况”制定；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 要求“农合机构在日常开展会计结算业务过程中，必须遵守本规定”。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同时，《省联社通知》要求“各农合机构要在省联社制度的基础上，结合实际制定实施细则”。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据此，申请人制定了《广东河源农村商业银行会计工作基本规定》（“《河源农商行会计工作基本规定》”），并描述其制定依据为“《中华人民共和国会计法》《中华人民共和国商业银行法》《企业会计准则》和《金融企业会计制度》、省联社《广东省农村合作金融机构会计工作基本规定》等有关法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此外，《省联社会计工作基本规定》规定，“会计科目由广东省农村信用社联合社按照资金性质、业务特点、经营管理和核算要求设置和使用。”同时，在《会计分录》中省联社规定了各项业务的会计确认和计量等会计处理。申请人实践中其按照《会计分录》的规定执行各项业务的会计处理并由省联社开发的“广东省农村合作金融机构数据大集中系统”（“大集中系统”）自动生成相应的财务报表，《会计分录》及大集中系统自动生成的财务报表符合《企业会计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根据《财政部关于公布废止和失效的财政规章和规范性文件目录(第十一批)的决定》《金融企业会计制度》《企业会计准则——基本准则》《企业会计准则第1号——存货》等38项具体准则、《中国银监会关于银行业金融机构全面执行&lt;企业会计准则&gt;的通知》《广东省农村合作金融机构会计工作基本规定》等相关规定或文件，申请人财务报表符合《企业会计准则》，《审计报告》中财务报表的各项数据无需为符合《企业会计准则》进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textAlignment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律师、会计师认为，经审计的财务报表符合《企业会计准则》，各项数据无需为符合《企业会计准则》进行调整。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　　三、合规性审核意见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　　根据申请人提交的申请文件及对反馈意见的回复，我会认为，申请人信息披露基本符合《公司法》《证券法》《公众公司办法》《非上市公众公司信息披露内容与格式准则第3号——定向发行说明书和发行情况报告书》《非上市公众公司信息披露内容与格式准则第4号——定向发行申请文件》和《关于股东人数超过200人的未上市商业银行增发股份有关问题的通知》（证监发[2018]24号）等法律法规的规定，相关中介机构已就本次申请的</w:t>
      </w:r>
      <w:r>
        <w:rPr>
          <w:rFonts w:hint="eastAsia" w:ascii="微软雅黑" w:hAnsi="微软雅黑" w:eastAsia="微软雅黑" w:cs="微软雅黑"/>
          <w:b w:val="0"/>
          <w:bCs w:val="0"/>
          <w:i w:val="0"/>
          <w:iCs w:val="0"/>
          <w:caps w:val="0"/>
          <w:color w:val="333333"/>
          <w:spacing w:val="0"/>
          <w:sz w:val="21"/>
          <w:szCs w:val="21"/>
          <w:u w:val="none"/>
          <w:bdr w:val="none" w:color="auto" w:sz="0" w:space="0"/>
          <w:shd w:val="clear" w:fill="FFFFFF"/>
        </w:rPr>
        <w:t>相关问题依法发</w:t>
      </w: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表了明确的意见。据此，我会同意广东河源农村商业银行股份有限公司向特定对象发行股票的申请。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00F565F1"/>
    <w:rsid w:val="00F56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7715</Words>
  <Characters>10011</Characters>
  <Lines>0</Lines>
  <Paragraphs>0</Paragraphs>
  <TotalTime>0</TotalTime>
  <ScaleCrop>false</ScaleCrop>
  <LinksUpToDate>false</LinksUpToDate>
  <CharactersWithSpaces>10489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2022-09-05T08:44:00Z</dcterms:created>
  <dc:creator>程晋</dc:creator>
  <cp:lastModifiedBy>程晋</cp:lastModifiedBy>
  <dcterms:modified xsi:type="dcterms:W3CDTF">2022-09-05T08:45:42Z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185D6939645A4E72A64FCB3CDFB28101</vt:lpwstr>
  </property>
</Properties>
</file>