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u w:val="none"/>
          <w:bdr w:val="none" w:color="auto" w:sz="0" w:space="0"/>
          <w:shd w:val="clear" w:fill="FFFFFF"/>
        </w:rPr>
        <w:t>关于山西盂县农村商业银行股份有限公司申请向特定对象发行股票的审核意见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山西盂县农村商业银行股份有限公司”，住所地在山西省阳泉市盂县金龙西街1号，成立于2012年5月11日。目前申请人全部股份在山西省股权交易中心有限公司予以集中登记托管。截至股权登记日（2018年11月2日），申请人共有股东639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申请人法定代表人耿立涛，注册资本为人民币848,157,800元，总股本为人民币848,157,800股。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申请人主营业务为吸收存款、发放贷款、同业拆借、投资理财等中国银保监会批准的其他业务。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11月12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于2018年11月26日向申请人发出书面反馈，申请人、律师及会计师于2018年12月19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关于净利润下降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材料显示，申请人2016年度、2017年度、2018年上半年净利润分别为10,756.57万元、18,100.45万元和1,268.33万元，最近一期净利润下降幅度较大。要求申请人补充披露最近一期净利润下降的具体原因，分析对申请人持续经营的影响，必要时进行重大事项提示。请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最近一期净利润下降的具体原因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上半年净利润1,268.32万元，较2017年、2016年净利润出现大幅下降。2018年上半年税前利润1,845.60万元，2017年上半年税前利润总额14,155.63万元，2018年上半年税前利润总额比2017年减少12,310.04万元，下降86.96%。将2018年上半年与2017年上半年利润表进行对比分析可知，2018年上半年营业收入27,304.74万元，2017年上半年营业收入27,932.55万元，较2017年下降2.25%，营业收入未发生大的变动。2018年上半年营业支出25,578.06万元，2017年上半年营业支出13,775.56万元，2018年上半年营业支出较2017年上半年增加11,802.31万元，增长85.67%。营业支出中，业务及管理费支出增加2,309.46万元，增长23.28%，资产减值损失增加9,360.01万元，增长248.72%。业务及管理费和资产减值损失的大幅增加是导致申请人营业支出增加、净利润下降的主要因素。详细情况如下表所示：</w:t>
      </w:r>
    </w:p>
    <w:tbl>
      <w:tblPr>
        <w:tblW w:w="86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25"/>
        <w:gridCol w:w="1595"/>
        <w:gridCol w:w="1541"/>
        <w:gridCol w:w="1531"/>
        <w:gridCol w:w="1184"/>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1516" w:type="dxa"/>
            <w:tcBorders>
              <w:top w:val="single" w:color="000000" w:sz="12"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项目名称</w:t>
            </w:r>
          </w:p>
        </w:tc>
        <w:tc>
          <w:tcPr>
            <w:tcW w:w="1431" w:type="dxa"/>
            <w:tcBorders>
              <w:top w:val="single" w:color="000000" w:sz="12"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2018年1月-6月</w:t>
            </w:r>
          </w:p>
        </w:tc>
        <w:tc>
          <w:tcPr>
            <w:tcW w:w="1546" w:type="dxa"/>
            <w:tcBorders>
              <w:top w:val="single" w:color="000000" w:sz="12"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2017年1月-6月</w:t>
            </w:r>
          </w:p>
        </w:tc>
        <w:tc>
          <w:tcPr>
            <w:tcW w:w="1535" w:type="dxa"/>
            <w:tcBorders>
              <w:top w:val="single" w:color="000000" w:sz="12"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2016年1月-6月</w:t>
            </w:r>
          </w:p>
        </w:tc>
        <w:tc>
          <w:tcPr>
            <w:tcW w:w="1208" w:type="dxa"/>
            <w:tcBorders>
              <w:top w:val="single" w:color="000000" w:sz="12"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2018较2017年</w:t>
            </w:r>
            <w:r>
              <w:rPr>
                <w:rFonts w:hint="eastAsia" w:ascii="微软雅黑" w:hAnsi="微软雅黑" w:eastAsia="微软雅黑" w:cs="微软雅黑"/>
                <w:b/>
                <w:bCs/>
                <w:i w:val="0"/>
                <w:iCs w:val="0"/>
                <w:caps w:val="0"/>
                <w:color w:val="000000"/>
                <w:spacing w:val="0"/>
                <w:sz w:val="19"/>
                <w:szCs w:val="19"/>
                <w:u w:val="none"/>
                <w:bdr w:val="none" w:color="auto" w:sz="0" w:space="0"/>
              </w:rPr>
              <w:br w:type="textWrapping"/>
            </w:r>
            <w:r>
              <w:rPr>
                <w:rFonts w:hint="eastAsia" w:ascii="微软雅黑" w:hAnsi="微软雅黑" w:eastAsia="微软雅黑" w:cs="微软雅黑"/>
                <w:b/>
                <w:bCs/>
                <w:i w:val="0"/>
                <w:iCs w:val="0"/>
                <w:caps w:val="0"/>
                <w:color w:val="000000"/>
                <w:spacing w:val="0"/>
                <w:sz w:val="19"/>
                <w:szCs w:val="19"/>
                <w:u w:val="none"/>
                <w:bdr w:val="none" w:color="auto" w:sz="0" w:space="0"/>
              </w:rPr>
              <w:t>增长率</w:t>
            </w:r>
          </w:p>
        </w:tc>
        <w:tc>
          <w:tcPr>
            <w:tcW w:w="1396" w:type="dxa"/>
            <w:tcBorders>
              <w:top w:val="single" w:color="000000" w:sz="12"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2018较2016年</w:t>
            </w:r>
            <w:r>
              <w:rPr>
                <w:rFonts w:hint="eastAsia" w:ascii="微软雅黑" w:hAnsi="微软雅黑" w:eastAsia="微软雅黑" w:cs="微软雅黑"/>
                <w:b/>
                <w:bCs/>
                <w:i w:val="0"/>
                <w:iCs w:val="0"/>
                <w:caps w:val="0"/>
                <w:color w:val="000000"/>
                <w:spacing w:val="0"/>
                <w:sz w:val="19"/>
                <w:szCs w:val="19"/>
                <w:u w:val="none"/>
                <w:bdr w:val="none" w:color="auto" w:sz="0" w:space="0"/>
              </w:rPr>
              <w:br w:type="textWrapping"/>
            </w:r>
            <w:r>
              <w:rPr>
                <w:rFonts w:hint="eastAsia" w:ascii="微软雅黑" w:hAnsi="微软雅黑" w:eastAsia="微软雅黑" w:cs="微软雅黑"/>
                <w:b/>
                <w:bCs/>
                <w:i w:val="0"/>
                <w:iCs w:val="0"/>
                <w:caps w:val="0"/>
                <w:color w:val="000000"/>
                <w:spacing w:val="0"/>
                <w:sz w:val="19"/>
                <w:szCs w:val="19"/>
                <w:u w:val="none"/>
                <w:bdr w:val="none" w:color="auto" w:sz="0" w:space="0"/>
              </w:rPr>
              <w:t>增长率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一、营业收入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273,047,411.24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279,325,545.77</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186,501,030.16</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-2.25%</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46.41%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利息净收入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273,280,122.36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279,996,708.04</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173,316,064.02</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-2.40%</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利息收入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566,590,380.26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453,306,875.05</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379,481,034.92</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24.99%</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利息支出</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293,310,257.90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173,310,167.01</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206,164,970.90</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69.24%</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手续费及佣金净收入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-943,603.20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595,634.08</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3,185,855.76</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-258.42%</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手续费及佣金收入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12,489,683.95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3,352,230.17</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3,513,960.35</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272.58%</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手续费及佣金支出</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13,433,287.15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2,756,596.09</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328,104.59</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387.31%</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3994.21%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投资收益</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710,892.08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-1,278,224.92</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9,963,110.38</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-155.62%</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其他业务收入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11,428.57</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36,000.00</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二、营业支出</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 255,780,589.52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137,757,516.45</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162,384,730.10</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85.67%</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57.52%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税金及附加</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2,231,329.30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902,879.88</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10,247,920.72</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147.13%</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业务及管理费</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 122,317,022.98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99,222,456.46</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68,824,446.13</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23.28%</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77.72%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资产减值损失</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 131,232,237.24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37,632,180.11</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83,312,363.25</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248.72%</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57.52%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三、营业利润</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17,266,821.72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141,568,029.32</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24,116,300.06</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-87.80%</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加：营业外收入</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1,464,874.89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26,938.00</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47,745.00</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5337.95%</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减：营业外支出</w:t>
            </w:r>
          </w:p>
        </w:tc>
        <w:tc>
          <w:tcPr>
            <w:tcW w:w="143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275,790.40 </w:t>
            </w:r>
          </w:p>
        </w:tc>
        <w:tc>
          <w:tcPr>
            <w:tcW w:w="154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38,663.40</w:t>
            </w:r>
          </w:p>
        </w:tc>
        <w:tc>
          <w:tcPr>
            <w:tcW w:w="153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16,104.57</w:t>
            </w:r>
          </w:p>
        </w:tc>
        <w:tc>
          <w:tcPr>
            <w:tcW w:w="12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613.31%</w:t>
            </w:r>
          </w:p>
        </w:tc>
        <w:tc>
          <w:tcPr>
            <w:tcW w:w="1396" w:type="dxa"/>
            <w:tcBorders>
              <w:top w:val="single" w:color="000000" w:sz="6" w:space="0"/>
              <w:left w:val="single" w:color="000000" w:sz="6" w:space="0"/>
              <w:bottom w:val="single" w:color="000000" w:sz="6"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516" w:type="dxa"/>
            <w:tcBorders>
              <w:top w:val="single" w:color="000000" w:sz="6" w:space="0"/>
              <w:left w:val="single" w:color="000000" w:sz="12" w:space="0"/>
              <w:bottom w:val="single" w:color="000000" w:sz="12"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四、利润总额</w:t>
            </w:r>
          </w:p>
        </w:tc>
        <w:tc>
          <w:tcPr>
            <w:tcW w:w="1431" w:type="dxa"/>
            <w:tcBorders>
              <w:top w:val="single" w:color="000000" w:sz="6" w:space="0"/>
              <w:left w:val="single" w:color="000000" w:sz="6" w:space="0"/>
              <w:bottom w:val="single" w:color="000000" w:sz="12"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 18,455,906.21 </w:t>
            </w:r>
          </w:p>
        </w:tc>
        <w:tc>
          <w:tcPr>
            <w:tcW w:w="1546" w:type="dxa"/>
            <w:tcBorders>
              <w:top w:val="single" w:color="000000" w:sz="6" w:space="0"/>
              <w:left w:val="single" w:color="000000" w:sz="6" w:space="0"/>
              <w:bottom w:val="single" w:color="000000" w:sz="12"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141,556,303.92</w:t>
            </w:r>
          </w:p>
        </w:tc>
        <w:tc>
          <w:tcPr>
            <w:tcW w:w="1535" w:type="dxa"/>
            <w:tcBorders>
              <w:top w:val="single" w:color="000000" w:sz="6" w:space="0"/>
              <w:left w:val="single" w:color="000000" w:sz="6" w:space="0"/>
              <w:bottom w:val="single" w:color="000000" w:sz="12"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24,147,940.49</w:t>
            </w:r>
          </w:p>
        </w:tc>
        <w:tc>
          <w:tcPr>
            <w:tcW w:w="1208" w:type="dxa"/>
            <w:tcBorders>
              <w:top w:val="single" w:color="000000" w:sz="6" w:space="0"/>
              <w:left w:val="single" w:color="000000" w:sz="6" w:space="0"/>
              <w:bottom w:val="single" w:color="000000" w:sz="12"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-86.96%</w:t>
            </w:r>
          </w:p>
        </w:tc>
        <w:tc>
          <w:tcPr>
            <w:tcW w:w="1396" w:type="dxa"/>
            <w:tcBorders>
              <w:top w:val="single" w:color="000000" w:sz="6" w:space="0"/>
              <w:left w:val="single" w:color="000000" w:sz="6" w:space="0"/>
              <w:bottom w:val="single" w:color="000000" w:sz="12" w:space="0"/>
              <w:right w:val="single" w:color="000000" w:sz="12"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-23.57%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（1）资产减值损失增加导致净利润下降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申请人将逾期90天以上贷款全部计入不良贷款，导致不良贷款较2017年增加。同时，2018年上半年核销不良贷款18,968.47万元，导致贷款减值准备减少。为保证拨备计提充足，申请人依据《企业会计准则》的要求，于2018年上半年提取了13,123.22万元的贷款损失准备。2017年上半年因贷款减值准备形成的资产减值损失3,763.22万元。2018年上半年较2017年上半年资产减值损失增加9,360.01万元，导致税前利润减少9,360.01万元，是申请人2018年利润大幅下降的主要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（2）业务及管理费增加导致的净利润下降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2018年上半年业务及管理费12,231.70万元，2017年上半年业务及管理费用9,922.25万元,2018年上半年较2017年上半年增加2,309.46万元。主要是员工考核体系修订、新增大额房屋建筑物折旧、安全保险费的投入加大等多重原因导致了业务及管理费的增加。业务及管理费的增加是申请人2018年上半年利润相较于2017年上半年下降的另一个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2、对持续经营的影响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根据新的监管要求，和风险资产的实际情况足额计提了贷款减值准备。虽然2018年上半年利润因此较2017年、2016年出现下降。但申请人各项业务均正常开展，存贷款业务发展稳定，相关风险得到了充分披露，经过下半年的经营，利润下降的情况将得到扭转。申请人暂未发现对其持续经营能力产生不利影响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严格按照《企业会计准则》要求足额计提了贷款减值准备，反映了企业风险和当前的真实经营情况；同时，了解了申请人与费用支出相关的的内部控制，复核了业务及管理费的合理性，对本期发生的费用实施了实质性分析程序，并检查了各项费用的确认和账务处理的正确性。申请人对业务及管理费的核算符合《企业会计准则》的要求，与申请人当前的经营状况、财务政策相符；同时，申请人对其持续经营能力的描述与其当前的实际经营情况相符，暂未发现对其持续经营能力产生不利影响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（二）关于监管指标披露情况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材料显示，申请人未披露拨备覆盖率和贷款拨备率等监管指标情况。请申请人补充披露拨备覆盖率和贷款拨备率等监管指标情况，并与可比银行进行对比，说明变动原因和合理性。请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1、截止2018年6月30日，申请人主要监管指标如下表所示：</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00"/>
        <w:gridCol w:w="2197"/>
        <w:gridCol w:w="1500"/>
        <w:gridCol w:w="1365"/>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0" w:hRule="atLeast"/>
        </w:trPr>
        <w:tc>
          <w:tcPr>
            <w:tcW w:w="2000"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监管指标</w:t>
            </w:r>
          </w:p>
        </w:tc>
        <w:tc>
          <w:tcPr>
            <w:tcW w:w="219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监管指标值</w:t>
            </w:r>
          </w:p>
        </w:tc>
        <w:tc>
          <w:tcPr>
            <w:tcW w:w="1500"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w:t>
            </w:r>
          </w:p>
        </w:tc>
        <w:tc>
          <w:tcPr>
            <w:tcW w:w="136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w:t>
            </w:r>
          </w:p>
        </w:tc>
        <w:tc>
          <w:tcPr>
            <w:tcW w:w="1458"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00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贷款拨备率</w:t>
            </w:r>
          </w:p>
        </w:tc>
        <w:tc>
          <w:tcPr>
            <w:tcW w:w="21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大于等于2.50%</w:t>
            </w:r>
          </w:p>
        </w:tc>
        <w:tc>
          <w:tcPr>
            <w:tcW w:w="150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6.02%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6.25%</w:t>
            </w:r>
          </w:p>
        </w:tc>
        <w:tc>
          <w:tcPr>
            <w:tcW w:w="145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5" w:hRule="atLeast"/>
        </w:trPr>
        <w:tc>
          <w:tcPr>
            <w:tcW w:w="200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拨备覆盖率</w:t>
            </w:r>
          </w:p>
        </w:tc>
        <w:tc>
          <w:tcPr>
            <w:tcW w:w="219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大于等于150%</w:t>
            </w:r>
          </w:p>
        </w:tc>
        <w:tc>
          <w:tcPr>
            <w:tcW w:w="150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255.61%</w:t>
            </w:r>
          </w:p>
        </w:tc>
        <w:tc>
          <w:tcPr>
            <w:tcW w:w="136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285.35%</w:t>
            </w:r>
          </w:p>
        </w:tc>
        <w:tc>
          <w:tcPr>
            <w:tcW w:w="1458"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151.49%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2、与同行业可比银行对比情况如下表：</w:t>
      </w:r>
    </w:p>
    <w:tbl>
      <w:tblPr>
        <w:tblW w:w="9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
        <w:gridCol w:w="720"/>
        <w:gridCol w:w="988"/>
        <w:gridCol w:w="988"/>
        <w:gridCol w:w="819"/>
        <w:gridCol w:w="819"/>
        <w:gridCol w:w="819"/>
        <w:gridCol w:w="819"/>
        <w:gridCol w:w="988"/>
        <w:gridCol w:w="406"/>
        <w:gridCol w:w="766"/>
        <w:gridCol w:w="766"/>
        <w:gridCol w:w="766"/>
        <w:gridCol w:w="766"/>
        <w:gridCol w:w="766"/>
        <w:gridCol w:w="766"/>
        <w:gridCol w:w="76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9"/>
          <w:trHeight w:val="285" w:hRule="atLeast"/>
          <w:jc w:val="center"/>
        </w:trPr>
        <w:tc>
          <w:tcPr>
            <w:tcW w:w="1066"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监管指标</w:t>
            </w:r>
          </w:p>
        </w:tc>
        <w:tc>
          <w:tcPr>
            <w:tcW w:w="1097" w:type="dxa"/>
            <w:vMerge w:val="restart"/>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监管指标值</w:t>
            </w:r>
          </w:p>
        </w:tc>
        <w:tc>
          <w:tcPr>
            <w:tcW w:w="7419" w:type="dxa"/>
            <w:gridSpan w:val="7"/>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9"/>
          <w:trHeight w:val="312" w:hRule="atLeast"/>
          <w:jc w:val="center"/>
        </w:trPr>
        <w:tc>
          <w:tcPr>
            <w:tcW w:w="1066"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97"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3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盂县农商行</w:t>
            </w:r>
          </w:p>
        </w:tc>
        <w:tc>
          <w:tcPr>
            <w:tcW w:w="1047"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无锡银行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江阴银行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常熟银行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张家港行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吴江银行</w:t>
            </w:r>
          </w:p>
        </w:tc>
        <w:tc>
          <w:tcPr>
            <w:tcW w:w="1022" w:type="dxa"/>
            <w:vMerge w:val="restart"/>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全国农村商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业银行平均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1066"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97"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3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47"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22" w:type="dxa"/>
            <w:vMerge w:val="continue"/>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贷款拨备率</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大于等于2.50%</w:t>
            </w:r>
          </w:p>
        </w:tc>
        <w:tc>
          <w:tcPr>
            <w:tcW w:w="103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6.02%</w:t>
            </w:r>
          </w:p>
        </w:tc>
        <w:tc>
          <w:tcPr>
            <w:tcW w:w="10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2.80%</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4.10%</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3.30%</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3.54%</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3.34%</w:t>
            </w:r>
          </w:p>
        </w:tc>
        <w:tc>
          <w:tcPr>
            <w:tcW w:w="102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106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拨备覆盖率</w:t>
            </w:r>
          </w:p>
        </w:tc>
        <w:tc>
          <w:tcPr>
            <w:tcW w:w="109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大于等于150%</w:t>
            </w:r>
          </w:p>
        </w:tc>
        <w:tc>
          <w:tcPr>
            <w:tcW w:w="103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255.61%</w:t>
            </w:r>
          </w:p>
        </w:tc>
        <w:tc>
          <w:tcPr>
            <w:tcW w:w="104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200.77%</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170.14</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234.83</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180.36</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187.46</w:t>
            </w:r>
          </w:p>
        </w:tc>
        <w:tc>
          <w:tcPr>
            <w:tcW w:w="1022"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185.83%</w:t>
            </w: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tbl>
      <w:tblPr>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
        <w:gridCol w:w="720"/>
        <w:gridCol w:w="988"/>
        <w:gridCol w:w="988"/>
        <w:gridCol w:w="988"/>
        <w:gridCol w:w="988"/>
        <w:gridCol w:w="988"/>
        <w:gridCol w:w="988"/>
        <w:gridCol w:w="988"/>
        <w:gridCol w:w="406"/>
        <w:gridCol w:w="766"/>
        <w:gridCol w:w="766"/>
        <w:gridCol w:w="766"/>
        <w:gridCol w:w="766"/>
        <w:gridCol w:w="766"/>
        <w:gridCol w:w="766"/>
        <w:gridCol w:w="76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9"/>
          <w:trHeight w:val="285" w:hRule="atLeast"/>
          <w:jc w:val="center"/>
        </w:trPr>
        <w:tc>
          <w:tcPr>
            <w:tcW w:w="1080"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监管指标</w:t>
            </w:r>
          </w:p>
        </w:tc>
        <w:tc>
          <w:tcPr>
            <w:tcW w:w="1083" w:type="dxa"/>
            <w:vMerge w:val="restart"/>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监管指标值</w:t>
            </w:r>
          </w:p>
        </w:tc>
        <w:tc>
          <w:tcPr>
            <w:tcW w:w="7477" w:type="dxa"/>
            <w:gridSpan w:val="7"/>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9"/>
          <w:trHeight w:val="312" w:hRule="atLeast"/>
          <w:jc w:val="center"/>
        </w:trPr>
        <w:tc>
          <w:tcPr>
            <w:tcW w:w="1080"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3"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61"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盂县农商行</w:t>
            </w:r>
          </w:p>
        </w:tc>
        <w:tc>
          <w:tcPr>
            <w:tcW w:w="1016"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无锡银行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江阴银行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常熟银行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张家港行</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吴江银行</w:t>
            </w:r>
          </w:p>
        </w:tc>
        <w:tc>
          <w:tcPr>
            <w:tcW w:w="1080" w:type="dxa"/>
            <w:vMerge w:val="restart"/>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全国农村商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业银行平均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1080"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3"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61"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16"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vMerge w:val="continue"/>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贷款拨备率</w:t>
            </w:r>
          </w:p>
        </w:tc>
        <w:tc>
          <w:tcPr>
            <w:tcW w:w="10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大于等于2.50%</w:t>
            </w:r>
          </w:p>
        </w:tc>
        <w:tc>
          <w:tcPr>
            <w:tcW w:w="10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6.25%</w:t>
            </w:r>
          </w:p>
        </w:tc>
        <w:tc>
          <w:tcPr>
            <w:tcW w:w="101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2.67%</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4.60%</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3.72%</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3.33%</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3.31%</w:t>
            </w:r>
          </w:p>
        </w:tc>
        <w:tc>
          <w:tcPr>
            <w:tcW w:w="108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08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拨备覆盖率</w:t>
            </w:r>
          </w:p>
        </w:tc>
        <w:tc>
          <w:tcPr>
            <w:tcW w:w="108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大于等于150%</w:t>
            </w:r>
          </w:p>
        </w:tc>
        <w:tc>
          <w:tcPr>
            <w:tcW w:w="10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285.35%</w:t>
            </w:r>
          </w:p>
        </w:tc>
        <w:tc>
          <w:tcPr>
            <w:tcW w:w="101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193.77%</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192.13%</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325.93%</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185.60%</w:t>
            </w:r>
          </w:p>
        </w:tc>
        <w:tc>
          <w:tcPr>
            <w:tcW w:w="108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201.50%</w:t>
            </w:r>
          </w:p>
        </w:tc>
        <w:tc>
          <w:tcPr>
            <w:tcW w:w="108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194.60%</w:t>
            </w: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tbl>
      <w:tblPr>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
        <w:gridCol w:w="720"/>
        <w:gridCol w:w="988"/>
        <w:gridCol w:w="988"/>
        <w:gridCol w:w="988"/>
        <w:gridCol w:w="988"/>
        <w:gridCol w:w="988"/>
        <w:gridCol w:w="988"/>
        <w:gridCol w:w="988"/>
        <w:gridCol w:w="406"/>
        <w:gridCol w:w="766"/>
        <w:gridCol w:w="766"/>
        <w:gridCol w:w="766"/>
        <w:gridCol w:w="766"/>
        <w:gridCol w:w="766"/>
        <w:gridCol w:w="766"/>
        <w:gridCol w:w="76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9"/>
          <w:trHeight w:val="285" w:hRule="atLeast"/>
          <w:jc w:val="center"/>
        </w:trPr>
        <w:tc>
          <w:tcPr>
            <w:tcW w:w="1080"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监管指标</w:t>
            </w:r>
          </w:p>
        </w:tc>
        <w:tc>
          <w:tcPr>
            <w:tcW w:w="1094" w:type="dxa"/>
            <w:vMerge w:val="restart"/>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监管指标值</w:t>
            </w:r>
          </w:p>
        </w:tc>
        <w:tc>
          <w:tcPr>
            <w:tcW w:w="7466" w:type="dxa"/>
            <w:gridSpan w:val="7"/>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9"/>
          <w:trHeight w:val="312" w:hRule="atLeast"/>
          <w:jc w:val="center"/>
        </w:trPr>
        <w:tc>
          <w:tcPr>
            <w:tcW w:w="1080"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94"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71"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盂县农商行</w:t>
            </w:r>
          </w:p>
        </w:tc>
        <w:tc>
          <w:tcPr>
            <w:tcW w:w="1006"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无锡银行</w:t>
            </w:r>
          </w:p>
        </w:tc>
        <w:tc>
          <w:tcPr>
            <w:tcW w:w="1006"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江阴银行</w:t>
            </w:r>
          </w:p>
        </w:tc>
        <w:tc>
          <w:tcPr>
            <w:tcW w:w="1006"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常熟银行</w:t>
            </w:r>
          </w:p>
        </w:tc>
        <w:tc>
          <w:tcPr>
            <w:tcW w:w="1006"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张家港行</w:t>
            </w:r>
          </w:p>
        </w:tc>
        <w:tc>
          <w:tcPr>
            <w:tcW w:w="1151"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吴江银行</w:t>
            </w:r>
          </w:p>
        </w:tc>
        <w:tc>
          <w:tcPr>
            <w:tcW w:w="1120" w:type="dxa"/>
            <w:vMerge w:val="restart"/>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全国农村商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业银行平均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1080"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94" w:type="dxa"/>
            <w:vMerge w:val="continue"/>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71"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06"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06"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06"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06"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51"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20" w:type="dxa"/>
            <w:vMerge w:val="continue"/>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8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贷款拨备率</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大于等于2.50%</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5.07%</w:t>
            </w:r>
          </w:p>
        </w:tc>
        <w:tc>
          <w:tcPr>
            <w:tcW w:w="100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2.74%</w:t>
            </w:r>
          </w:p>
        </w:tc>
        <w:tc>
          <w:tcPr>
            <w:tcW w:w="100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4.73%</w:t>
            </w:r>
          </w:p>
        </w:tc>
        <w:tc>
          <w:tcPr>
            <w:tcW w:w="100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3.89%</w:t>
            </w:r>
          </w:p>
        </w:tc>
        <w:tc>
          <w:tcPr>
            <w:tcW w:w="100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3.30%</w:t>
            </w:r>
          </w:p>
        </w:tc>
        <w:tc>
          <w:tcPr>
            <w:tcW w:w="115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3.29%</w:t>
            </w:r>
          </w:p>
        </w:tc>
        <w:tc>
          <w:tcPr>
            <w:tcW w:w="112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jc w:val="center"/>
        </w:trPr>
        <w:tc>
          <w:tcPr>
            <w:tcW w:w="108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拨备覆盖率</w:t>
            </w:r>
          </w:p>
        </w:tc>
        <w:tc>
          <w:tcPr>
            <w:tcW w:w="109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大于等于150%</w:t>
            </w:r>
          </w:p>
        </w:tc>
        <w:tc>
          <w:tcPr>
            <w:tcW w:w="117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151.49%</w:t>
            </w:r>
          </w:p>
        </w:tc>
        <w:tc>
          <w:tcPr>
            <w:tcW w:w="100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206.79%</w:t>
            </w:r>
          </w:p>
        </w:tc>
        <w:tc>
          <w:tcPr>
            <w:tcW w:w="100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206.48%</w:t>
            </w:r>
          </w:p>
        </w:tc>
        <w:tc>
          <w:tcPr>
            <w:tcW w:w="100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386.31%</w:t>
            </w:r>
          </w:p>
        </w:tc>
        <w:tc>
          <w:tcPr>
            <w:tcW w:w="100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207.11%</w:t>
            </w:r>
          </w:p>
        </w:tc>
        <w:tc>
          <w:tcPr>
            <w:tcW w:w="115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224.94%</w:t>
            </w:r>
          </w:p>
        </w:tc>
        <w:tc>
          <w:tcPr>
            <w:tcW w:w="112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158.94%</w:t>
            </w: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注：1、对比公司为A股上市农村商业银行，其主要指标数据来源于各公司披露的2018年半年度报告；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630" w:right="0" w:hanging="315"/>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全国农村商业银行平均指标来源于中国银行保险监督管理委员会在官网统计信息中披露的《2018年商业银行主要指标分机构类情况表(季度)》。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3、变动原因分析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2016年到2018年贷款规模分别为79.27亿元、77.68亿元、85.00亿元，贷款减值准备分别为4.77亿元、4.86亿元、4.31亿元，贷款拨备率分别为6.02%、6.25%、5.07%。申请人2018年对风险资产进行了处置，核销不良贷款1.90亿元，导致贷款减值准备下降，是贷款拨备率下降的主要原因。2018年6月30日，申请人贷款拨备率5.07%，符合监管大于等于2.5%的要求，基本与2018年全国农村商业银行的贷款拨备率（5.18%）水平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2016年到2018年，申请人不良贷款金额分别为1.87亿元、1.70亿元，2.85亿元，贷款减值准备分别为4.77亿元、4.86亿元、4.31亿元，拨备覆盖率分别为255.61%、285.35%、151.49%。按照银监会的要求，申请人2018年将逾期90天以上的贷款全部计入不良贷款范畴，致使不良贷款金额上升。同时，申请人今年对不良贷款进行了核销，导致拨备和拨备覆盖率下降，但仍然符合监管大于等于150%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了解了申请人与发放贷款及垫款相关的内部控制，并通过检查贷款档案、下户调查等方式对贷款的五级分类情况进行了检查，同时对贷款减值准备情况进行了测算。认为，申请人披露的信息反映了所发放贷款的真实情况，贷款损失准备的计提符合《企业会计准则》和盂县农商行的会计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（三）关于本次发行方案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截至《定向发行说明书》披露之日，申请人尚未确定具体的发行对象。请申请人补充披露：（1）截至目前发行工作的进展情况；（2）是否已经确定发行对象，若确定，请披露发行对象和认购意向等相关情况。请会计师、律师进行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止2018年6月29日，申请人已经与全部9名认购人（包括3名法人、6名自然人）签署《山西盂县农村商业银行股份有限公司定向募集股份认购协议》，所有参与认购的新增股东均符合《非上市公众公司监督管理办法》《中国银监会农村中小金融机构行政许可事项实施办法（修订）》股东资格条件，参与本次认购的投资人及认购情况如下：</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
        <w:gridCol w:w="1351"/>
        <w:gridCol w:w="2252"/>
        <w:gridCol w:w="1368"/>
        <w:gridCol w:w="1411"/>
        <w:gridCol w:w="887"/>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12" w:space="0"/>
              <w:left w:val="single" w:color="auto" w:sz="12"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1559" w:type="dxa"/>
            <w:tcBorders>
              <w:top w:val="single" w:color="auto" w:sz="12" w:space="0"/>
              <w:left w:val="single" w:color="auto" w:sz="6"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发行对象名称</w:t>
            </w:r>
          </w:p>
        </w:tc>
        <w:tc>
          <w:tcPr>
            <w:tcW w:w="1843" w:type="dxa"/>
            <w:tcBorders>
              <w:top w:val="single" w:color="auto" w:sz="12" w:space="0"/>
              <w:left w:val="single" w:color="auto" w:sz="6"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身份证号码/统一信用代码证</w:t>
            </w:r>
          </w:p>
        </w:tc>
        <w:tc>
          <w:tcPr>
            <w:tcW w:w="1417" w:type="dxa"/>
            <w:tcBorders>
              <w:top w:val="single" w:color="auto" w:sz="12" w:space="0"/>
              <w:left w:val="single" w:color="auto" w:sz="6"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认购数量（万股）</w:t>
            </w:r>
          </w:p>
        </w:tc>
        <w:tc>
          <w:tcPr>
            <w:tcW w:w="1418" w:type="dxa"/>
            <w:tcBorders>
              <w:top w:val="single" w:color="auto" w:sz="12" w:space="0"/>
              <w:left w:val="single" w:color="auto" w:sz="6"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认购金额（万元）</w:t>
            </w:r>
          </w:p>
        </w:tc>
        <w:tc>
          <w:tcPr>
            <w:tcW w:w="992" w:type="dxa"/>
            <w:tcBorders>
              <w:top w:val="single" w:color="auto" w:sz="12" w:space="0"/>
              <w:left w:val="single" w:color="auto" w:sz="6" w:space="0"/>
              <w:bottom w:val="single" w:color="auto" w:sz="6" w:space="0"/>
              <w:right w:val="single" w:color="auto" w:sz="6"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认购方式</w:t>
            </w:r>
          </w:p>
        </w:tc>
        <w:tc>
          <w:tcPr>
            <w:tcW w:w="709" w:type="dxa"/>
            <w:tcBorders>
              <w:top w:val="single" w:color="auto" w:sz="12" w:space="0"/>
              <w:left w:val="single" w:color="auto" w:sz="6" w:space="0"/>
              <w:bottom w:val="single" w:color="auto" w:sz="6" w:space="0"/>
              <w:right w:val="single" w:color="auto" w:sz="12" w:space="0"/>
            </w:tcBorders>
            <w:shd w:val="clear" w:color="auto" w:fill="D7D7D7"/>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是否在册股东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王宗英</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140321********6034</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2,000.00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2,780.00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栾秀娟</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140311********3327</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758.50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1,054.315</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于玮</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140322********1511</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308.50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428.815</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胡斐</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140322********0053</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308．50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428.815</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刘洋</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140322********7546</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308．50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428.815</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房景西</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140322********0037</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316.00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439.24</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山西建科天然气科技股份有限公司</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911403227572832251</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2,000.00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2,780.00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山西阳泉盂县石店煤业有限公司</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91140000110723584G</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8,184.22</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11,376.0658</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3" w:hRule="atLeast"/>
        </w:trPr>
        <w:tc>
          <w:tcPr>
            <w:tcW w:w="39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15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山西志远建设集团有限公司</w:t>
            </w:r>
          </w:p>
        </w:tc>
        <w:tc>
          <w:tcPr>
            <w:tcW w:w="184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911403007363499505</w:t>
            </w:r>
          </w:p>
        </w:tc>
        <w:tc>
          <w:tcPr>
            <w:tcW w:w="141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1,000.00</w:t>
            </w:r>
          </w:p>
        </w:tc>
        <w:tc>
          <w:tcPr>
            <w:tcW w:w="14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1,390.00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w:t>
            </w:r>
          </w:p>
        </w:tc>
        <w:tc>
          <w:tcPr>
            <w:tcW w:w="70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794" w:type="dxa"/>
            <w:gridSpan w:val="3"/>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合计</w:t>
            </w:r>
          </w:p>
        </w:tc>
        <w:tc>
          <w:tcPr>
            <w:tcW w:w="141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15,184.22</w:t>
            </w:r>
          </w:p>
        </w:tc>
        <w:tc>
          <w:tcPr>
            <w:tcW w:w="1418"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21,106.0658</w:t>
            </w:r>
          </w:p>
        </w:tc>
        <w:tc>
          <w:tcPr>
            <w:tcW w:w="99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w:t>
            </w:r>
          </w:p>
        </w:tc>
        <w:tc>
          <w:tcPr>
            <w:tcW w:w="709"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申请人对上述情况在定向说明书中进行补充披露。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上述认购结果符合《山西盂县农村商业银行定向募股方案》关于股票发行数量、金额的相关规定。并核查了自然人投资者签署《承诺书》《个人征信》《资金来源情况说明》以及居民身份证复印件资料，自然人王宗英、栾秀娟、于玮、胡斐、刘洋、房景西均系具有完全民事行为能力的中国公民；诚信记录良好、无犯罪记录；均以自有资金入股，符合《中国银监会农村中小金融机构行政许可事项实施办法（修订）》第9条的规定；核查了法人投资者适当性审核文件，包括：《企业法人入股声明》《企业法人承诺书》、银行出具的认购人无逾期欠款、无不良信用的证明、企业信用报告、税务机关出具的证明文件、权益性投资说明文件、会计师事务所对认购人出具的2016年、2017年年度审计报告等资料，山西建科天然气科技股份有限公司、山西阳泉盂县石店煤业有限公司、山西志远建设集团有限公司均在工商行政管理部门登记注册，具有法人资格（不含私募基金、产业基金、政府融资平台公司、担保公司、典当行、小额贷款公司、国家限控行业企业；原则上不接受中外合资企业、中外合作企业、外商独资企业以及境外机构入股）；具有良好的公司治理结构或有效的组织管理方式；具有良好的社会声誉、诚信记录和纳税记录，能按期足额偿还金融机构的贷款本金和利息；具有较长的发展期和稳定的经营状况；具有较强的经营管理能力和资金实力；最近2年内无重大违法违规行为；财务状况良好，最近2个会计年度连续盈利；年终分配后，净资产不低于全部资产的30％（合并会计报表口径）；权益性投资余额不得超过本企业净资产的50％（含本次投资金额，合并会计报表口径），国务院规定的投资公司和持股公司除外；入股资金为自有资金，不得以委托资金、债务资金等非自有资金入股，符合《中国银监会农村中小金融机构行政许可事项实施办法（修订）》第11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（四）关于股权质押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申请材料显示，申请人未披露股权质押情况。请申请人补充披露报告期内股权质押情况，请律师进行核查并发表明确意见。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报告期内，申请人股权质押情况如下：</w:t>
      </w:r>
    </w:p>
    <w:tbl>
      <w:tblPr>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3"/>
        <w:gridCol w:w="1107"/>
        <w:gridCol w:w="1151"/>
        <w:gridCol w:w="1359"/>
        <w:gridCol w:w="1272"/>
        <w:gridCol w:w="2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1108"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w:t>
            </w:r>
          </w:p>
        </w:tc>
        <w:tc>
          <w:tcPr>
            <w:tcW w:w="1152"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质押股份（股）</w:t>
            </w:r>
          </w:p>
        </w:tc>
        <w:tc>
          <w:tcPr>
            <w:tcW w:w="1360"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质权人</w:t>
            </w:r>
          </w:p>
        </w:tc>
        <w:tc>
          <w:tcPr>
            <w:tcW w:w="1266"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质押登记日</w:t>
            </w:r>
          </w:p>
        </w:tc>
        <w:tc>
          <w:tcPr>
            <w:tcW w:w="2727"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产生原因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110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"https://www.qichacha.com/pl_pc8553084d38838bd1aeea4be8a045b0.html" \o "史钰文"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史钰文</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800万股</w:t>
            </w:r>
          </w:p>
        </w:tc>
        <w:tc>
          <w:tcPr>
            <w:tcW w:w="136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"https://www.qichacha.com/firm_6e3773b4cd3da6018c0f5bca48a877bc.html"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平定县农村信用合作联社城关信用社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2018-04-03</w:t>
            </w:r>
          </w:p>
        </w:tc>
        <w:tc>
          <w:tcPr>
            <w:tcW w:w="2727" w:type="dxa"/>
            <w:vMerge w:val="restart"/>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"https://www.qichacha.com/pl_pc8553084d38838bd1aeea4be8a045b0.html" \o "史钰文"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史钰文</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"https://www.qichacha.com/pl_p9886a82e33cfc51913bc564295a387e.html" \o "韩存梅"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韩存梅</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"https://www.qichacha.com/pl_p8080d1535d99749a57b3ccc720017b7.html" \o "史文军"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史文军</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分别以其持有的盂县农村商业银行的股权为阳泉市路通达工贸有限公司与</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"https://www.qichacha.com/firm_6e3773b4cd3da6018c0f5bca48a877bc.html"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平定县农村信用合作联社城关信用社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借款期限2018年4月4日至2019年4月3日的1540万元贷款提供担保。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"https://www.qichacha.com/pl_p9886a82e33cfc51913bc564295a387e.html" \o "韩存梅"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韩存梅</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1000万股</w:t>
            </w:r>
          </w:p>
        </w:tc>
        <w:tc>
          <w:tcPr>
            <w:tcW w:w="1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"https://www.qichacha.com/firm_6e3773b4cd3da6018c0f5bca48a877bc.html"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平定县农村信用合作联社城关信用社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2018-04-03</w:t>
            </w:r>
          </w:p>
        </w:tc>
        <w:tc>
          <w:tcPr>
            <w:tcW w:w="2727" w:type="dxa"/>
            <w:vMerge w:val="continue"/>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"https://www.qichacha.com/pl_p8080d1535d99749a57b3ccc720017b7.html" \o "史文军"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史文军</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400万股</w:t>
            </w:r>
          </w:p>
        </w:tc>
        <w:tc>
          <w:tcPr>
            <w:tcW w:w="1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"https://www.qichacha.com/firm_6e3773b4cd3da6018c0f5bca48a877bc.html"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平定县农村信用合作联社城关信用社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2018-04-03</w:t>
            </w:r>
          </w:p>
        </w:tc>
        <w:tc>
          <w:tcPr>
            <w:tcW w:w="2727" w:type="dxa"/>
            <w:vMerge w:val="continue"/>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"https://www.qichacha.com/firm_6728ef11ced9bfebc10a376a28f9666b.html" \o "山西阳泉盂县石店煤业有限公司"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山西阳泉盂县石店煤业有限公司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1000万股</w:t>
            </w:r>
          </w:p>
        </w:tc>
        <w:tc>
          <w:tcPr>
            <w:tcW w:w="1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"https://www.qichacha.com/firm_d78dc55d15fec386fa618b2c2bb07978.html"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兴业银行股份有限公司太原分行</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2017-07-28</w:t>
            </w:r>
          </w:p>
        </w:tc>
        <w:tc>
          <w:tcPr>
            <w:tcW w:w="272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"https://www.qichacha.com/firm_6728ef11ced9bfebc10a376a28f9666b.html" \o "山西阳泉盂县石店煤业有限公司"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山西阳泉盂县石店煤业有限公司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以其持有的盂县农村商业银行的股权为其与</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"https://www.qichacha.com/firm_d78dc55d15fec386fa618b2c2bb07978.html"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兴业银行股份有限公司太原分行</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编号为“兴银晋（流资）2016-漪汾-117号”、“兴银晋（流资）2017-漪汾-020号”《流动资金借款合同》共计担保债权8400万元。根据公司提供还款凭证，该笔贷款已偿清，质押权登记暂未解除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"https://www.qichacha.com/firm_6728ef11ced9bfebc10a376a28f9666b.html" \o "山西阳泉盂县石店煤业有限公司"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山西阳泉盂县石店煤业有限公司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1000万股</w:t>
            </w:r>
          </w:p>
        </w:tc>
        <w:tc>
          <w:tcPr>
            <w:tcW w:w="1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"https://www.qichacha.com/firm_d78dc55d15fec386fa618b2c2bb07978.html"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兴业银行股份有限公司太原分行</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2015-08-11</w:t>
            </w:r>
          </w:p>
        </w:tc>
        <w:tc>
          <w:tcPr>
            <w:tcW w:w="272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"https://www.qichacha.com/firm_6728ef11ced9bfebc10a376a28f9666b.html" \o "山西阳泉盂县石店煤业有限公司"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山西阳泉盂县石店煤业有限公司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以其持有的盂县农村商业银行的股权为其与</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"https://www.qichacha.com/firm_d78dc55d15fec386fa618b2c2bb07978.html"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兴业银行股份有限公司太原分行</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编号为“兴银晋（银承）2015-企金05-094号”、“兴银晋（银承）2015-企金05-100号”《商业汇票银行承兑合同》，编号为“兴银晋（短借）2015-企金05-189号”《流动资金借款合同》，共计担保债权9500万元。根据公司提供还款凭证，该笔贷款已偿清，质押权登记暂未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"https://www.qichacha.com/firm_c103edef5ebc2d78a2d5531dda03ebb8.html" \o "山西南娄集团股份有限公司"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山西南娄集团股份有限公司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2000万股</w:t>
            </w:r>
          </w:p>
        </w:tc>
        <w:tc>
          <w:tcPr>
            <w:tcW w:w="1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"https://www.qichacha.com/firm_912525050b52c9a0753ffcd25187e642.html"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2015-06-23</w:t>
            </w:r>
          </w:p>
        </w:tc>
        <w:tc>
          <w:tcPr>
            <w:tcW w:w="272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"https://www.qichacha.com/firm_c103edef5ebc2d78a2d5531dda03ebb8.html" \o "山西南娄集团股份有限公司"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山西南娄集团股份有限公司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以其持有的盂县农村商业银行的股权为其与</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"https://www.qichacha.com/firm_912525050b52c9a0753ffcd25187e642.html"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借款期限为2015年6月18日至2018年3月19日的2000万元贷款提供担保。该笔贷款已经偿清，质押权登记暂未解除。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8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110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"https://www.qichacha.com/firm_c103edef5ebc2d78a2d5531dda03ebb8.html" \o "山西南娄集团股份有限公司"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山西南娄集团股份有限公司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15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3500万股</w:t>
            </w:r>
          </w:p>
        </w:tc>
        <w:tc>
          <w:tcPr>
            <w:tcW w:w="136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"https://www.qichacha.com/firm_9efd93f2963b5291758a8e9f8a04a034.html"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阳泉市郊区农村信用合作联社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p>
        </w:tc>
        <w:tc>
          <w:tcPr>
            <w:tcW w:w="126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2015-06-23</w:t>
            </w:r>
          </w:p>
        </w:tc>
        <w:tc>
          <w:tcPr>
            <w:tcW w:w="272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"https://www.qichacha.com/firm_c103edef5ebc2d78a2d5531dda03ebb8.html" \o "山西南娄集团股份有限公司"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山西南娄集团股份有限公司</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以其持有的盂县农村商业银行的股权为其与</w:t>
            </w:r>
            <w:r>
              <w:rPr>
                <w:rFonts w:hint="eastAsia" w:ascii="微软雅黑" w:hAnsi="微软雅黑" w:eastAsia="微软雅黑" w:cs="微软雅黑"/>
                <w:i w:val="0"/>
                <w:iCs w:val="0"/>
                <w:caps w:val="0"/>
                <w:color w:val="333333"/>
                <w:spacing w:val="0"/>
                <w:sz w:val="19"/>
                <w:szCs w:val="19"/>
                <w:u w:val="none"/>
                <w:bdr w:val="none" w:color="auto" w:sz="0" w:space="0"/>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rPr>
              <w:instrText xml:space="preserve"> HYPERLINK "https://www.qichacha.com/firm_912525050b52c9a0753ffcd25187e642.html" </w:instrText>
            </w:r>
            <w:r>
              <w:rPr>
                <w:rFonts w:hint="eastAsia" w:ascii="微软雅黑" w:hAnsi="微软雅黑" w:eastAsia="微软雅黑" w:cs="微软雅黑"/>
                <w:i w:val="0"/>
                <w:iCs w:val="0"/>
                <w:caps w:val="0"/>
                <w:color w:val="333333"/>
                <w:spacing w:val="0"/>
                <w:sz w:val="19"/>
                <w:szCs w:val="19"/>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rPr>
              <w:t>平定县农村信用合作联社</w:t>
            </w:r>
            <w:r>
              <w:rPr>
                <w:rFonts w:hint="eastAsia" w:ascii="微软雅黑" w:hAnsi="微软雅黑" w:eastAsia="微软雅黑" w:cs="微软雅黑"/>
                <w:i w:val="0"/>
                <w:iCs w:val="0"/>
                <w:caps w:val="0"/>
                <w:color w:val="333333"/>
                <w:spacing w:val="0"/>
                <w:sz w:val="19"/>
                <w:szCs w:val="19"/>
                <w:u w:val="none"/>
                <w:bdr w:val="none" w:color="auto" w:sz="0" w:space="0"/>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rPr>
              <w:t>借款期限为2015年6月18日至2018年3月19日的3500万元贷款提供担保。该笔贷款已经偿清，质押权登记暂未解除。</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5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律师认为，经核查，上述全部股权质押均经过申请人董事会审议通过，履行了必要的内部决策程序。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我会认为，申请人信息披露基本符合《公司法》《证券法》《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表了明确的意见。据此，我会同意山西盂县农村商业银行股份有限公司向特定对象发行股票的申请。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720F1882"/>
    <w:rsid w:val="720F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2022-09-05T05:58:00Z</dcterms:created>
  <dc:creator>程晋</dc:creator>
  <cp:lastModifiedBy>程晋</cp:lastModifiedBy>
  <dcterms:modified xsi:type="dcterms:W3CDTF">2022-09-05T05:58:51Z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1DD7C9A54F974895A54EAD7497A69124</vt:lpwstr>
  </property>
</Properties>
</file>