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single" w:color="DCDCDC" w:sz="4" w:space="17"/>
          <w:right w:val="none" w:color="auto" w:sz="0" w:space="0"/>
        </w:pBdr>
        <w:shd w:val="clear" w:fill="FFFFFF"/>
        <w:spacing w:before="0" w:beforeAutospacing="0" w:after="0" w:afterAutospacing="0"/>
        <w:ind w:left="0" w:right="0" w:firstLine="0"/>
        <w:jc w:val="center"/>
        <w:rPr>
          <w:rFonts w:ascii="微软雅黑" w:hAnsi="微软雅黑" w:eastAsia="微软雅黑" w:cs="微软雅黑"/>
          <w:i w:val="0"/>
          <w:iCs w:val="0"/>
          <w:caps w:val="0"/>
          <w:color w:val="333333"/>
          <w:spacing w:val="0"/>
          <w:u w:val="none"/>
        </w:rPr>
      </w:pPr>
      <w:bookmarkStart w:id="1" w:name="_GoBack"/>
      <w:r>
        <w:rPr>
          <w:rFonts w:hint="eastAsia" w:ascii="微软雅黑" w:hAnsi="微软雅黑" w:eastAsia="微软雅黑" w:cs="微软雅黑"/>
          <w:i w:val="0"/>
          <w:iCs w:val="0"/>
          <w:caps w:val="0"/>
          <w:color w:val="333333"/>
          <w:spacing w:val="0"/>
          <w:u w:val="none"/>
          <w:bdr w:val="none" w:color="auto" w:sz="0" w:space="0"/>
          <w:shd w:val="clear" w:fill="FFFFFF"/>
        </w:rPr>
        <w:t>关于北京分豆教育科技股份有限公司申请向特定对象发行股票的审核意见</w:t>
      </w:r>
    </w:p>
    <w:bookmarkEnd w:id="1"/>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shd w:val="clear" w:fill="FFFFFF"/>
        </w:rPr>
        <w:t>　　一、审核情况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（一）申请人基本情况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北京分豆教育科技股份有限公司（以下简称申请人）成立于2011年1月4日，2014年9月18日改制为股份公司，并于2015年1月26日在全国中小企业股份转让系统（以下简称全国股转系统）挂牌公开转让。</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申请人法定代表人为于鹏，实际控制人为于鹏、杨静、尹志远。注册资本为</w:t>
      </w: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12,500万元，总股本为12,500万股，</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住所地北京市北京经济技术开发区地盛北街1号8号楼408室-22</w:t>
      </w: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。截至本次股票发行股东大会的股权登记日（2015年11月30日），股东共393名。申请人</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主营业务为教育软件的设计、开发、销售及相关技术服务。</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申请人前一交易日（2016年7月8日）的收盘价为16.09元。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（二）审核过程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北京分豆教育科技股份有限公司（以下简称申请人）向特定对象发行股票的行政许可申请于2016年5月3日正式受理。依据《公司法》、《证券法》、《非上市公众公司监督管理办法》（以下简称《管理办法》）、《非上市公众公司信息披露内容与格式准则第3号——定向发行说明书和发行情况报告书》、《非上市公众公司信息披露内容与格式准则第4号——定向发行申请文件》等相关规定，我们对申请人提交的申请文件进行了合规性审核，于2016年5月25日发出反馈意见，并发函请北京局对申请人进行了现场检查，北京局于2016年6月22日提交了核查报告，申请人及中介机构于2016年7月12日提交了反馈意见回复和财务报告延期一个月的申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全国股转系统就本次发行出具了《</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北京分豆教育科技股份有限公司</w:t>
      </w: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股票发行的自律监管情况函》，其中确认，截至2016年5月18日，未发现申请人在信息披露、公司治理等方面存在违规问题。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shd w:val="clear" w:fill="FFFFFF"/>
        </w:rPr>
        <w:t>二、审核中关注的问题</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（一）关于媒体报道</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审核中关注到，有媒体对申请人的业务和财务提出了质疑。据此，要求申请人补充披露：（1）媒体对其业务和财务质疑的报道是否属实；（2）申请材料是否已真实、准确、完整的反映了报告期内申请人的经营和财务状况；（3）财务报表相关会计处理和列报是否符合《企业会计准则》的规定。同时，请主办券商、律师、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1、相关媒体报道不属实，申请人于2015年11月6日在全国股转系统披露了《澄清公告》，对上述问题进行了逐条回复。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2、申请材料能够真实、准确、完整的反映申请人报告期内经营和财务状况。</w:t>
      </w: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中兴财光华会计师事务所</w:t>
      </w: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已出具了标准无保留意见的审计报告和专项报告，申请材料与审计报告及专项报告数据一致。</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3、申请人财务处理严格按照《企业会计准则》的规定进行，财务报表相关会计处理和列报符合《企业会计准则》的规定。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主办券商、律师、会计师认为媒体报道不属实，申请材料能够真实、准确、完整的反映报告期内申请人的经营和财务状况，财务报表相关会计处理和列报符合《企业会计准则》的规定。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（二）关于中介机构意见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审核中关注到，律师发表意见不完整。据此，要求律师对本次发行对申请人的影响、本次募集资金用途及前次募集资金使用等发表明确意见。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律师补充发表意见如下：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1、本次发行完成后，申请人实际控制人及控制权不会发生变化，不会产生新的关联交易及同业竞争。申请人注册资本、总资产、净资产、每股净资产等财务指标都将有一定程度的提高，对后续发展和股东权益均具有积极影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2、申请人披露的本次发行的募集资金用途符合法律、法规、规范性文件的规定。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3、前次募集资金均经申请人有权决策部门审议，符合公司章程的规定，披露的募集资金使用用途不存在违法法律、法规、规范性文件规定的情形，实际投资项目与当时披露的股票发行方案相符，不存在变更募集资金使用用途的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（三）关于募集资金使用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审核中关注到，申请人已完成了三次发行，共募集资金1.073亿元，本次拟募集资金不超过4亿元，是其2015年末归属于挂牌公司股东的净资产的1.98倍，主要用于巩固和发展PPP模式（政府购买教育服务）、SOS模式（盈利教育机构与云智能业务融合）、BD模式（商务合作）等三种业务模式、产品升级、大数据中心等方面。此外，申请人2015年末货币资金有1.6亿元。据此，要求申请人补充披露：（1）前次发行募集资金是否已使用完毕，是否已充分完整披露了前次募集资金使用情况，并结合历次发行方案说明实际使用情况是否与方案一致,募集资金是否用于持有交易性金融资产和可供出售的金融资产、借予他人、委托理财等财务性投资，是否直接或间接投资于以买卖有价证券为主要业务的公司；（2）详细说明PPP、SOS、BD三种业务模式的具体内容和资金投入方式；（3）详细说明其他募投项目的主要内容和资金投入方式；（4）各项目资金需求的测算依据；（5）本次募集资金规模是否已考虑现有资金规模和其他方式可获取的资金，分析并说明本次发行募集资金的必要性、合理性。（6）保证募集资金按计划合理使用、防止用于持有交易性金融资产和可供出售的金融资产、借予他人、委托理财等财务性投资，直接或间接投资于以买卖有价证券为主要业务的公司的相关措施。同时，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1、前次募集资金的使用情况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申请人第一次、第二次股票发行所募集的资金已使用完毕,第三次股票发行募集资金已使用99.13%，如下表所示：</w:t>
      </w:r>
    </w:p>
    <w:tbl>
      <w:tblPr>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379"/>
        <w:gridCol w:w="1746"/>
        <w:gridCol w:w="1448"/>
        <w:gridCol w:w="2501"/>
        <w:gridCol w:w="124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841" w:hRule="atLeast"/>
          <w:jc w:val="center"/>
        </w:trPr>
        <w:tc>
          <w:tcPr>
            <w:tcW w:w="1690" w:type="dxa"/>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sz w:val="24"/>
                <w:szCs w:val="24"/>
                <w:u w:val="none"/>
              </w:rPr>
            </w:pPr>
          </w:p>
        </w:tc>
        <w:tc>
          <w:tcPr>
            <w:tcW w:w="2096"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股票发行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方案日期</w:t>
            </w:r>
          </w:p>
        </w:tc>
        <w:tc>
          <w:tcPr>
            <w:tcW w:w="1776"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募集资金用途</w:t>
            </w:r>
          </w:p>
        </w:tc>
        <w:tc>
          <w:tcPr>
            <w:tcW w:w="2964"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实际投资项目及金额</w:t>
            </w:r>
          </w:p>
        </w:tc>
        <w:tc>
          <w:tcPr>
            <w:tcW w:w="1452"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募集资金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余额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1690"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第一次</w:t>
            </w:r>
          </w:p>
        </w:tc>
        <w:tc>
          <w:tcPr>
            <w:tcW w:w="209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2014年11月1日</w:t>
            </w:r>
          </w:p>
        </w:tc>
        <w:tc>
          <w:tcPr>
            <w:tcW w:w="177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主要用于</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新产品研发</w:t>
            </w:r>
          </w:p>
        </w:tc>
        <w:tc>
          <w:tcPr>
            <w:tcW w:w="2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研发费用72.66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产品升级333.25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流动资金644.09 </w:t>
            </w:r>
          </w:p>
        </w:tc>
        <w:tc>
          <w:tcPr>
            <w:tcW w:w="145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jc w:val="center"/>
        </w:trPr>
        <w:tc>
          <w:tcPr>
            <w:tcW w:w="1690"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第二次</w:t>
            </w:r>
          </w:p>
        </w:tc>
        <w:tc>
          <w:tcPr>
            <w:tcW w:w="209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2015年2月9日</w:t>
            </w:r>
          </w:p>
        </w:tc>
        <w:tc>
          <w:tcPr>
            <w:tcW w:w="177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新产品研发及补充流动资金</w:t>
            </w:r>
          </w:p>
        </w:tc>
        <w:tc>
          <w:tcPr>
            <w:tcW w:w="2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研发费用85.03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产品升级597.83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研发项目流动资金610.72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固定资产42.31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无形资产61.97</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流动资金3,282.14 </w:t>
            </w:r>
          </w:p>
        </w:tc>
        <w:tc>
          <w:tcPr>
            <w:tcW w:w="145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jc w:val="center"/>
        </w:trPr>
        <w:tc>
          <w:tcPr>
            <w:tcW w:w="1690"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第三次</w:t>
            </w:r>
          </w:p>
        </w:tc>
        <w:tc>
          <w:tcPr>
            <w:tcW w:w="209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2015年5月14日</w:t>
            </w:r>
          </w:p>
        </w:tc>
        <w:tc>
          <w:tcPr>
            <w:tcW w:w="177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新产品研发及补充流动资金</w:t>
            </w:r>
          </w:p>
        </w:tc>
        <w:tc>
          <w:tcPr>
            <w:tcW w:w="2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研发费用480.24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产品升级409.01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研发项目流动资金154.86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职业教育项目500.00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固定资产56.56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流动资金3,355.80 </w:t>
            </w:r>
          </w:p>
        </w:tc>
        <w:tc>
          <w:tcPr>
            <w:tcW w:w="145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43.53</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申请人历次募集资金实际投资项目与披露的发行方案相符。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2、PPP、SOS、BD三种业务模式的具体内容及资金投入方式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（1）PPP模式及资金投入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PPP模式是面向各地级市教育局，以双方合作共建“云智能教育平台科研应用中心”为拓展模式，以政府采购公共教育服务为商业目标，向各地级市教育局所辖的公立学校部署“云智能教学平台”产品。学生和老师通过使用“云智能教学平台”，完成课前、课中和课后的教育教学工作，利用大数据记录学生的学习行为和结果等数据，使教育局、学校、教师、家长、学生间的教学过程数据互联互通，实现各方对数据的不同需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4"/>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申请人以自有资金投资1亿元成立新疆子公司，主要目的为在新疆全省中小学的推广、运用云智能软硬件产品。资金具体用途如下：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496"/>
        <w:gridCol w:w="3947"/>
        <w:gridCol w:w="197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06" w:hRule="atLeast"/>
        </w:trPr>
        <w:tc>
          <w:tcPr>
            <w:tcW w:w="2964"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项目</w:t>
            </w:r>
          </w:p>
        </w:tc>
        <w:tc>
          <w:tcPr>
            <w:tcW w:w="4728"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用途</w:t>
            </w:r>
          </w:p>
        </w:tc>
        <w:tc>
          <w:tcPr>
            <w:tcW w:w="2280"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金额（万元）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562" w:hRule="atLeast"/>
        </w:trPr>
        <w:tc>
          <w:tcPr>
            <w:tcW w:w="2964"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人员费用</w:t>
            </w:r>
          </w:p>
        </w:tc>
        <w:tc>
          <w:tcPr>
            <w:tcW w:w="4728"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计划但不限于聘用如下人员费用，如运营人员、产品开发维护人员、管理及后勤人员等</w:t>
            </w:r>
          </w:p>
        </w:tc>
        <w:tc>
          <w:tcPr>
            <w:tcW w:w="228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964"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房租、物业费、水电费</w:t>
            </w:r>
          </w:p>
        </w:tc>
        <w:tc>
          <w:tcPr>
            <w:tcW w:w="4728"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子公司总部及各地运营中心租用办公场所产生的费用</w:t>
            </w:r>
          </w:p>
        </w:tc>
        <w:tc>
          <w:tcPr>
            <w:tcW w:w="228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964"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云智能课堂</w:t>
            </w:r>
          </w:p>
        </w:tc>
        <w:tc>
          <w:tcPr>
            <w:tcW w:w="4728"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包括但不限于学生学习终端、无线设备、充电柜、装修布置等费用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拟计划在新疆部署小学100所、初中30所、高中8所</w:t>
            </w:r>
          </w:p>
        </w:tc>
        <w:tc>
          <w:tcPr>
            <w:tcW w:w="228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9,000 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91" w:hRule="atLeast"/>
        </w:trPr>
        <w:tc>
          <w:tcPr>
            <w:tcW w:w="2964"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品牌推广费</w:t>
            </w:r>
          </w:p>
        </w:tc>
        <w:tc>
          <w:tcPr>
            <w:tcW w:w="4728" w:type="dxa"/>
            <w:tcBorders>
              <w:top w:val="nil"/>
              <w:left w:val="nil"/>
              <w:bottom w:val="single" w:color="000000" w:sz="4" w:space="0"/>
              <w:right w:val="single" w:color="000000" w:sz="4" w:space="0"/>
            </w:tcBorders>
            <w:shd w:val="clear"/>
            <w:vAlign w:val="center"/>
          </w:tcPr>
          <w:p>
            <w:pPr>
              <w:rPr>
                <w:rFonts w:hint="eastAsia" w:ascii="宋体"/>
                <w:sz w:val="24"/>
                <w:szCs w:val="24"/>
                <w:u w:val="none"/>
              </w:rPr>
            </w:pPr>
          </w:p>
        </w:tc>
        <w:tc>
          <w:tcPr>
            <w:tcW w:w="228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11" w:hRule="atLeast"/>
        </w:trPr>
        <w:tc>
          <w:tcPr>
            <w:tcW w:w="2964"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备用金</w:t>
            </w:r>
          </w:p>
        </w:tc>
        <w:tc>
          <w:tcPr>
            <w:tcW w:w="4728" w:type="dxa"/>
            <w:tcBorders>
              <w:top w:val="nil"/>
              <w:left w:val="nil"/>
              <w:bottom w:val="single" w:color="000000" w:sz="4" w:space="0"/>
              <w:right w:val="single" w:color="000000" w:sz="4" w:space="0"/>
            </w:tcBorders>
            <w:shd w:val="clear"/>
            <w:vAlign w:val="center"/>
          </w:tcPr>
          <w:p>
            <w:pPr>
              <w:rPr>
                <w:rFonts w:hint="eastAsia" w:ascii="宋体"/>
                <w:sz w:val="24"/>
                <w:szCs w:val="24"/>
                <w:u w:val="none"/>
              </w:rPr>
            </w:pPr>
          </w:p>
        </w:tc>
        <w:tc>
          <w:tcPr>
            <w:tcW w:w="228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417" w:hRule="atLeast"/>
        </w:trPr>
        <w:tc>
          <w:tcPr>
            <w:tcW w:w="7692" w:type="dxa"/>
            <w:gridSpan w:val="2"/>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合计</w:t>
            </w:r>
          </w:p>
        </w:tc>
        <w:tc>
          <w:tcPr>
            <w:tcW w:w="228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10,000 </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2016年下半年-2017年申请人以新疆为样本同步向西北、西南地区继续推进至少3个省级云智能课堂的全区域应用。除新疆外，共需投入资金3亿元，拟以自有资金投入0.6亿元，募集资金投入2.4亿元。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（2）SOS模式及资金投入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SOS模式是面向拥有教育资源或渠道的战略合作伙伴（如培训机构等）展开合作的模式。其中包含：状元计划（合作伙伴可以使用“状元计划”资源如状元直播课）、商务拓展（针对三大运营商教育平台、教育门户网站等战略合作，提升品牌的终端用户份额）、产业合作（与培训机构合作共建慧学云智能教育联盟，共享申请人的资源）、云智能教辅（通过使用云智能教辅，为合作伙伴展开招生、教学增加服务附加值）。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SOS模式2016年-2017年拟投入资金2,000万元，其中拟以自有资金投入1,500万元，募集资金投入500万元，均以现金方式分批次投入到项目。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（3）BD模式及资金投入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BD模式主要针对部分地级市教育局对“信息化教育建设”的需要，以云智能课堂、优质教学数字资源、分豆教学应用系统和数字校园组成的产品为核心内容，以政府采购项目招标形式，提供云智能教育系统解决方案；针对部分地级市教育局，以设备融资租赁方式，提供教育局及学校需要的常规教育项目建设（尤其信息化基础建设）进行合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BD模式计划2016年-2017年拟投入资金2,000万元，其中拟以自有资金投入1,500万元，募集资金投入500万元，均以现金方式分批次投入到项目。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（4）三种商业模式的总计资金需求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综上，2016年-2017年申请人为发展PPP模式，同时巩固SOS、BD商业模式，计划投入资金总金额约4.4亿元，除自有资金外，尚有2.5亿元资金缺口，故申请人计划使用本次募集的不超过2.5亿元的资金。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84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单位：万元</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195"/>
        <w:gridCol w:w="2090"/>
        <w:gridCol w:w="1944"/>
        <w:gridCol w:w="21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604" w:type="dxa"/>
            <w:tcBorders>
              <w:top w:val="single" w:color="000000" w:sz="4" w:space="0"/>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商业模式</w:t>
            </w:r>
          </w:p>
        </w:tc>
        <w:tc>
          <w:tcPr>
            <w:tcW w:w="2480" w:type="dxa"/>
            <w:tcBorders>
              <w:top w:val="single" w:color="000000" w:sz="4" w:space="0"/>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预计投入总量</w:t>
            </w:r>
          </w:p>
        </w:tc>
        <w:tc>
          <w:tcPr>
            <w:tcW w:w="2296" w:type="dxa"/>
            <w:tcBorders>
              <w:top w:val="single" w:color="000000" w:sz="4" w:space="0"/>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自有资金投入</w:t>
            </w:r>
          </w:p>
        </w:tc>
        <w:tc>
          <w:tcPr>
            <w:tcW w:w="2604" w:type="dxa"/>
            <w:tcBorders>
              <w:top w:val="single" w:color="000000" w:sz="4" w:space="0"/>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尚缺资金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604" w:type="dxa"/>
            <w:tcBorders>
              <w:top w:val="nil"/>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PPP</w:t>
            </w:r>
          </w:p>
        </w:tc>
        <w:tc>
          <w:tcPr>
            <w:tcW w:w="2480"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40,000</w:t>
            </w:r>
          </w:p>
        </w:tc>
        <w:tc>
          <w:tcPr>
            <w:tcW w:w="2296"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16,000</w:t>
            </w:r>
          </w:p>
        </w:tc>
        <w:tc>
          <w:tcPr>
            <w:tcW w:w="260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24,000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2604" w:type="dxa"/>
            <w:tcBorders>
              <w:top w:val="nil"/>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SOS</w:t>
            </w:r>
          </w:p>
        </w:tc>
        <w:tc>
          <w:tcPr>
            <w:tcW w:w="2480"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2,000</w:t>
            </w:r>
          </w:p>
        </w:tc>
        <w:tc>
          <w:tcPr>
            <w:tcW w:w="2296"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1,500</w:t>
            </w:r>
          </w:p>
        </w:tc>
        <w:tc>
          <w:tcPr>
            <w:tcW w:w="260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604" w:type="dxa"/>
            <w:tcBorders>
              <w:top w:val="nil"/>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BD(GD)</w:t>
            </w:r>
          </w:p>
        </w:tc>
        <w:tc>
          <w:tcPr>
            <w:tcW w:w="2480"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2,000</w:t>
            </w:r>
          </w:p>
        </w:tc>
        <w:tc>
          <w:tcPr>
            <w:tcW w:w="2296"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1,500</w:t>
            </w:r>
          </w:p>
        </w:tc>
        <w:tc>
          <w:tcPr>
            <w:tcW w:w="260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2604" w:type="dxa"/>
            <w:tcBorders>
              <w:top w:val="nil"/>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总计</w:t>
            </w:r>
          </w:p>
        </w:tc>
        <w:tc>
          <w:tcPr>
            <w:tcW w:w="2480"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44,000</w:t>
            </w:r>
          </w:p>
        </w:tc>
        <w:tc>
          <w:tcPr>
            <w:tcW w:w="2296"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19,000</w:t>
            </w:r>
          </w:p>
        </w:tc>
        <w:tc>
          <w:tcPr>
            <w:tcW w:w="260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25,000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3、其他募投项目的主要内容和资金投入方式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产品体系的升级力度及新产品体系的研发：预计投入资金15,000万元，主要用于云智能教育平台智能教辅系统、中学文科类产品及小学产品体系等的研发与推进等。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合作或自建分豆教育的“慧学云大数据中心”：投入资金约5,000万元，用于采购机柜、服务器、防火墙、IP等数据存储与处理设备，以满足学生、教师、家长、学校等多层次用户的海量信息存储及分析需求。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设立“慧学云智能国内及国际技术研发中心”：预计投入资金3,000万元，在国内多所知名大学合作，共建研发与研究中心，2017年建设国际研发中心。目前已与新疆大学签署合作协议。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综上，2016年-2017年申请人将会在其他募投项目中投入约2.3亿元，拟以自有资金投入1亿元，尚有1.3亿元资金缺口，故计划使用本次募集的不超过1.3亿元的资金。</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360" w:firstLine="42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单位：万元</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906"/>
        <w:gridCol w:w="1822"/>
        <w:gridCol w:w="1709"/>
        <w:gridCol w:w="198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558" w:type="dxa"/>
            <w:tcBorders>
              <w:top w:val="single" w:color="000000" w:sz="4" w:space="0"/>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项目名称</w:t>
            </w:r>
          </w:p>
        </w:tc>
        <w:tc>
          <w:tcPr>
            <w:tcW w:w="2126" w:type="dxa"/>
            <w:tcBorders>
              <w:top w:val="single" w:color="000000" w:sz="4" w:space="0"/>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预计投入总额</w:t>
            </w:r>
          </w:p>
        </w:tc>
        <w:tc>
          <w:tcPr>
            <w:tcW w:w="1985" w:type="dxa"/>
            <w:tcBorders>
              <w:top w:val="single" w:color="000000" w:sz="4" w:space="0"/>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自有资金投入</w:t>
            </w:r>
          </w:p>
        </w:tc>
        <w:tc>
          <w:tcPr>
            <w:tcW w:w="2324" w:type="dxa"/>
            <w:tcBorders>
              <w:top w:val="single" w:color="000000" w:sz="4" w:space="0"/>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尚缺资金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558" w:type="dxa"/>
            <w:tcBorders>
              <w:top w:val="nil"/>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新产品研发</w:t>
            </w:r>
          </w:p>
        </w:tc>
        <w:tc>
          <w:tcPr>
            <w:tcW w:w="2126"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15,000</w:t>
            </w:r>
          </w:p>
        </w:tc>
        <w:tc>
          <w:tcPr>
            <w:tcW w:w="1985"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w:t>
            </w:r>
          </w:p>
        </w:tc>
        <w:tc>
          <w:tcPr>
            <w:tcW w:w="232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58" w:type="dxa"/>
            <w:tcBorders>
              <w:top w:val="nil"/>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大数据中心</w:t>
            </w:r>
          </w:p>
        </w:tc>
        <w:tc>
          <w:tcPr>
            <w:tcW w:w="2126"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5,000</w:t>
            </w:r>
          </w:p>
        </w:tc>
        <w:tc>
          <w:tcPr>
            <w:tcW w:w="1985"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0</w:t>
            </w:r>
          </w:p>
        </w:tc>
        <w:tc>
          <w:tcPr>
            <w:tcW w:w="232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3558" w:type="dxa"/>
            <w:tcBorders>
              <w:top w:val="nil"/>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研发中心</w:t>
            </w:r>
          </w:p>
        </w:tc>
        <w:tc>
          <w:tcPr>
            <w:tcW w:w="2126"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3,000</w:t>
            </w:r>
          </w:p>
        </w:tc>
        <w:tc>
          <w:tcPr>
            <w:tcW w:w="1985"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0</w:t>
            </w:r>
          </w:p>
        </w:tc>
        <w:tc>
          <w:tcPr>
            <w:tcW w:w="232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3558" w:type="dxa"/>
            <w:tcBorders>
              <w:top w:val="nil"/>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总计</w:t>
            </w:r>
          </w:p>
        </w:tc>
        <w:tc>
          <w:tcPr>
            <w:tcW w:w="2126"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23,000</w:t>
            </w:r>
          </w:p>
        </w:tc>
        <w:tc>
          <w:tcPr>
            <w:tcW w:w="1985"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10,000</w:t>
            </w:r>
          </w:p>
        </w:tc>
        <w:tc>
          <w:tcPr>
            <w:tcW w:w="232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13,000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4、各项目资金需求的测算依据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PPP模式的各地区试点、推广、覆盖、人员招聘、公司构架都是以新疆作为蓝本，所以预计所花费金额与新疆基本持平。根据申请人计划，部署除新疆外至少3个省份的全区域产品覆盖，预计需要投入资金3亿元，其中2.4亿元拟募集资金，0.6亿元以自有资金投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SOS模式预计投入金额2,000万元，其中签约的100名高考状元以及相关学者的学术研究预计费用700万元，状元系列图书生产成本以及宣传推广费预计400万元，智能教辅项目的审校、排版、出版、印刷、资料采购、资料录拍预计费用900万元。其中自有资金投入1,500万元，尚需500万元缺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BD模式预计投入资金2,000万元，其中自有资金1,500万元，尚需500万元缺口。其中云智能会务组织费预计1,000万元、宣传费300万元、项目实施费300万元、培训费400万元。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新产品的研发初步计划标的总额不超过1.5亿元。其中，自有资金1亿元，用于专家及技术团队搭建成本约1,000万元、版权采买与内容制作约2,000万元、数据采集费用约500万元、多维度诊断体系及自适应练习系统研发费用约6,500万元。另外，募集资金投入5,000万元，用于文科类产品预计投入2,000万元、小学类产品预计投入3,000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合作或自建“慧学云大数据中心”所需投入的5,000万元资金，是根据申请人对未来达到的用户使用数量进行的估算，主要涉及网络设备采购、租赁或自建存放硬件设备的机房环境、电力费用、网络费用、维护人员费用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设立“慧学云智能国内及国际技术研发中心”，申请人拟建研发与研究中心不少于3家，所承担的费用包括研发经费、人员薪酬、房屋租金、差旅等费用，预计需要资金约3,000万元。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综上，申请人的募集资金使用计划如下：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3873"/>
        <w:gridCol w:w="2251"/>
        <w:gridCol w:w="23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3" w:hRule="atLeast"/>
        </w:trPr>
        <w:tc>
          <w:tcPr>
            <w:tcW w:w="4639" w:type="dxa"/>
            <w:tcBorders>
              <w:top w:val="single" w:color="000000" w:sz="12" w:space="0"/>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项目名称</w:t>
            </w:r>
          </w:p>
        </w:tc>
        <w:tc>
          <w:tcPr>
            <w:tcW w:w="2694" w:type="dxa"/>
            <w:tcBorders>
              <w:top w:val="single" w:color="000000" w:sz="12"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募集资金使用计划</w:t>
            </w:r>
          </w:p>
        </w:tc>
        <w:tc>
          <w:tcPr>
            <w:tcW w:w="2656" w:type="dxa"/>
            <w:tcBorders>
              <w:top w:val="single" w:color="000000" w:sz="12" w:space="0"/>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占募集资金总额比例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3" w:hRule="atLeast"/>
        </w:trPr>
        <w:tc>
          <w:tcPr>
            <w:tcW w:w="4639" w:type="dxa"/>
            <w:tcBorders>
              <w:top w:val="nil"/>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巩固及加速公司三种商业模式</w:t>
            </w:r>
          </w:p>
        </w:tc>
        <w:tc>
          <w:tcPr>
            <w:tcW w:w="269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预计不超过2.5亿元</w:t>
            </w:r>
          </w:p>
        </w:tc>
        <w:tc>
          <w:tcPr>
            <w:tcW w:w="2656" w:type="dxa"/>
            <w:tcBorders>
              <w:top w:val="nil"/>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3" w:hRule="atLeast"/>
        </w:trPr>
        <w:tc>
          <w:tcPr>
            <w:tcW w:w="4639" w:type="dxa"/>
            <w:tcBorders>
              <w:top w:val="nil"/>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产品升级及新产品研发</w:t>
            </w:r>
          </w:p>
        </w:tc>
        <w:tc>
          <w:tcPr>
            <w:tcW w:w="269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预计不超过0.5亿元</w:t>
            </w:r>
          </w:p>
        </w:tc>
        <w:tc>
          <w:tcPr>
            <w:tcW w:w="2656" w:type="dxa"/>
            <w:tcBorders>
              <w:top w:val="nil"/>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3" w:hRule="atLeast"/>
        </w:trPr>
        <w:tc>
          <w:tcPr>
            <w:tcW w:w="4639" w:type="dxa"/>
            <w:tcBorders>
              <w:top w:val="nil"/>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慧学云大数据中心</w:t>
            </w:r>
          </w:p>
        </w:tc>
        <w:tc>
          <w:tcPr>
            <w:tcW w:w="269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预计不超过0.5亿元</w:t>
            </w:r>
          </w:p>
        </w:tc>
        <w:tc>
          <w:tcPr>
            <w:tcW w:w="2656" w:type="dxa"/>
            <w:tcBorders>
              <w:top w:val="nil"/>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3" w:hRule="atLeast"/>
        </w:trPr>
        <w:tc>
          <w:tcPr>
            <w:tcW w:w="4639" w:type="dxa"/>
            <w:tcBorders>
              <w:top w:val="nil"/>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慧学云智能国内及国际技术研发中心</w:t>
            </w:r>
          </w:p>
        </w:tc>
        <w:tc>
          <w:tcPr>
            <w:tcW w:w="269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预计不超过0.3亿元</w:t>
            </w:r>
          </w:p>
        </w:tc>
        <w:tc>
          <w:tcPr>
            <w:tcW w:w="2656" w:type="dxa"/>
            <w:tcBorders>
              <w:top w:val="nil"/>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3" w:hRule="atLeast"/>
        </w:trPr>
        <w:tc>
          <w:tcPr>
            <w:tcW w:w="4639" w:type="dxa"/>
            <w:tcBorders>
              <w:top w:val="nil"/>
              <w:left w:val="single" w:color="000000" w:sz="12"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补充流动资金</w:t>
            </w:r>
          </w:p>
        </w:tc>
        <w:tc>
          <w:tcPr>
            <w:tcW w:w="269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预计不超过0.2亿元</w:t>
            </w:r>
          </w:p>
        </w:tc>
        <w:tc>
          <w:tcPr>
            <w:tcW w:w="2656" w:type="dxa"/>
            <w:tcBorders>
              <w:top w:val="nil"/>
              <w:left w:val="nil"/>
              <w:bottom w:val="single" w:color="000000" w:sz="4"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3" w:hRule="atLeast"/>
        </w:trPr>
        <w:tc>
          <w:tcPr>
            <w:tcW w:w="4639" w:type="dxa"/>
            <w:tcBorders>
              <w:top w:val="nil"/>
              <w:left w:val="single" w:color="000000" w:sz="12" w:space="0"/>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合 计</w:t>
            </w:r>
          </w:p>
        </w:tc>
        <w:tc>
          <w:tcPr>
            <w:tcW w:w="2694" w:type="dxa"/>
            <w:tcBorders>
              <w:top w:val="nil"/>
              <w:left w:val="nil"/>
              <w:bottom w:val="single" w:color="000000" w:sz="12"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不超过4亿元</w:t>
            </w:r>
          </w:p>
        </w:tc>
        <w:tc>
          <w:tcPr>
            <w:tcW w:w="2656" w:type="dxa"/>
            <w:tcBorders>
              <w:top w:val="nil"/>
              <w:left w:val="nil"/>
              <w:bottom w:val="single" w:color="000000" w:sz="12" w:space="0"/>
              <w:right w:val="single" w:color="000000" w:sz="12"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100.00%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5、募集资金的必要性与合理性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申请人目前尚无计划通过贷款、信托、股权质押等方式获取资金，充分考虑了现有资金规模与远期规划的契合度，申请人认为本次募集资金是必要、合理的。</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一是，申请人产品销售已见规模，本次募集资金可为三种商业模式的全面展开提供有利支持。二是，申请人现有产品主要为中学教育阶段的理科产品，利用本次募集资金将加大中学文科产品及小学产品的研发，丰富产品线。三是，用户数量的增加、数据的积累对后台服务器及构架提出了严峻的考验，申请人需要利用募集资金提升后台服务器及构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预计两年共投入资金约6.7亿元，其中截至2015年12月31日自有资金约1.6亿元，预计2016年现金净流入不低于0.8亿元，尚有约4.3亿元资金缺口。因此，本次拟募集资金4亿元，资金缺口不足部分由2017年度经营产生的现金流补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6、保证募集资金按计划合理使用的措施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为保障募集资金用途按计划合理使用，采取具体措施如下：（1）尽快制定《募集资金管理制度》，规范对募集资金的使用；（2）开通募集资金专户，集中管理本次募集资金；（3）对募集资金的使用情况设立台账，详细记录募集资金的支出情况和募集资金项目的投入情况；（4）申请人已出具承诺，本次向特定对象发行股票所募集的资金不会投资于交易性金融资产和可供出售的金融资产、借予他人、委托理财等财务性投资，不直接或间接投资于以买卖有价证券为主要业务的公司。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主办券商、会计师认为，申请人历次募集资金实际投资项目与当时披露的股票发行方案相符，未变更募集资金使用用途的情况。申请人资金需求数据合理、项目资金需求计划合理，次募集资金是必要的、合理的。防范措施可以有效保证募集资金按计划合理使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（四）关于营业收入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审核中关注到，2015年度申请人营业收入较前期增长267.6%，主要是软件销售收入，且申请人2015年度销售模式发生了变化，由2014年的“代理+直销”模式变为以代理为主的销售模式。此外，申请人2014年前五大客户中，三家公司经营范围与教育无关，客户集中度高。据此，要求申请人补充披露：（1）报告期内主要产品情况，营业收入的构成、具体内容及不同构成之间的划分方法依据；（2）前五大客户、代理商情况，主要客户、代理商是否与申请人存在关联关系；（3）“代理”、“直销”模式的主要内容，不同销售模式下收入确认政策和成本分担方式；（4）结合主要产品的具体情况和服务期限，分析收入的可持续性；（5）售后服务情况和期后退货情况。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1、主要产品情况、营业收入的构成、具体内容及不同构成之间的划分方法依据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2014年-2015年营业收入情况如下：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单位：元</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645"/>
        <w:gridCol w:w="1621"/>
        <w:gridCol w:w="1244"/>
        <w:gridCol w:w="1669"/>
        <w:gridCol w:w="12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9" w:hRule="atLeast"/>
        </w:trPr>
        <w:tc>
          <w:tcPr>
            <w:tcW w:w="3544"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类别/项目</w:t>
            </w:r>
          </w:p>
        </w:tc>
        <w:tc>
          <w:tcPr>
            <w:tcW w:w="1800"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2015年收入金额</w:t>
            </w:r>
          </w:p>
        </w:tc>
        <w:tc>
          <w:tcPr>
            <w:tcW w:w="1564"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占营业收入比例%</w:t>
            </w:r>
          </w:p>
        </w:tc>
        <w:tc>
          <w:tcPr>
            <w:tcW w:w="1915"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2014年收入金额</w:t>
            </w:r>
          </w:p>
        </w:tc>
        <w:tc>
          <w:tcPr>
            <w:tcW w:w="1557"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占营业收入比例%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9" w:hRule="atLeast"/>
        </w:trPr>
        <w:tc>
          <w:tcPr>
            <w:tcW w:w="3544"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软件开发服务</w:t>
            </w:r>
          </w:p>
        </w:tc>
        <w:tc>
          <w:tcPr>
            <w:tcW w:w="180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15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191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2,293,667.35</w:t>
            </w:r>
          </w:p>
        </w:tc>
        <w:tc>
          <w:tcPr>
            <w:tcW w:w="1557"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7.91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9" w:hRule="atLeast"/>
        </w:trPr>
        <w:tc>
          <w:tcPr>
            <w:tcW w:w="3544"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软件销售</w:t>
            </w:r>
          </w:p>
        </w:tc>
        <w:tc>
          <w:tcPr>
            <w:tcW w:w="180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106,431,155.92</w:t>
            </w:r>
          </w:p>
        </w:tc>
        <w:tc>
          <w:tcPr>
            <w:tcW w:w="15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99.90</w:t>
            </w:r>
          </w:p>
        </w:tc>
        <w:tc>
          <w:tcPr>
            <w:tcW w:w="191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26,687,845.56</w:t>
            </w:r>
          </w:p>
        </w:tc>
        <w:tc>
          <w:tcPr>
            <w:tcW w:w="1557"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92.09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9" w:hRule="atLeast"/>
        </w:trPr>
        <w:tc>
          <w:tcPr>
            <w:tcW w:w="3544"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其中：智能提分王</w:t>
            </w:r>
          </w:p>
        </w:tc>
        <w:tc>
          <w:tcPr>
            <w:tcW w:w="180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93,610,643.07</w:t>
            </w:r>
          </w:p>
        </w:tc>
        <w:tc>
          <w:tcPr>
            <w:tcW w:w="15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87.87</w:t>
            </w:r>
          </w:p>
        </w:tc>
        <w:tc>
          <w:tcPr>
            <w:tcW w:w="191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1557"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9" w:hRule="atLeast"/>
        </w:trPr>
        <w:tc>
          <w:tcPr>
            <w:tcW w:w="3544"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智能学情诊断系统</w:t>
            </w:r>
          </w:p>
        </w:tc>
        <w:tc>
          <w:tcPr>
            <w:tcW w:w="180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12,820,512.85</w:t>
            </w:r>
          </w:p>
        </w:tc>
        <w:tc>
          <w:tcPr>
            <w:tcW w:w="15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12.03</w:t>
            </w:r>
          </w:p>
        </w:tc>
        <w:tc>
          <w:tcPr>
            <w:tcW w:w="191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1557"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9" w:hRule="atLeast"/>
        </w:trPr>
        <w:tc>
          <w:tcPr>
            <w:tcW w:w="3544"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525" w:right="0"/>
              <w:rPr>
                <w:rFonts w:hint="eastAsia" w:ascii="微软雅黑" w:hAnsi="微软雅黑" w:eastAsia="微软雅黑" w:cs="微软雅黑"/>
                <w:sz w:val="16"/>
                <w:szCs w:val="16"/>
                <w:u w:val="none"/>
              </w:rPr>
            </w:pPr>
            <w:bookmarkStart w:id="0" w:name="OLE_LINK2"/>
            <w:r>
              <w:rPr>
                <w:rFonts w:hint="eastAsia" w:ascii="微软雅黑" w:hAnsi="微软雅黑" w:eastAsia="微软雅黑" w:cs="微软雅黑"/>
                <w:color w:val="333333"/>
                <w:sz w:val="16"/>
                <w:szCs w:val="16"/>
                <w:u w:val="none"/>
                <w:bdr w:val="none" w:color="auto" w:sz="0" w:space="0"/>
              </w:rPr>
              <w:t>慧学院中学智慧学习云系统</w:t>
            </w:r>
            <w:bookmarkEnd w:id="0"/>
          </w:p>
        </w:tc>
        <w:tc>
          <w:tcPr>
            <w:tcW w:w="180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15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191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26,687,845.56</w:t>
            </w:r>
          </w:p>
        </w:tc>
        <w:tc>
          <w:tcPr>
            <w:tcW w:w="1557"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92.09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9" w:hRule="atLeast"/>
        </w:trPr>
        <w:tc>
          <w:tcPr>
            <w:tcW w:w="3544"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服务收入</w:t>
            </w:r>
          </w:p>
        </w:tc>
        <w:tc>
          <w:tcPr>
            <w:tcW w:w="180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104,945.75</w:t>
            </w:r>
          </w:p>
        </w:tc>
        <w:tc>
          <w:tcPr>
            <w:tcW w:w="15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0.10</w:t>
            </w:r>
          </w:p>
        </w:tc>
        <w:tc>
          <w:tcPr>
            <w:tcW w:w="191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1557"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4" w:hRule="atLeast"/>
        </w:trPr>
        <w:tc>
          <w:tcPr>
            <w:tcW w:w="3544"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合计</w:t>
            </w:r>
          </w:p>
        </w:tc>
        <w:tc>
          <w:tcPr>
            <w:tcW w:w="180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106,536,101.67</w:t>
            </w:r>
          </w:p>
        </w:tc>
        <w:tc>
          <w:tcPr>
            <w:tcW w:w="15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100.00</w:t>
            </w:r>
          </w:p>
        </w:tc>
        <w:tc>
          <w:tcPr>
            <w:tcW w:w="191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28,981,512.91</w:t>
            </w:r>
          </w:p>
        </w:tc>
        <w:tc>
          <w:tcPr>
            <w:tcW w:w="1557"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100.00</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软件销售收入主要是销售申请人自主研发的通用教学软件形成的收入，包括慧学院中学智慧学习云系统、智能提分王和智能学情诊断系统；软件开发服务收入是为客户开发定制软件形成的收入，包括定制教学系统；服务收入为教辅资料的汇集以及教学资源的制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2、前五大客户、代理商情况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2015年申请人前五大客户、代理商情况如下：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77"/>
        <w:gridCol w:w="1575"/>
        <w:gridCol w:w="1075"/>
        <w:gridCol w:w="1083"/>
        <w:gridCol w:w="798"/>
        <w:gridCol w:w="34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567"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序号</w:t>
            </w:r>
          </w:p>
        </w:tc>
        <w:tc>
          <w:tcPr>
            <w:tcW w:w="1985"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公司名称</w:t>
            </w:r>
          </w:p>
        </w:tc>
        <w:tc>
          <w:tcPr>
            <w:tcW w:w="1276"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成立时间</w:t>
            </w:r>
          </w:p>
        </w:tc>
        <w:tc>
          <w:tcPr>
            <w:tcW w:w="1276"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注册资本</w:t>
            </w:r>
          </w:p>
        </w:tc>
        <w:tc>
          <w:tcPr>
            <w:tcW w:w="982"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法定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代表人</w:t>
            </w:r>
          </w:p>
        </w:tc>
        <w:tc>
          <w:tcPr>
            <w:tcW w:w="4263"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主营业务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567"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w:t>
            </w:r>
          </w:p>
        </w:tc>
        <w:tc>
          <w:tcPr>
            <w:tcW w:w="198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上海浩刚投资管理咨询有限公司</w:t>
            </w:r>
          </w:p>
        </w:tc>
        <w:tc>
          <w:tcPr>
            <w:tcW w:w="127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2004年7月</w:t>
            </w:r>
          </w:p>
        </w:tc>
        <w:tc>
          <w:tcPr>
            <w:tcW w:w="127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3,000万元</w:t>
            </w:r>
          </w:p>
        </w:tc>
        <w:tc>
          <w:tcPr>
            <w:tcW w:w="98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李浩</w:t>
            </w:r>
          </w:p>
        </w:tc>
        <w:tc>
          <w:tcPr>
            <w:tcW w:w="426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投资管理咨询，房地产信息咨询，财务咨询（除代理、投资咨询），商务咨询（以上除经纪）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567"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w:t>
            </w:r>
          </w:p>
        </w:tc>
        <w:tc>
          <w:tcPr>
            <w:tcW w:w="198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广东嗨学云教育科技有限公司</w:t>
            </w:r>
          </w:p>
        </w:tc>
        <w:tc>
          <w:tcPr>
            <w:tcW w:w="127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2015年9月</w:t>
            </w:r>
          </w:p>
        </w:tc>
        <w:tc>
          <w:tcPr>
            <w:tcW w:w="127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3,000万元</w:t>
            </w:r>
          </w:p>
        </w:tc>
        <w:tc>
          <w:tcPr>
            <w:tcW w:w="98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王强</w:t>
            </w:r>
          </w:p>
        </w:tc>
        <w:tc>
          <w:tcPr>
            <w:tcW w:w="426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教育项目投资，教育科研文献研究，教育软件的研发；计算机科技领域内的技术服务、技术开发、技术咨询、技术转让；教育文化活动组织策划，教育文化交流，教育信息咨询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567"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w:t>
            </w:r>
          </w:p>
        </w:tc>
        <w:tc>
          <w:tcPr>
            <w:tcW w:w="198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哈尔滨万融劳务咨询有限公司</w:t>
            </w:r>
          </w:p>
        </w:tc>
        <w:tc>
          <w:tcPr>
            <w:tcW w:w="127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2013年3月</w:t>
            </w:r>
          </w:p>
        </w:tc>
        <w:tc>
          <w:tcPr>
            <w:tcW w:w="127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50万元</w:t>
            </w:r>
          </w:p>
        </w:tc>
        <w:tc>
          <w:tcPr>
            <w:tcW w:w="98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徐金刚</w:t>
            </w:r>
          </w:p>
        </w:tc>
        <w:tc>
          <w:tcPr>
            <w:tcW w:w="426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劳务咨询服务，会务服务，商务信息咨询（除经纪）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67"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w:t>
            </w:r>
          </w:p>
        </w:tc>
        <w:tc>
          <w:tcPr>
            <w:tcW w:w="198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邯郸市新起点培训学校</w:t>
            </w:r>
          </w:p>
        </w:tc>
        <w:tc>
          <w:tcPr>
            <w:tcW w:w="127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2005年11月</w:t>
            </w:r>
          </w:p>
        </w:tc>
        <w:tc>
          <w:tcPr>
            <w:tcW w:w="127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50万元</w:t>
            </w:r>
          </w:p>
        </w:tc>
        <w:tc>
          <w:tcPr>
            <w:tcW w:w="98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石卫霞</w:t>
            </w:r>
          </w:p>
        </w:tc>
        <w:tc>
          <w:tcPr>
            <w:tcW w:w="426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中小学短期培训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67"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w:t>
            </w:r>
          </w:p>
        </w:tc>
        <w:tc>
          <w:tcPr>
            <w:tcW w:w="198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济南靖略企业管理咨询有限公司</w:t>
            </w:r>
          </w:p>
        </w:tc>
        <w:tc>
          <w:tcPr>
            <w:tcW w:w="127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2010年7月</w:t>
            </w:r>
          </w:p>
        </w:tc>
        <w:tc>
          <w:tcPr>
            <w:tcW w:w="127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100万元</w:t>
            </w:r>
          </w:p>
        </w:tc>
        <w:tc>
          <w:tcPr>
            <w:tcW w:w="98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李文君</w:t>
            </w:r>
          </w:p>
        </w:tc>
        <w:tc>
          <w:tcPr>
            <w:tcW w:w="426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企业管理咨询；企业营销策划；教育咨询（不含出国留学咨询及中介服务、办学、家教、培训）</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2015年主要客户销售信息如下：</w:t>
      </w:r>
    </w:p>
    <w:tbl>
      <w:tblPr>
        <w:tblW w:w="0" w:type="auto"/>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31"/>
        <w:gridCol w:w="1523"/>
        <w:gridCol w:w="1442"/>
        <w:gridCol w:w="807"/>
        <w:gridCol w:w="820"/>
        <w:gridCol w:w="875"/>
        <w:gridCol w:w="874"/>
        <w:gridCol w:w="841"/>
        <w:gridCol w:w="7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420" w:hRule="atLeast"/>
        </w:trPr>
        <w:tc>
          <w:tcPr>
            <w:tcW w:w="567" w:type="dxa"/>
            <w:vMerge w:val="restart"/>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序号</w:t>
            </w:r>
          </w:p>
        </w:tc>
        <w:tc>
          <w:tcPr>
            <w:tcW w:w="2226" w:type="dxa"/>
            <w:vMerge w:val="restart"/>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客户名称</w:t>
            </w:r>
          </w:p>
        </w:tc>
        <w:tc>
          <w:tcPr>
            <w:tcW w:w="1602" w:type="dxa"/>
            <w:vMerge w:val="restart"/>
            <w:tcBorders>
              <w:top w:val="single" w:color="000000" w:sz="4" w:space="0"/>
              <w:left w:val="nil"/>
              <w:bottom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销售金额</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（元）</w:t>
            </w:r>
          </w:p>
        </w:tc>
        <w:tc>
          <w:tcPr>
            <w:tcW w:w="992" w:type="dxa"/>
            <w:tcBorders>
              <w:top w:val="single" w:color="000000" w:sz="4" w:space="0"/>
              <w:left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年度销售</w:t>
            </w:r>
          </w:p>
        </w:tc>
        <w:tc>
          <w:tcPr>
            <w:tcW w:w="992" w:type="dxa"/>
            <w:vMerge w:val="restart"/>
            <w:tcBorders>
              <w:top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团队人数（人）</w:t>
            </w:r>
          </w:p>
        </w:tc>
        <w:tc>
          <w:tcPr>
            <w:tcW w:w="993" w:type="dxa"/>
            <w:vMerge w:val="restart"/>
            <w:tcBorders>
              <w:top w:val="single" w:color="000000" w:sz="4" w:space="0"/>
              <w:left w:val="nil"/>
              <w:bottom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签约科目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数 </w:t>
            </w:r>
          </w:p>
        </w:tc>
        <w:tc>
          <w:tcPr>
            <w:tcW w:w="992" w:type="dxa"/>
            <w:vMerge w:val="restart"/>
            <w:tcBorders>
              <w:top w:val="single" w:color="000000" w:sz="4" w:space="0"/>
              <w:lef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已售科目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数</w:t>
            </w:r>
          </w:p>
        </w:tc>
        <w:tc>
          <w:tcPr>
            <w:tcW w:w="992" w:type="dxa"/>
            <w:vMerge w:val="restart"/>
            <w:tcBorders>
              <w:top w:val="single" w:color="000000" w:sz="4" w:space="0"/>
              <w:lef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开通人数</w:t>
            </w:r>
          </w:p>
        </w:tc>
        <w:tc>
          <w:tcPr>
            <w:tcW w:w="993" w:type="dxa"/>
            <w:tcBorders>
              <w:top w:val="single" w:color="000000" w:sz="4" w:space="0"/>
              <w:left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是否存在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567" w:type="dxa"/>
            <w:vMerge w:val="continue"/>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sz w:val="24"/>
                <w:szCs w:val="24"/>
                <w:u w:val="none"/>
              </w:rPr>
            </w:pPr>
          </w:p>
        </w:tc>
        <w:tc>
          <w:tcPr>
            <w:tcW w:w="2226" w:type="dxa"/>
            <w:vMerge w:val="continue"/>
            <w:tcBorders>
              <w:top w:val="single" w:color="000000" w:sz="4" w:space="0"/>
              <w:left w:val="nil"/>
              <w:bottom w:val="single" w:color="000000" w:sz="4" w:space="0"/>
              <w:right w:val="single" w:color="000000" w:sz="4" w:space="0"/>
            </w:tcBorders>
            <w:shd w:val="clear"/>
            <w:vAlign w:val="center"/>
          </w:tcPr>
          <w:p>
            <w:pPr>
              <w:rPr>
                <w:rFonts w:hint="eastAsia" w:ascii="宋体"/>
                <w:sz w:val="24"/>
                <w:szCs w:val="24"/>
                <w:u w:val="none"/>
              </w:rPr>
            </w:pPr>
          </w:p>
        </w:tc>
        <w:tc>
          <w:tcPr>
            <w:tcW w:w="1602" w:type="dxa"/>
            <w:vMerge w:val="continue"/>
            <w:tcBorders>
              <w:top w:val="single" w:color="000000" w:sz="4" w:space="0"/>
              <w:left w:val="nil"/>
              <w:bottom w:val="single" w:color="000000" w:sz="4" w:space="0"/>
            </w:tcBorders>
            <w:shd w:val="clear"/>
            <w:vAlign w:val="center"/>
          </w:tcPr>
          <w:p>
            <w:pPr>
              <w:rPr>
                <w:rFonts w:hint="eastAsia" w:ascii="宋体"/>
                <w:sz w:val="24"/>
                <w:szCs w:val="24"/>
                <w:u w:val="none"/>
              </w:rPr>
            </w:pPr>
          </w:p>
        </w:tc>
        <w:tc>
          <w:tcPr>
            <w:tcW w:w="992" w:type="dxa"/>
            <w:tcBorders>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占比%</w:t>
            </w:r>
          </w:p>
        </w:tc>
        <w:tc>
          <w:tcPr>
            <w:tcW w:w="992" w:type="dxa"/>
            <w:vMerge w:val="continue"/>
            <w:tcBorders>
              <w:top w:val="single" w:color="000000" w:sz="4" w:space="0"/>
              <w:bottom w:val="single" w:color="000000" w:sz="4" w:space="0"/>
              <w:right w:val="single" w:color="000000" w:sz="4" w:space="0"/>
            </w:tcBorders>
            <w:shd w:val="clear"/>
            <w:vAlign w:val="center"/>
          </w:tcPr>
          <w:p>
            <w:pPr>
              <w:rPr>
                <w:rFonts w:hint="eastAsia" w:ascii="宋体"/>
                <w:sz w:val="24"/>
                <w:szCs w:val="24"/>
                <w:u w:val="none"/>
              </w:rPr>
            </w:pPr>
          </w:p>
        </w:tc>
        <w:tc>
          <w:tcPr>
            <w:tcW w:w="993" w:type="dxa"/>
            <w:vMerge w:val="continue"/>
            <w:tcBorders>
              <w:top w:val="single" w:color="000000" w:sz="4" w:space="0"/>
              <w:left w:val="nil"/>
              <w:bottom w:val="single" w:color="000000" w:sz="4" w:space="0"/>
            </w:tcBorders>
            <w:shd w:val="clear"/>
            <w:vAlign w:val="center"/>
          </w:tcPr>
          <w:p>
            <w:pPr>
              <w:rPr>
                <w:rFonts w:hint="eastAsia" w:ascii="宋体"/>
                <w:sz w:val="24"/>
                <w:szCs w:val="24"/>
                <w:u w:val="none"/>
              </w:rPr>
            </w:pPr>
          </w:p>
        </w:tc>
        <w:tc>
          <w:tcPr>
            <w:tcW w:w="992" w:type="dxa"/>
            <w:vMerge w:val="continue"/>
            <w:tcBorders>
              <w:top w:val="single" w:color="000000" w:sz="4" w:space="0"/>
              <w:left w:val="single" w:color="000000" w:sz="4" w:space="0"/>
            </w:tcBorders>
            <w:shd w:val="clear"/>
            <w:vAlign w:val="center"/>
          </w:tcPr>
          <w:p>
            <w:pPr>
              <w:rPr>
                <w:rFonts w:hint="eastAsia" w:ascii="宋体"/>
                <w:sz w:val="24"/>
                <w:szCs w:val="24"/>
                <w:u w:val="none"/>
              </w:rPr>
            </w:pPr>
          </w:p>
        </w:tc>
        <w:tc>
          <w:tcPr>
            <w:tcW w:w="992" w:type="dxa"/>
            <w:vMerge w:val="continue"/>
            <w:tcBorders>
              <w:top w:val="single" w:color="000000" w:sz="4" w:space="0"/>
              <w:left w:val="single" w:color="000000" w:sz="4" w:space="0"/>
            </w:tcBorders>
            <w:shd w:val="clear"/>
            <w:vAlign w:val="center"/>
          </w:tcPr>
          <w:p>
            <w:pPr>
              <w:rPr>
                <w:rFonts w:hint="eastAsia" w:ascii="宋体"/>
                <w:sz w:val="24"/>
                <w:szCs w:val="24"/>
                <w:u w:val="none"/>
              </w:rPr>
            </w:pPr>
          </w:p>
        </w:tc>
        <w:tc>
          <w:tcPr>
            <w:tcW w:w="993" w:type="dxa"/>
            <w:tcBorders>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关联关系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rHeight w:val="735" w:hRule="atLeast"/>
        </w:trPr>
        <w:tc>
          <w:tcPr>
            <w:tcW w:w="567"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w:t>
            </w:r>
          </w:p>
        </w:tc>
        <w:tc>
          <w:tcPr>
            <w:tcW w:w="222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上海浩刚投资管理咨询有限公司</w:t>
            </w:r>
          </w:p>
        </w:tc>
        <w:tc>
          <w:tcPr>
            <w:tcW w:w="160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38,461,538.47</w:t>
            </w:r>
          </w:p>
        </w:tc>
        <w:tc>
          <w:tcPr>
            <w:tcW w:w="992" w:type="dxa"/>
            <w:tcBorders>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36.10</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28</w:t>
            </w: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90,000</w:t>
            </w:r>
          </w:p>
        </w:tc>
        <w:tc>
          <w:tcPr>
            <w:tcW w:w="992" w:type="dxa"/>
            <w:tcBorders>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84,831</w:t>
            </w:r>
          </w:p>
        </w:tc>
        <w:tc>
          <w:tcPr>
            <w:tcW w:w="992" w:type="dxa"/>
            <w:tcBorders>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36,863</w:t>
            </w:r>
          </w:p>
        </w:tc>
        <w:tc>
          <w:tcPr>
            <w:tcW w:w="993" w:type="dxa"/>
            <w:tcBorders>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35" w:hRule="atLeast"/>
        </w:trPr>
        <w:tc>
          <w:tcPr>
            <w:tcW w:w="567"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w:t>
            </w:r>
          </w:p>
        </w:tc>
        <w:tc>
          <w:tcPr>
            <w:tcW w:w="222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广东嗨学云教育科技有限公司</w:t>
            </w:r>
          </w:p>
        </w:tc>
        <w:tc>
          <w:tcPr>
            <w:tcW w:w="160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12,820,512.88</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12.03</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90</w:t>
            </w: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30,000</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21,866</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9,340</w:t>
            </w: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35" w:hRule="atLeast"/>
        </w:trPr>
        <w:tc>
          <w:tcPr>
            <w:tcW w:w="567"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w:t>
            </w:r>
          </w:p>
        </w:tc>
        <w:tc>
          <w:tcPr>
            <w:tcW w:w="222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哈尔滨万融劳务咨询有限公司</w:t>
            </w:r>
          </w:p>
        </w:tc>
        <w:tc>
          <w:tcPr>
            <w:tcW w:w="160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12,820,512.81</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12.03</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w:t>
            </w: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30,000</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28,661</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13,295</w:t>
            </w: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35" w:hRule="atLeast"/>
        </w:trPr>
        <w:tc>
          <w:tcPr>
            <w:tcW w:w="567"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w:t>
            </w:r>
          </w:p>
        </w:tc>
        <w:tc>
          <w:tcPr>
            <w:tcW w:w="222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邯郸市新起点培训学校</w:t>
            </w:r>
          </w:p>
        </w:tc>
        <w:tc>
          <w:tcPr>
            <w:tcW w:w="160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8,974,358.98</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8.42</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w:t>
            </w: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5,000</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5,000</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1,100</w:t>
            </w: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35" w:hRule="atLeast"/>
        </w:trPr>
        <w:tc>
          <w:tcPr>
            <w:tcW w:w="567"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w:t>
            </w:r>
          </w:p>
        </w:tc>
        <w:tc>
          <w:tcPr>
            <w:tcW w:w="222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济南靖略企业管理咨询有限公司</w:t>
            </w:r>
          </w:p>
        </w:tc>
        <w:tc>
          <w:tcPr>
            <w:tcW w:w="160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8,547,008.56</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8.02</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25</w:t>
            </w: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25,000</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10,498</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4,390</w:t>
            </w: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2793" w:type="dxa"/>
            <w:gridSpan w:val="2"/>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合　计</w:t>
            </w:r>
          </w:p>
        </w:tc>
        <w:tc>
          <w:tcPr>
            <w:tcW w:w="160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81,623,931.70</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76.60</w:t>
            </w:r>
          </w:p>
        </w:tc>
        <w:tc>
          <w:tcPr>
            <w:tcW w:w="992" w:type="dxa"/>
            <w:tcBorders>
              <w:top w:val="nil"/>
              <w:left w:val="nil"/>
              <w:bottom w:val="single" w:color="000000" w:sz="4" w:space="0"/>
              <w:right w:val="single" w:color="000000" w:sz="4" w:space="0"/>
            </w:tcBorders>
            <w:shd w:val="clear"/>
            <w:vAlign w:val="center"/>
          </w:tcPr>
          <w:p>
            <w:pPr>
              <w:rPr>
                <w:rFonts w:hint="eastAsia" w:ascii="宋体"/>
                <w:sz w:val="24"/>
                <w:szCs w:val="24"/>
                <w:u w:val="none"/>
              </w:rPr>
            </w:pP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180,000</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150,856</w:t>
            </w:r>
          </w:p>
        </w:tc>
        <w:tc>
          <w:tcPr>
            <w:tcW w:w="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64,988</w:t>
            </w: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2014年申请人前五大客户、代理商情况如下：</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50"/>
        <w:gridCol w:w="1865"/>
        <w:gridCol w:w="1182"/>
        <w:gridCol w:w="833"/>
        <w:gridCol w:w="768"/>
        <w:gridCol w:w="332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533"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序号</w:t>
            </w:r>
          </w:p>
        </w:tc>
        <w:tc>
          <w:tcPr>
            <w:tcW w:w="2303"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公司名称</w:t>
            </w:r>
          </w:p>
        </w:tc>
        <w:tc>
          <w:tcPr>
            <w:tcW w:w="1417"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成立时间</w:t>
            </w:r>
          </w:p>
        </w:tc>
        <w:tc>
          <w:tcPr>
            <w:tcW w:w="993"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注册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资本</w:t>
            </w:r>
          </w:p>
        </w:tc>
        <w:tc>
          <w:tcPr>
            <w:tcW w:w="945"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法定代表人</w:t>
            </w:r>
          </w:p>
        </w:tc>
        <w:tc>
          <w:tcPr>
            <w:tcW w:w="4158"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主营业务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533"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w:t>
            </w:r>
          </w:p>
        </w:tc>
        <w:tc>
          <w:tcPr>
            <w:tcW w:w="230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青岛朗耀教育咨询有限公司（已于2016年2月注销）</w:t>
            </w:r>
          </w:p>
        </w:tc>
        <w:tc>
          <w:tcPr>
            <w:tcW w:w="1417"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2014年6月</w:t>
            </w: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50万元</w:t>
            </w:r>
          </w:p>
        </w:tc>
        <w:tc>
          <w:tcPr>
            <w:tcW w:w="94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赵诚程</w:t>
            </w:r>
          </w:p>
        </w:tc>
        <w:tc>
          <w:tcPr>
            <w:tcW w:w="4158"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国内教育信息咨询、国内艺术文化交流信息咨询、电脑软硬件的技术研发与销售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533"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w:t>
            </w:r>
          </w:p>
        </w:tc>
        <w:tc>
          <w:tcPr>
            <w:tcW w:w="230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哈尔滨万融劳务咨询有限公司</w:t>
            </w:r>
          </w:p>
        </w:tc>
        <w:tc>
          <w:tcPr>
            <w:tcW w:w="1417"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2013年3月</w:t>
            </w: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50万元</w:t>
            </w:r>
          </w:p>
        </w:tc>
        <w:tc>
          <w:tcPr>
            <w:tcW w:w="94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徐金刚</w:t>
            </w:r>
          </w:p>
        </w:tc>
        <w:tc>
          <w:tcPr>
            <w:tcW w:w="4158"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劳务咨询服务，会务服务，商务信息咨询（除经纪）</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33"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w:t>
            </w:r>
          </w:p>
        </w:tc>
        <w:tc>
          <w:tcPr>
            <w:tcW w:w="230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鄂尔多斯市荣泽商贸有限责任公司</w:t>
            </w:r>
          </w:p>
        </w:tc>
        <w:tc>
          <w:tcPr>
            <w:tcW w:w="1417"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2008年6月</w:t>
            </w: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100万元</w:t>
            </w:r>
          </w:p>
        </w:tc>
        <w:tc>
          <w:tcPr>
            <w:tcW w:w="94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魏仲平</w:t>
            </w:r>
          </w:p>
        </w:tc>
        <w:tc>
          <w:tcPr>
            <w:tcW w:w="4158"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办公设备、文体用品、日用百货、工艺礼品、五金交电、电子产品、电讯器材、电线电缆、建筑材料、酒店设备、卫生洁具销售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33"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w:t>
            </w:r>
          </w:p>
        </w:tc>
        <w:tc>
          <w:tcPr>
            <w:tcW w:w="230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陕西点睛科技发展有限公司</w:t>
            </w:r>
          </w:p>
        </w:tc>
        <w:tc>
          <w:tcPr>
            <w:tcW w:w="1417"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2007年1月</w:t>
            </w: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100万元</w:t>
            </w:r>
          </w:p>
        </w:tc>
        <w:tc>
          <w:tcPr>
            <w:tcW w:w="94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陈朝辉</w:t>
            </w:r>
          </w:p>
        </w:tc>
        <w:tc>
          <w:tcPr>
            <w:tcW w:w="4158"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计算机软硬件及附设的开发和销售；网络工程及系统集成；电子元器件、精密仪器的开发、销售及相关服务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533"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w:t>
            </w:r>
          </w:p>
        </w:tc>
        <w:tc>
          <w:tcPr>
            <w:tcW w:w="230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吉林省慧学源文化传播有限公司</w:t>
            </w:r>
          </w:p>
        </w:tc>
        <w:tc>
          <w:tcPr>
            <w:tcW w:w="1417"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2014年7月</w:t>
            </w:r>
          </w:p>
        </w:tc>
        <w:tc>
          <w:tcPr>
            <w:tcW w:w="993"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500万元</w:t>
            </w:r>
          </w:p>
        </w:tc>
        <w:tc>
          <w:tcPr>
            <w:tcW w:w="945"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巩颖</w:t>
            </w:r>
          </w:p>
        </w:tc>
        <w:tc>
          <w:tcPr>
            <w:tcW w:w="4158"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文化艺术交流；教育信息咨询（不得从事教育培训及出国留学信息咨询）；计算机软硬件开发、推广、销售、维护</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280"/>
        <w:jc w:val="lef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2014年主要客户销售信息：</w:t>
      </w:r>
    </w:p>
    <w:tbl>
      <w:tblPr>
        <w:tblW w:w="0" w:type="auto"/>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45"/>
        <w:gridCol w:w="2314"/>
        <w:gridCol w:w="1527"/>
        <w:gridCol w:w="807"/>
        <w:gridCol w:w="837"/>
        <w:gridCol w:w="837"/>
        <w:gridCol w:w="837"/>
        <w:gridCol w:w="7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66" w:hRule="atLeast"/>
        </w:trPr>
        <w:tc>
          <w:tcPr>
            <w:tcW w:w="567" w:type="dxa"/>
            <w:vMerge w:val="restart"/>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序号</w:t>
            </w:r>
          </w:p>
        </w:tc>
        <w:tc>
          <w:tcPr>
            <w:tcW w:w="3261" w:type="dxa"/>
            <w:vMerge w:val="restart"/>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客户名称</w:t>
            </w:r>
          </w:p>
        </w:tc>
        <w:tc>
          <w:tcPr>
            <w:tcW w:w="1701" w:type="dxa"/>
            <w:vMerge w:val="restart"/>
            <w:tcBorders>
              <w:top w:val="single" w:color="000000" w:sz="4" w:space="0"/>
              <w:left w:val="nil"/>
              <w:bottom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销售金额（元）</w:t>
            </w:r>
          </w:p>
        </w:tc>
        <w:tc>
          <w:tcPr>
            <w:tcW w:w="964" w:type="dxa"/>
            <w:vMerge w:val="restart"/>
            <w:tcBorders>
              <w:top w:val="single" w:color="000000" w:sz="4" w:space="0"/>
              <w:left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年度销售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占比%</w:t>
            </w:r>
          </w:p>
        </w:tc>
        <w:tc>
          <w:tcPr>
            <w:tcW w:w="964" w:type="dxa"/>
            <w:vMerge w:val="restart"/>
            <w:tcBorders>
              <w:top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签约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科目数</w:t>
            </w:r>
          </w:p>
        </w:tc>
        <w:tc>
          <w:tcPr>
            <w:tcW w:w="964" w:type="dxa"/>
            <w:vMerge w:val="restart"/>
            <w:tcBorders>
              <w:top w:val="single" w:color="000000" w:sz="4" w:space="0"/>
              <w:left w:val="nil"/>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已售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科目数</w:t>
            </w:r>
          </w:p>
        </w:tc>
        <w:tc>
          <w:tcPr>
            <w:tcW w:w="964" w:type="dxa"/>
            <w:vMerge w:val="restart"/>
            <w:tcBorders>
              <w:top w:val="single" w:color="000000" w:sz="4" w:space="0"/>
              <w:left w:val="nil"/>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开通人数</w:t>
            </w:r>
          </w:p>
        </w:tc>
        <w:tc>
          <w:tcPr>
            <w:tcW w:w="964" w:type="dxa"/>
            <w:tcBorders>
              <w:top w:val="single" w:color="000000" w:sz="4" w:space="0"/>
              <w:left w:val="nil"/>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是否存在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66" w:hRule="atLeast"/>
        </w:trPr>
        <w:tc>
          <w:tcPr>
            <w:tcW w:w="567" w:type="dxa"/>
            <w:vMerge w:val="continue"/>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sz w:val="24"/>
                <w:szCs w:val="24"/>
                <w:u w:val="none"/>
              </w:rPr>
            </w:pPr>
          </w:p>
        </w:tc>
        <w:tc>
          <w:tcPr>
            <w:tcW w:w="3261" w:type="dxa"/>
            <w:vMerge w:val="continue"/>
            <w:tcBorders>
              <w:top w:val="single" w:color="000000" w:sz="4" w:space="0"/>
              <w:left w:val="nil"/>
              <w:bottom w:val="single" w:color="000000" w:sz="4" w:space="0"/>
              <w:right w:val="single" w:color="000000" w:sz="4" w:space="0"/>
            </w:tcBorders>
            <w:shd w:val="clear"/>
            <w:vAlign w:val="center"/>
          </w:tcPr>
          <w:p>
            <w:pPr>
              <w:rPr>
                <w:rFonts w:hint="eastAsia" w:ascii="宋体"/>
                <w:sz w:val="24"/>
                <w:szCs w:val="24"/>
                <w:u w:val="none"/>
              </w:rPr>
            </w:pPr>
          </w:p>
        </w:tc>
        <w:tc>
          <w:tcPr>
            <w:tcW w:w="1701" w:type="dxa"/>
            <w:vMerge w:val="continue"/>
            <w:tcBorders>
              <w:top w:val="single" w:color="000000" w:sz="4" w:space="0"/>
              <w:left w:val="nil"/>
              <w:bottom w:val="single" w:color="000000" w:sz="4" w:space="0"/>
            </w:tcBorders>
            <w:shd w:val="clear"/>
            <w:vAlign w:val="center"/>
          </w:tcPr>
          <w:p>
            <w:pPr>
              <w:rPr>
                <w:rFonts w:hint="eastAsia" w:ascii="宋体"/>
                <w:sz w:val="24"/>
                <w:szCs w:val="24"/>
                <w:u w:val="none"/>
              </w:rPr>
            </w:pPr>
          </w:p>
        </w:tc>
        <w:tc>
          <w:tcPr>
            <w:tcW w:w="964" w:type="dxa"/>
            <w:vMerge w:val="continue"/>
            <w:tcBorders>
              <w:top w:val="single" w:color="000000" w:sz="4" w:space="0"/>
              <w:left w:val="single" w:color="000000" w:sz="4" w:space="0"/>
              <w:right w:val="single" w:color="000000" w:sz="4" w:space="0"/>
            </w:tcBorders>
            <w:shd w:val="clear"/>
            <w:vAlign w:val="center"/>
          </w:tcPr>
          <w:p>
            <w:pPr>
              <w:rPr>
                <w:rFonts w:hint="eastAsia" w:ascii="宋体"/>
                <w:sz w:val="24"/>
                <w:szCs w:val="24"/>
                <w:u w:val="none"/>
              </w:rPr>
            </w:pPr>
          </w:p>
        </w:tc>
        <w:tc>
          <w:tcPr>
            <w:tcW w:w="964" w:type="dxa"/>
            <w:vMerge w:val="continue"/>
            <w:tcBorders>
              <w:top w:val="single" w:color="000000" w:sz="4" w:space="0"/>
              <w:bottom w:val="single" w:color="000000" w:sz="4" w:space="0"/>
              <w:right w:val="single" w:color="000000" w:sz="4" w:space="0"/>
            </w:tcBorders>
            <w:shd w:val="clear"/>
            <w:vAlign w:val="center"/>
          </w:tcPr>
          <w:p>
            <w:pPr>
              <w:rPr>
                <w:rFonts w:hint="eastAsia" w:ascii="宋体"/>
                <w:sz w:val="24"/>
                <w:szCs w:val="24"/>
                <w:u w:val="none"/>
              </w:rPr>
            </w:pPr>
          </w:p>
        </w:tc>
        <w:tc>
          <w:tcPr>
            <w:tcW w:w="964" w:type="dxa"/>
            <w:vMerge w:val="continue"/>
            <w:tcBorders>
              <w:top w:val="single" w:color="000000" w:sz="4" w:space="0"/>
              <w:left w:val="nil"/>
              <w:right w:val="single" w:color="000000" w:sz="4" w:space="0"/>
            </w:tcBorders>
            <w:shd w:val="clear"/>
            <w:vAlign w:val="center"/>
          </w:tcPr>
          <w:p>
            <w:pPr>
              <w:rPr>
                <w:rFonts w:hint="eastAsia" w:ascii="宋体"/>
                <w:sz w:val="24"/>
                <w:szCs w:val="24"/>
                <w:u w:val="none"/>
              </w:rPr>
            </w:pPr>
          </w:p>
        </w:tc>
        <w:tc>
          <w:tcPr>
            <w:tcW w:w="964" w:type="dxa"/>
            <w:vMerge w:val="continue"/>
            <w:tcBorders>
              <w:top w:val="single" w:color="000000" w:sz="4" w:space="0"/>
              <w:left w:val="nil"/>
              <w:right w:val="single" w:color="000000" w:sz="4" w:space="0"/>
            </w:tcBorders>
            <w:shd w:val="clear"/>
            <w:vAlign w:val="center"/>
          </w:tcPr>
          <w:p>
            <w:pPr>
              <w:rPr>
                <w:rFonts w:hint="eastAsia" w:ascii="宋体"/>
                <w:sz w:val="24"/>
                <w:szCs w:val="24"/>
                <w:u w:val="none"/>
              </w:rPr>
            </w:pPr>
          </w:p>
        </w:tc>
        <w:tc>
          <w:tcPr>
            <w:tcW w:w="964" w:type="dxa"/>
            <w:tcBorders>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关联关系</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75" w:hRule="atLeast"/>
        </w:trPr>
        <w:tc>
          <w:tcPr>
            <w:tcW w:w="567"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w:t>
            </w:r>
          </w:p>
        </w:tc>
        <w:tc>
          <w:tcPr>
            <w:tcW w:w="3261"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青岛朗耀教育咨询有限公司</w:t>
            </w:r>
          </w:p>
        </w:tc>
        <w:tc>
          <w:tcPr>
            <w:tcW w:w="1701"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5,076,922.96</w:t>
            </w:r>
          </w:p>
        </w:tc>
        <w:tc>
          <w:tcPr>
            <w:tcW w:w="964" w:type="dxa"/>
            <w:tcBorders>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17.52</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w:t>
            </w:r>
          </w:p>
        </w:tc>
        <w:tc>
          <w:tcPr>
            <w:tcW w:w="964" w:type="dxa"/>
            <w:tcBorders>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6,489</w:t>
            </w:r>
          </w:p>
        </w:tc>
        <w:tc>
          <w:tcPr>
            <w:tcW w:w="964" w:type="dxa"/>
            <w:tcBorders>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2,784</w:t>
            </w:r>
          </w:p>
        </w:tc>
        <w:tc>
          <w:tcPr>
            <w:tcW w:w="964" w:type="dxa"/>
            <w:tcBorders>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90" w:hRule="atLeast"/>
        </w:trPr>
        <w:tc>
          <w:tcPr>
            <w:tcW w:w="567"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w:t>
            </w:r>
          </w:p>
        </w:tc>
        <w:tc>
          <w:tcPr>
            <w:tcW w:w="3261"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哈尔滨万融劳务咨询有限公司</w:t>
            </w:r>
          </w:p>
        </w:tc>
        <w:tc>
          <w:tcPr>
            <w:tcW w:w="1701"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5,076,922.96</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17.52</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4,374</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567"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w:t>
            </w:r>
          </w:p>
        </w:tc>
        <w:tc>
          <w:tcPr>
            <w:tcW w:w="3261"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鄂尔多斯市荣泽商贸有限责任公司</w:t>
            </w:r>
          </w:p>
        </w:tc>
        <w:tc>
          <w:tcPr>
            <w:tcW w:w="1701"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5,076,922.96</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17.52</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8,735</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3,762</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567"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w:t>
            </w:r>
          </w:p>
        </w:tc>
        <w:tc>
          <w:tcPr>
            <w:tcW w:w="3261"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陕西点睛科技发展有限公司</w:t>
            </w:r>
          </w:p>
        </w:tc>
        <w:tc>
          <w:tcPr>
            <w:tcW w:w="1701"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5,076,922.96</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17.52</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10,000</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4,352</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4" w:hRule="atLeast"/>
        </w:trPr>
        <w:tc>
          <w:tcPr>
            <w:tcW w:w="567"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w:t>
            </w:r>
          </w:p>
        </w:tc>
        <w:tc>
          <w:tcPr>
            <w:tcW w:w="3261"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吉林省慧学源文化传播有限公司</w:t>
            </w:r>
          </w:p>
        </w:tc>
        <w:tc>
          <w:tcPr>
            <w:tcW w:w="1701"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2,136,752.08</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7.37</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3,195</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3,195</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1,391</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75" w:hRule="atLeast"/>
        </w:trPr>
        <w:tc>
          <w:tcPr>
            <w:tcW w:w="3828" w:type="dxa"/>
            <w:gridSpan w:val="2"/>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合　计</w:t>
            </w:r>
          </w:p>
        </w:tc>
        <w:tc>
          <w:tcPr>
            <w:tcW w:w="1701"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22,444,443.92</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77.45</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43,195</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38,419</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16,663</w:t>
            </w:r>
          </w:p>
        </w:tc>
        <w:tc>
          <w:tcPr>
            <w:tcW w:w="96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申请人主要客户未直接或间接持有申请人股份，未在申请人及实际控制人控制的其他企业担任董事、监事、高级管理人员，申请人实际控制人及董事、监事、高级管理人员也与上述客户不存在关联关系，所以主要客户与申请人无关联关系。</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3、“代理”、“直销”模式的主要内容</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软件销售收入分为“代理”和“直销”这两种销售模式。“代理”模式是为实现软件产品的销售寻找战略合作伙伴作为一定区域内代理商，由该代理商对慧学云产品进行买断式采购，并在所代理的区域内进行销售；“直销”模式为申请人直接将产品销售给终端客户。</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两种销售模式对应的销售收入均为软件产品销售收入，收入确认政策均为以发出货物并收到客户签收单作为收入的确认时点。申请人的收入确认符合会计准则。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两种销售模式，其收入实质均为销售软件产品所形成的收入，不影响该收入对应的成本归集方式。成本均为对教研部、技术部-软件测试组等相关部门的职工薪酬，长期待摊费用（教学资源采集费、辅助教学器材费用）的摊销、办公费等其他费用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420" w:right="0"/>
        <w:jc w:val="both"/>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4、结合产品的具体情况和服务期限，分析收入的可持续性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　　申请人目前主营产品提分王分为高中版（数学、英语、物理、化学、生物）和初中版（数学、英语、物理、化学），用户以学科为单位进行购买，购买产品后可一直使用，但申请人以版本为单位进行更新，老版本使用一年后将停止更新试卷及相关的资源，并且不再对学生行为数据进行记录，所以老用户为了可以继续使用最新的资源以及根据行为记录，获得最准确的智能推送就需要购买新的版本。我国适龄中小学生约2亿人，市场基数巨大，申请人现有付费用户不足总适龄人口的两千分之一，所以发展潜力巨大。申请人品牌认可度随着公司产品的推广得到了显著提升，中学产品受到普遍用户欢迎，小学产品将于今年下半年上线，且覆盖面积随PPP模式的推进正在迅速扩大。综上所述，申请人产品具有可持续性，可以为申请人带来长期且稳定的收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5、售后服务情况和期后退货情况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申请人销售的软件为通用软件产品，不需要额外的安装和售后维修服务，申请人仅在代理商或客户提出需求时对其销售团队提供系统使用等方面的义务培训，该培训不影响交易的执行，不作为售后退换货的条款。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申请人签署的合同中明确约定产品销售属于买断式交易，无退货条款。报告期内没有发生退货行为。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会计师认为，申请人收入构成的划分方法合理，符合《企业会计准则》的规定。申请人主要客户与申请人无关联关系。收入确认政策符合会计准则的规定。成本按照权责发生制及收入配比原则分摊至相关销售模式，成本分担方式合理。营业收入具有可持续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（五）关于营业成本和毛利率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审核中关注到，报告期内申请人营业收入大幅上升的同时，营业成本下降，毛利率大幅增长，由57.3%增长至91.57%。据此，要求申请人补充披露：（1）报告期内营业成本的构成，成本确认的会计政策，是否符合《企业会计准则》的规定；（2）毛利率大幅增长的原因，并与同行业可比公司进行比较，分析合理性。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1、营业成本的构成，成本确认的会计政策，是否符合《企业会计准则》的规定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12"/>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报告期内申请人营业成本如下：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12"/>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单位：元</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851"/>
        <w:gridCol w:w="1703"/>
        <w:gridCol w:w="2510"/>
        <w:gridCol w:w="23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85" w:hRule="atLeast"/>
        </w:trPr>
        <w:tc>
          <w:tcPr>
            <w:tcW w:w="2418"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营业成本</w:t>
            </w:r>
          </w:p>
        </w:tc>
        <w:tc>
          <w:tcPr>
            <w:tcW w:w="2220"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项目</w:t>
            </w:r>
          </w:p>
        </w:tc>
        <w:tc>
          <w:tcPr>
            <w:tcW w:w="3006"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2015年度</w:t>
            </w:r>
          </w:p>
        </w:tc>
        <w:tc>
          <w:tcPr>
            <w:tcW w:w="2766"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2014年度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85" w:hRule="atLeast"/>
        </w:trPr>
        <w:tc>
          <w:tcPr>
            <w:tcW w:w="2418" w:type="dxa"/>
            <w:vMerge w:val="restart"/>
            <w:tcBorders>
              <w:top w:val="nil"/>
              <w:left w:val="single" w:color="000000" w:sz="4" w:space="0"/>
              <w:bottom w:val="single" w:color="000000" w:sz="8"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软件销售成本</w:t>
            </w:r>
          </w:p>
        </w:tc>
        <w:tc>
          <w:tcPr>
            <w:tcW w:w="222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职工薪酬</w:t>
            </w:r>
          </w:p>
        </w:tc>
        <w:tc>
          <w:tcPr>
            <w:tcW w:w="300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4,837,829.47</w:t>
            </w:r>
          </w:p>
        </w:tc>
        <w:tc>
          <w:tcPr>
            <w:tcW w:w="276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sz w:val="16"/>
                <w:szCs w:val="16"/>
                <w:u w:val="none"/>
                <w:bdr w:val="none" w:color="auto" w:sz="0" w:space="0"/>
              </w:rPr>
              <w:t>7,308,487.46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85" w:hRule="atLeast"/>
        </w:trPr>
        <w:tc>
          <w:tcPr>
            <w:tcW w:w="2418" w:type="dxa"/>
            <w:vMerge w:val="continue"/>
            <w:tcBorders>
              <w:top w:val="nil"/>
              <w:left w:val="single" w:color="000000" w:sz="4" w:space="0"/>
              <w:bottom w:val="single" w:color="000000" w:sz="8" w:space="0"/>
              <w:right w:val="single" w:color="000000" w:sz="4" w:space="0"/>
            </w:tcBorders>
            <w:shd w:val="clear"/>
            <w:vAlign w:val="center"/>
          </w:tcPr>
          <w:p>
            <w:pPr>
              <w:rPr>
                <w:rFonts w:hint="eastAsia" w:ascii="宋体"/>
                <w:sz w:val="24"/>
                <w:szCs w:val="24"/>
                <w:u w:val="none"/>
              </w:rPr>
            </w:pPr>
          </w:p>
        </w:tc>
        <w:tc>
          <w:tcPr>
            <w:tcW w:w="222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长期待摊费用</w:t>
            </w:r>
          </w:p>
        </w:tc>
        <w:tc>
          <w:tcPr>
            <w:tcW w:w="300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2,454,756.68</w:t>
            </w:r>
          </w:p>
        </w:tc>
        <w:tc>
          <w:tcPr>
            <w:tcW w:w="276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905,833.33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85" w:hRule="atLeast"/>
        </w:trPr>
        <w:tc>
          <w:tcPr>
            <w:tcW w:w="2418" w:type="dxa"/>
            <w:vMerge w:val="continue"/>
            <w:tcBorders>
              <w:top w:val="nil"/>
              <w:left w:val="single" w:color="000000" w:sz="4" w:space="0"/>
              <w:bottom w:val="single" w:color="000000" w:sz="8" w:space="0"/>
              <w:right w:val="single" w:color="000000" w:sz="4" w:space="0"/>
            </w:tcBorders>
            <w:shd w:val="clear"/>
            <w:vAlign w:val="center"/>
          </w:tcPr>
          <w:p>
            <w:pPr>
              <w:rPr>
                <w:rFonts w:hint="eastAsia" w:ascii="宋体"/>
                <w:sz w:val="24"/>
                <w:szCs w:val="24"/>
                <w:u w:val="none"/>
              </w:rPr>
            </w:pPr>
          </w:p>
        </w:tc>
        <w:tc>
          <w:tcPr>
            <w:tcW w:w="222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　　外包费用</w:t>
            </w:r>
          </w:p>
        </w:tc>
        <w:tc>
          <w:tcPr>
            <w:tcW w:w="300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804,571.74</w:t>
            </w:r>
          </w:p>
        </w:tc>
        <w:tc>
          <w:tcPr>
            <w:tcW w:w="276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1,740,000.00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85" w:hRule="atLeast"/>
        </w:trPr>
        <w:tc>
          <w:tcPr>
            <w:tcW w:w="2418" w:type="dxa"/>
            <w:vMerge w:val="continue"/>
            <w:tcBorders>
              <w:top w:val="nil"/>
              <w:left w:val="single" w:color="000000" w:sz="4" w:space="0"/>
              <w:bottom w:val="single" w:color="000000" w:sz="8" w:space="0"/>
              <w:right w:val="single" w:color="000000" w:sz="4" w:space="0"/>
            </w:tcBorders>
            <w:shd w:val="clear"/>
            <w:vAlign w:val="center"/>
          </w:tcPr>
          <w:p>
            <w:pPr>
              <w:rPr>
                <w:rFonts w:hint="eastAsia" w:ascii="宋体"/>
                <w:sz w:val="24"/>
                <w:szCs w:val="24"/>
                <w:u w:val="none"/>
              </w:rPr>
            </w:pPr>
          </w:p>
        </w:tc>
        <w:tc>
          <w:tcPr>
            <w:tcW w:w="222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差旅办公费等</w:t>
            </w:r>
          </w:p>
        </w:tc>
        <w:tc>
          <w:tcPr>
            <w:tcW w:w="300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880,890.21</w:t>
            </w:r>
          </w:p>
        </w:tc>
        <w:tc>
          <w:tcPr>
            <w:tcW w:w="276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1,315,131.24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00" w:hRule="atLeast"/>
        </w:trPr>
        <w:tc>
          <w:tcPr>
            <w:tcW w:w="2418" w:type="dxa"/>
            <w:vMerge w:val="continue"/>
            <w:tcBorders>
              <w:top w:val="nil"/>
              <w:left w:val="single" w:color="000000" w:sz="4" w:space="0"/>
              <w:bottom w:val="single" w:color="000000" w:sz="8" w:space="0"/>
              <w:right w:val="single" w:color="000000" w:sz="4" w:space="0"/>
            </w:tcBorders>
            <w:shd w:val="clear"/>
            <w:vAlign w:val="center"/>
          </w:tcPr>
          <w:p>
            <w:pPr>
              <w:rPr>
                <w:rFonts w:hint="eastAsia" w:ascii="宋体"/>
                <w:sz w:val="24"/>
                <w:szCs w:val="24"/>
                <w:u w:val="none"/>
              </w:rPr>
            </w:pPr>
          </w:p>
        </w:tc>
        <w:tc>
          <w:tcPr>
            <w:tcW w:w="222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小计</w:t>
            </w:r>
          </w:p>
        </w:tc>
        <w:tc>
          <w:tcPr>
            <w:tcW w:w="300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8,978,048.10</w:t>
            </w:r>
          </w:p>
        </w:tc>
        <w:tc>
          <w:tcPr>
            <w:tcW w:w="276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11,269,452.03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00" w:hRule="atLeast"/>
        </w:trPr>
        <w:tc>
          <w:tcPr>
            <w:tcW w:w="2418"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服务成本</w:t>
            </w:r>
          </w:p>
        </w:tc>
        <w:tc>
          <w:tcPr>
            <w:tcW w:w="222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其他费用</w:t>
            </w:r>
          </w:p>
        </w:tc>
        <w:tc>
          <w:tcPr>
            <w:tcW w:w="300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6,289.04</w:t>
            </w:r>
          </w:p>
        </w:tc>
        <w:tc>
          <w:tcPr>
            <w:tcW w:w="276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85" w:hRule="atLeast"/>
        </w:trPr>
        <w:tc>
          <w:tcPr>
            <w:tcW w:w="2418" w:type="dxa"/>
            <w:vMerge w:val="restart"/>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软件开发服务成本</w:t>
            </w:r>
          </w:p>
        </w:tc>
        <w:tc>
          <w:tcPr>
            <w:tcW w:w="222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职工薪酬</w:t>
            </w:r>
          </w:p>
        </w:tc>
        <w:tc>
          <w:tcPr>
            <w:tcW w:w="300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276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792,111.05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85" w:hRule="atLeast"/>
        </w:trPr>
        <w:tc>
          <w:tcPr>
            <w:tcW w:w="2418" w:type="dxa"/>
            <w:vMerge w:val="continue"/>
            <w:tcBorders>
              <w:top w:val="nil"/>
              <w:left w:val="single" w:color="000000" w:sz="4" w:space="0"/>
              <w:bottom w:val="single" w:color="000000" w:sz="4" w:space="0"/>
              <w:right w:val="single" w:color="000000" w:sz="4" w:space="0"/>
            </w:tcBorders>
            <w:shd w:val="clear"/>
            <w:vAlign w:val="center"/>
          </w:tcPr>
          <w:p>
            <w:pPr>
              <w:rPr>
                <w:rFonts w:hint="eastAsia" w:ascii="宋体"/>
                <w:sz w:val="24"/>
                <w:szCs w:val="24"/>
                <w:u w:val="none"/>
              </w:rPr>
            </w:pPr>
          </w:p>
        </w:tc>
        <w:tc>
          <w:tcPr>
            <w:tcW w:w="222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差旅办公费等</w:t>
            </w:r>
          </w:p>
        </w:tc>
        <w:tc>
          <w:tcPr>
            <w:tcW w:w="300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276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314,896.04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85" w:hRule="atLeast"/>
        </w:trPr>
        <w:tc>
          <w:tcPr>
            <w:tcW w:w="2418" w:type="dxa"/>
            <w:vMerge w:val="continue"/>
            <w:tcBorders>
              <w:top w:val="nil"/>
              <w:left w:val="single" w:color="000000" w:sz="4" w:space="0"/>
              <w:bottom w:val="single" w:color="000000" w:sz="4" w:space="0"/>
              <w:right w:val="single" w:color="000000" w:sz="4" w:space="0"/>
            </w:tcBorders>
            <w:shd w:val="clear"/>
            <w:vAlign w:val="center"/>
          </w:tcPr>
          <w:p>
            <w:pPr>
              <w:rPr>
                <w:rFonts w:hint="eastAsia" w:ascii="宋体"/>
                <w:sz w:val="24"/>
                <w:szCs w:val="24"/>
                <w:u w:val="none"/>
              </w:rPr>
            </w:pPr>
          </w:p>
        </w:tc>
        <w:tc>
          <w:tcPr>
            <w:tcW w:w="222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小计</w:t>
            </w:r>
          </w:p>
        </w:tc>
        <w:tc>
          <w:tcPr>
            <w:tcW w:w="300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276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1,107,007.09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4638" w:type="dxa"/>
            <w:gridSpan w:val="2"/>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合计</w:t>
            </w:r>
          </w:p>
        </w:tc>
        <w:tc>
          <w:tcPr>
            <w:tcW w:w="300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8,984,337.14</w:t>
            </w:r>
          </w:p>
        </w:tc>
        <w:tc>
          <w:tcPr>
            <w:tcW w:w="276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12,376,459.12</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职工薪酬按照直接与产品相关的部门人员当期发生的工资、社会保险、公积金进行归集；教学资源采集费摊销根据合同受益期分期摊销归集；辅助教学器材费受益期分期摊销归集；外包费用为外包的劳务费及服务费，根据当期实际发生额进行归集；差旅办公费等按照相应部门的当期实际发生额进行归集。当期末结转至当期成本。软件开发服务成本由当期开发学校定制教学系统项目组人员发生的职工薪酬、差旅费及其他相关费用，当期结转进入成本。</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2、毛利率大幅增长的原因，并与同行业可比公司进行比较，分析合理性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毛利率由2014年的57.30%增长至2015年的91.57%。因收入大幅度增长而营业成本没有增长，造成毛利率大幅度增长。一是，相对固定成本不会因为收入的增加而大幅增加，申请人的营业成本由产品维护人员薪酬、教学资源采集费摊销、辅助教学器材费摊销构成。申请人大部分研发费用已费用化处理，只有与产品直接相关的维护人员的薪酬记入成本，教学资源采集费及辅助教学器材费按照合同受益期进行摊销，分期结转入成本，因此申请人营业成本金额较低；二是，2015年较2014年在售软件更加成熟完善，升级和维护的人员成本有所降低，2014年主营业务成本为12,376,459.12元，2015年主营业务成本为8,984,337.14元，同比增长-27.41%。　　</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jc w:val="both"/>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企业赢鼎教育（证券代码：833173）的主营业务、商业模式与申请人相似。赢鼎教育2015年度毛利率为95.66%，与申请人的毛利率91.57%相差不大。申请人认为其毛利率增长是合理的。赢鼎教育主要财务数据如下：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单位：元</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413"/>
        <w:gridCol w:w="3201"/>
        <w:gridCol w:w="28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trPr>
        <w:tc>
          <w:tcPr>
            <w:tcW w:w="3126" w:type="dxa"/>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项目</w:t>
            </w:r>
          </w:p>
        </w:tc>
        <w:tc>
          <w:tcPr>
            <w:tcW w:w="3894"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2015年度</w:t>
            </w:r>
          </w:p>
        </w:tc>
        <w:tc>
          <w:tcPr>
            <w:tcW w:w="3396"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2014年度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trPr>
        <w:tc>
          <w:tcPr>
            <w:tcW w:w="3126"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营业收入</w:t>
            </w:r>
          </w:p>
        </w:tc>
        <w:tc>
          <w:tcPr>
            <w:tcW w:w="389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141,078,584.24</w:t>
            </w:r>
          </w:p>
        </w:tc>
        <w:tc>
          <w:tcPr>
            <w:tcW w:w="339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17,046,964.31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70" w:hRule="atLeast"/>
        </w:trPr>
        <w:tc>
          <w:tcPr>
            <w:tcW w:w="3126"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营业成本</w:t>
            </w:r>
          </w:p>
        </w:tc>
        <w:tc>
          <w:tcPr>
            <w:tcW w:w="389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6,120,190.92</w:t>
            </w:r>
          </w:p>
        </w:tc>
        <w:tc>
          <w:tcPr>
            <w:tcW w:w="339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4,042,620.18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70" w:hRule="atLeast"/>
        </w:trPr>
        <w:tc>
          <w:tcPr>
            <w:tcW w:w="3126"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毛利率%</w:t>
            </w:r>
          </w:p>
        </w:tc>
        <w:tc>
          <w:tcPr>
            <w:tcW w:w="389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95.66</w:t>
            </w:r>
          </w:p>
        </w:tc>
        <w:tc>
          <w:tcPr>
            <w:tcW w:w="3396"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76.29</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主办券商、会计师认为，申请人报告期营业成本归集内容未发生变化，各部分归集分摊金额正确，成本确认符合《企业会计准则》的规定，申请人毛利率变动合理。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（六）关于净利润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审核中关注到，2015年度申请人营业收入增长的同时，销售费用、研发费用等费用并未同比例增长，申请人归属于挂牌公司股东的净利润较上期增长3740%，增幅远高于营业收入的增长。据此，要求申请人结合营业成本、期间费用的变动情况，补充披露净利润大幅增长的具体原因。同时，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12"/>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2015年净利润相关数据变动情况如下：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单位：元</w:t>
      </w:r>
    </w:p>
    <w:tbl>
      <w:tblPr>
        <w:tblW w:w="0" w:type="auto"/>
        <w:tblInd w:w="-10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884"/>
        <w:gridCol w:w="1701"/>
        <w:gridCol w:w="1138"/>
        <w:gridCol w:w="968"/>
        <w:gridCol w:w="1582"/>
        <w:gridCol w:w="1201"/>
        <w:gridCol w:w="9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266" w:type="dxa"/>
            <w:vMerge w:val="restart"/>
            <w:tcBorders>
              <w:top w:val="single" w:color="000000" w:sz="4" w:space="0"/>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项目</w:t>
            </w:r>
          </w:p>
        </w:tc>
        <w:tc>
          <w:tcPr>
            <w:tcW w:w="4626" w:type="dxa"/>
            <w:gridSpan w:val="3"/>
            <w:tcBorders>
              <w:top w:val="single" w:color="000000" w:sz="4" w:space="0"/>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2015年度</w:t>
            </w:r>
          </w:p>
        </w:tc>
        <w:tc>
          <w:tcPr>
            <w:tcW w:w="4542" w:type="dxa"/>
            <w:gridSpan w:val="3"/>
            <w:tcBorders>
              <w:top w:val="single" w:color="000000" w:sz="4" w:space="0"/>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2014年度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266" w:type="dxa"/>
            <w:vMerge w:val="continue"/>
            <w:tcBorders>
              <w:top w:val="single" w:color="000000" w:sz="4" w:space="0"/>
              <w:left w:val="single" w:color="000000" w:sz="4" w:space="0"/>
              <w:bottom w:val="single" w:color="000000" w:sz="4" w:space="0"/>
              <w:right w:val="single" w:color="000000" w:sz="4" w:space="0"/>
            </w:tcBorders>
            <w:shd w:val="clear"/>
            <w:vAlign w:val="center"/>
          </w:tcPr>
          <w:p>
            <w:pPr>
              <w:rPr>
                <w:rFonts w:hint="eastAsia" w:ascii="宋体"/>
                <w:sz w:val="24"/>
                <w:szCs w:val="24"/>
                <w:u w:val="none"/>
              </w:rPr>
            </w:pPr>
          </w:p>
        </w:tc>
        <w:tc>
          <w:tcPr>
            <w:tcW w:w="1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金额</w:t>
            </w:r>
          </w:p>
        </w:tc>
        <w:tc>
          <w:tcPr>
            <w:tcW w:w="137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变动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比例%</w:t>
            </w:r>
          </w:p>
        </w:tc>
        <w:tc>
          <w:tcPr>
            <w:tcW w:w="1260"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both"/>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占营业收入的比重%</w:t>
            </w:r>
          </w:p>
        </w:tc>
        <w:tc>
          <w:tcPr>
            <w:tcW w:w="1860"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金额</w:t>
            </w:r>
          </w:p>
        </w:tc>
        <w:tc>
          <w:tcPr>
            <w:tcW w:w="1458"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变动</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比例%</w:t>
            </w:r>
          </w:p>
        </w:tc>
        <w:tc>
          <w:tcPr>
            <w:tcW w:w="1224" w:type="dxa"/>
            <w:tcBorders>
              <w:top w:val="single" w:color="000000" w:sz="4" w:space="0"/>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color w:val="000000"/>
                <w:sz w:val="16"/>
                <w:szCs w:val="16"/>
                <w:u w:val="none"/>
                <w:bdr w:val="none" w:color="auto" w:sz="0" w:space="0"/>
              </w:rPr>
              <w:t>占营业收入的比重%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345" w:hRule="atLeast"/>
        </w:trPr>
        <w:tc>
          <w:tcPr>
            <w:tcW w:w="1266" w:type="dxa"/>
            <w:tcBorders>
              <w:top w:val="nil"/>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营业收入</w:t>
            </w:r>
          </w:p>
        </w:tc>
        <w:tc>
          <w:tcPr>
            <w:tcW w:w="1992"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106,536,101.67</w:t>
            </w:r>
          </w:p>
        </w:tc>
        <w:tc>
          <w:tcPr>
            <w:tcW w:w="137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267.60</w:t>
            </w:r>
          </w:p>
        </w:tc>
        <w:tc>
          <w:tcPr>
            <w:tcW w:w="1260"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1860"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28,981,512.91</w:t>
            </w:r>
          </w:p>
        </w:tc>
        <w:tc>
          <w:tcPr>
            <w:tcW w:w="1458"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410.08</w:t>
            </w:r>
          </w:p>
        </w:tc>
        <w:tc>
          <w:tcPr>
            <w:tcW w:w="122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266" w:type="dxa"/>
            <w:tcBorders>
              <w:top w:val="nil"/>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营业成本</w:t>
            </w:r>
          </w:p>
        </w:tc>
        <w:tc>
          <w:tcPr>
            <w:tcW w:w="1992"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8,984,337.14</w:t>
            </w:r>
          </w:p>
        </w:tc>
        <w:tc>
          <w:tcPr>
            <w:tcW w:w="137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-27.41</w:t>
            </w:r>
          </w:p>
        </w:tc>
        <w:tc>
          <w:tcPr>
            <w:tcW w:w="1260"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8.43</w:t>
            </w:r>
          </w:p>
        </w:tc>
        <w:tc>
          <w:tcPr>
            <w:tcW w:w="1860"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12,376,459.12</w:t>
            </w:r>
          </w:p>
        </w:tc>
        <w:tc>
          <w:tcPr>
            <w:tcW w:w="1458"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1,240.92</w:t>
            </w:r>
          </w:p>
        </w:tc>
        <w:tc>
          <w:tcPr>
            <w:tcW w:w="122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42.70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266" w:type="dxa"/>
            <w:tcBorders>
              <w:top w:val="nil"/>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管理费用</w:t>
            </w:r>
          </w:p>
        </w:tc>
        <w:tc>
          <w:tcPr>
            <w:tcW w:w="1992"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27,970,501.95</w:t>
            </w:r>
          </w:p>
        </w:tc>
        <w:tc>
          <w:tcPr>
            <w:tcW w:w="137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176.61</w:t>
            </w:r>
          </w:p>
        </w:tc>
        <w:tc>
          <w:tcPr>
            <w:tcW w:w="1260"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26.25</w:t>
            </w:r>
          </w:p>
        </w:tc>
        <w:tc>
          <w:tcPr>
            <w:tcW w:w="1860"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10,111,747.96</w:t>
            </w:r>
          </w:p>
        </w:tc>
        <w:tc>
          <w:tcPr>
            <w:tcW w:w="1458"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379.29</w:t>
            </w:r>
          </w:p>
        </w:tc>
        <w:tc>
          <w:tcPr>
            <w:tcW w:w="122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34.89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266" w:type="dxa"/>
            <w:tcBorders>
              <w:top w:val="nil"/>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销售费用</w:t>
            </w:r>
          </w:p>
        </w:tc>
        <w:tc>
          <w:tcPr>
            <w:tcW w:w="1992"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19,502,101.17</w:t>
            </w:r>
          </w:p>
        </w:tc>
        <w:tc>
          <w:tcPr>
            <w:tcW w:w="137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152.26</w:t>
            </w:r>
          </w:p>
        </w:tc>
        <w:tc>
          <w:tcPr>
            <w:tcW w:w="1260"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18.31</w:t>
            </w:r>
          </w:p>
        </w:tc>
        <w:tc>
          <w:tcPr>
            <w:tcW w:w="1860"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7,730,996.93</w:t>
            </w:r>
          </w:p>
        </w:tc>
        <w:tc>
          <w:tcPr>
            <w:tcW w:w="1458"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736.85</w:t>
            </w:r>
          </w:p>
        </w:tc>
        <w:tc>
          <w:tcPr>
            <w:tcW w:w="1224" w:type="dxa"/>
            <w:tcBorders>
              <w:top w:val="nil"/>
              <w:left w:val="nil"/>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26.68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266" w:type="dxa"/>
            <w:tcBorders>
              <w:top w:val="nil"/>
              <w:left w:val="single" w:color="000000" w:sz="4" w:space="0"/>
              <w:bottom w:val="single" w:color="000000" w:sz="4" w:space="0"/>
              <w:right w:val="single" w:color="000000" w:sz="4" w:space="0"/>
            </w:tcBorders>
            <w:shd w:val="clear"/>
            <w:vAlign w:val="top"/>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财务费用</w:t>
            </w:r>
          </w:p>
        </w:tc>
        <w:tc>
          <w:tcPr>
            <w:tcW w:w="1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-1,257,439.92</w:t>
            </w:r>
          </w:p>
        </w:tc>
        <w:tc>
          <w:tcPr>
            <w:tcW w:w="137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1,855.12 </w:t>
            </w:r>
          </w:p>
        </w:tc>
        <w:tc>
          <w:tcPr>
            <w:tcW w:w="126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186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-64,315.26</w:t>
            </w:r>
          </w:p>
        </w:tc>
        <w:tc>
          <w:tcPr>
            <w:tcW w:w="1458"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-5,597.21</w:t>
            </w:r>
          </w:p>
        </w:tc>
        <w:tc>
          <w:tcPr>
            <w:tcW w:w="122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266"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营业利润</w:t>
            </w:r>
          </w:p>
        </w:tc>
        <w:tc>
          <w:tcPr>
            <w:tcW w:w="1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47,893,252.46</w:t>
            </w:r>
          </w:p>
        </w:tc>
        <w:tc>
          <w:tcPr>
            <w:tcW w:w="137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2,451.81</w:t>
            </w:r>
          </w:p>
        </w:tc>
        <w:tc>
          <w:tcPr>
            <w:tcW w:w="126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44.95</w:t>
            </w:r>
          </w:p>
        </w:tc>
        <w:tc>
          <w:tcPr>
            <w:tcW w:w="186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-2,036,443.42</w:t>
            </w:r>
          </w:p>
        </w:tc>
        <w:tc>
          <w:tcPr>
            <w:tcW w:w="1458"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-219.86</w:t>
            </w:r>
          </w:p>
        </w:tc>
        <w:tc>
          <w:tcPr>
            <w:tcW w:w="122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c>
          <w:tcPr>
            <w:tcW w:w="1266"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营业外收入</w:t>
            </w:r>
          </w:p>
        </w:tc>
        <w:tc>
          <w:tcPr>
            <w:tcW w:w="1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14,619,335.93</w:t>
            </w:r>
          </w:p>
        </w:tc>
        <w:tc>
          <w:tcPr>
            <w:tcW w:w="137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304.44</w:t>
            </w:r>
          </w:p>
        </w:tc>
        <w:tc>
          <w:tcPr>
            <w:tcW w:w="126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13.72</w:t>
            </w:r>
          </w:p>
        </w:tc>
        <w:tc>
          <w:tcPr>
            <w:tcW w:w="186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3,614,738.39</w:t>
            </w:r>
          </w:p>
        </w:tc>
        <w:tc>
          <w:tcPr>
            <w:tcW w:w="1458"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122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12.47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266"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营业外支出</w:t>
            </w:r>
          </w:p>
        </w:tc>
        <w:tc>
          <w:tcPr>
            <w:tcW w:w="1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137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126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c>
          <w:tcPr>
            <w:tcW w:w="186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567.14</w:t>
            </w:r>
          </w:p>
        </w:tc>
        <w:tc>
          <w:tcPr>
            <w:tcW w:w="1458"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2,469.73</w:t>
            </w:r>
          </w:p>
        </w:tc>
        <w:tc>
          <w:tcPr>
            <w:tcW w:w="122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c>
          <w:tcPr>
            <w:tcW w:w="1266" w:type="dxa"/>
            <w:tcBorders>
              <w:top w:val="nil"/>
              <w:left w:val="single" w:color="000000" w:sz="4" w:space="0"/>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净利润</w:t>
            </w:r>
          </w:p>
        </w:tc>
        <w:tc>
          <w:tcPr>
            <w:tcW w:w="1992"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62,850,331.32</w:t>
            </w:r>
          </w:p>
        </w:tc>
        <w:tc>
          <w:tcPr>
            <w:tcW w:w="137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3,741.08</w:t>
            </w:r>
          </w:p>
        </w:tc>
        <w:tc>
          <w:tcPr>
            <w:tcW w:w="126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58.99</w:t>
            </w:r>
          </w:p>
        </w:tc>
        <w:tc>
          <w:tcPr>
            <w:tcW w:w="1860"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1,636,266.40</w:t>
            </w:r>
          </w:p>
        </w:tc>
        <w:tc>
          <w:tcPr>
            <w:tcW w:w="1458"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40.88</w:t>
            </w:r>
          </w:p>
        </w:tc>
        <w:tc>
          <w:tcPr>
            <w:tcW w:w="1224" w:type="dxa"/>
            <w:tcBorders>
              <w:top w:val="nil"/>
              <w:left w:val="nil"/>
              <w:bottom w:val="single" w:color="000000" w:sz="4" w:space="0"/>
              <w:right w:val="single" w:color="000000" w:sz="4" w:space="0"/>
            </w:tcBorders>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5.65</w:t>
            </w: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申请人2015年营业收入比2014年增加77,554,588.76元，增长267.60%。净利润增长幅度远大于收入增长幅度。具体原因如下：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1）申请人2015年营业收入比2014年增加77,554,588.76元，增长267.60%。一是由于产品性能完善，促进了产品的销售；二是因为销售模式的变化，由2014年的“代理+直销”平行推进模式，转向以代理为主，直销为辅的商业模式。综上，2015年销售量大增，营业收入大幅增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（2）申请人2015年、2014年主营业务成本占营业收入的比重分别为8.43%、42.70%，由于相对固定的成本未随着营业收入的增加而变动，另外，2015年较2014年的产品更加成熟完善，升级和维护的人员成本大幅下降。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（3）申请人2015年管理费用较2014年减少8.64%，主要是由于2015年研发均在原有产品基础上进行，研发费主要由研发机构的人员费用组成，技术人员人数较少,外部研发费用很低，研发费未随着收入同比增长。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（4）申请人2015年销售费用较2014年减少8.37%，2014年底申请人改变商业模式后，削减了大量销售人员，2015年销售人员薪酬占收入的比重较2014年减少11.31%。</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（5）申请人2015年营业外收入比2014年增加11,004,597.54 元，由于申请人2015年收到了改制上市扶持资金及中央文创资金4,200,000元，及增值税退税比2014年同期增长6,804,597.53元。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综上，申请人认为，2015年净利润较2014年大幅增长与经营状况、商业模式变化相匹配。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主办券商、会计师认为，申请人2015年净利润较2014年大幅增长与经营状况、商业模式变化相匹配。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（七）关于无形资产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审核中关注到，申请人营业收入主要为软件销售，但无形资产金额相对较小，2015年末无形资产仅为53.9万元，占同期总资产比例为0.2%。据此，要求申请人补充披露：（1）报告期内无形资产较低的原因，并于同行业可比公司进行比较分析合理性；（2）研发费用的构成情况，研发费用资本化的依据，是否符合《企业会计准则》的规定。同时，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1、2015年度无形资产较低的原因，并与同行业可比公司进行比较分析合理性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12"/>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2014年申请人无形资产为0元。申请人考虑到前期研发项目的主要成本为与学校的合作款，由学校提供的成果构成了研发项目的核心，学校提供的成果具有较大不确定及探索性，因此将项目开发支出的时点由项目开发计划延后到项目修改完成后，使研发项目的风险评估更可靠严谨，将测试修改完成前所发生的研发费用全部计入当期管理费用进行费用化，并进行了追溯调整。此调整是为了进一步加强研发费用在各主要研究阶段的归集和核算，谨慎确定各研发项目研发费用资本化时点，因此调整后的报表能够更可靠、更相关的反映申请人的财务状况及经营状况。</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12"/>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2015年新增无形资产654,158.11元，当期累计摊销114,776.28元，2015年期末无形资产账面价值539,381.83元。2015年新增的无形资产为外购无形资产：包括专业软件、专项技术、外包项目。因申请人大部分研发费用已费用化处理，无自主研发的无形资产，外购的无形资产金额较小，因此无形资产占总资产的比重较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与可比公司对比分析，申请人在可比数据中属于合理水平。</w:t>
      </w:r>
    </w:p>
    <w:tbl>
      <w:tblPr>
        <w:tblW w:w="0" w:type="auto"/>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121"/>
        <w:gridCol w:w="1446"/>
        <w:gridCol w:w="1438"/>
        <w:gridCol w:w="1477"/>
        <w:gridCol w:w="1423"/>
        <w:gridCol w:w="1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85" w:hRule="atLeast"/>
        </w:trPr>
        <w:tc>
          <w:tcPr>
            <w:tcW w:w="10440" w:type="dxa"/>
            <w:gridSpan w:val="6"/>
            <w:shd w:val="cle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教育软件企业无形资产占总资产比重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285" w:hRule="atLeast"/>
        </w:trPr>
        <w:tc>
          <w:tcPr>
            <w:tcW w:w="1668" w:type="dxa"/>
            <w:tcBorders>
              <w:top w:val="single" w:color="000000" w:sz="4" w:space="0"/>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sz w:val="16"/>
                <w:szCs w:val="16"/>
                <w:u w:val="none"/>
                <w:bdr w:val="none" w:color="auto" w:sz="0" w:space="0"/>
              </w:rPr>
              <w:t>项目</w:t>
            </w:r>
          </w:p>
        </w:tc>
        <w:tc>
          <w:tcPr>
            <w:tcW w:w="1764"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sz w:val="16"/>
                <w:szCs w:val="16"/>
                <w:u w:val="none"/>
                <w:bdr w:val="none" w:color="auto" w:sz="0" w:space="0"/>
              </w:rPr>
              <w:t>赢鼎教育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val="0"/>
                <w:bCs w:val="0"/>
                <w:sz w:val="16"/>
                <w:szCs w:val="16"/>
                <w:u w:val="none"/>
                <w:bdr w:val="none" w:color="auto" w:sz="0" w:space="0"/>
              </w:rPr>
              <w:t>（</w:t>
            </w:r>
            <w:r>
              <w:rPr>
                <w:rFonts w:hint="eastAsia" w:ascii="微软雅黑" w:hAnsi="微软雅黑" w:eastAsia="微软雅黑" w:cs="微软雅黑"/>
                <w:b w:val="0"/>
                <w:bCs w:val="0"/>
                <w:color w:val="000000"/>
                <w:sz w:val="16"/>
                <w:szCs w:val="16"/>
                <w:u w:val="none"/>
                <w:bdr w:val="none" w:color="auto" w:sz="0" w:space="0"/>
              </w:rPr>
              <w:t>833173）</w:t>
            </w:r>
          </w:p>
        </w:tc>
        <w:tc>
          <w:tcPr>
            <w:tcW w:w="1752"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sz w:val="16"/>
                <w:szCs w:val="16"/>
                <w:u w:val="none"/>
                <w:bdr w:val="none" w:color="auto" w:sz="0" w:space="0"/>
              </w:rPr>
              <w:t>英谷教育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val="0"/>
                <w:bCs w:val="0"/>
                <w:sz w:val="16"/>
                <w:szCs w:val="16"/>
                <w:u w:val="none"/>
                <w:bdr w:val="none" w:color="auto" w:sz="0" w:space="0"/>
              </w:rPr>
              <w:t>（</w:t>
            </w:r>
            <w:r>
              <w:rPr>
                <w:rFonts w:hint="eastAsia" w:ascii="微软雅黑" w:hAnsi="微软雅黑" w:eastAsia="微软雅黑" w:cs="微软雅黑"/>
                <w:color w:val="000000"/>
                <w:sz w:val="16"/>
                <w:szCs w:val="16"/>
                <w:u w:val="none"/>
                <w:bdr w:val="none" w:color="auto" w:sz="0" w:space="0"/>
              </w:rPr>
              <w:t>834266）</w:t>
            </w:r>
          </w:p>
        </w:tc>
        <w:tc>
          <w:tcPr>
            <w:tcW w:w="1812"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sz w:val="16"/>
                <w:szCs w:val="16"/>
                <w:u w:val="none"/>
                <w:bdr w:val="none" w:color="auto" w:sz="0" w:space="0"/>
              </w:rPr>
              <w:t>分豆教育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val="0"/>
                <w:bCs w:val="0"/>
                <w:sz w:val="16"/>
                <w:szCs w:val="16"/>
                <w:u w:val="none"/>
                <w:bdr w:val="none" w:color="auto" w:sz="0" w:space="0"/>
              </w:rPr>
              <w:t>（</w:t>
            </w:r>
            <w:r>
              <w:rPr>
                <w:rFonts w:hint="eastAsia" w:ascii="微软雅黑" w:hAnsi="微软雅黑" w:eastAsia="微软雅黑" w:cs="微软雅黑"/>
                <w:color w:val="000000"/>
                <w:sz w:val="16"/>
                <w:szCs w:val="16"/>
                <w:u w:val="none"/>
                <w:bdr w:val="none" w:color="auto" w:sz="0" w:space="0"/>
              </w:rPr>
              <w:t>831850）</w:t>
            </w:r>
          </w:p>
        </w:tc>
        <w:tc>
          <w:tcPr>
            <w:tcW w:w="1728"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sz w:val="16"/>
                <w:szCs w:val="16"/>
                <w:u w:val="none"/>
                <w:bdr w:val="none" w:color="auto" w:sz="0" w:space="0"/>
              </w:rPr>
              <w:t>中教股份</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val="0"/>
                <w:bCs w:val="0"/>
                <w:sz w:val="16"/>
                <w:szCs w:val="16"/>
                <w:u w:val="none"/>
                <w:bdr w:val="none" w:color="auto" w:sz="0" w:space="0"/>
              </w:rPr>
              <w:t>（</w:t>
            </w:r>
            <w:r>
              <w:rPr>
                <w:rFonts w:hint="eastAsia" w:ascii="微软雅黑" w:hAnsi="微软雅黑" w:eastAsia="微软雅黑" w:cs="微软雅黑"/>
                <w:color w:val="000000"/>
                <w:sz w:val="16"/>
                <w:szCs w:val="16"/>
                <w:u w:val="none"/>
                <w:bdr w:val="none" w:color="auto" w:sz="0" w:space="0"/>
              </w:rPr>
              <w:t>430176）</w:t>
            </w:r>
          </w:p>
        </w:tc>
        <w:tc>
          <w:tcPr>
            <w:tcW w:w="1716" w:type="dxa"/>
            <w:tcBorders>
              <w:top w:val="single" w:color="000000" w:sz="4" w:space="0"/>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bCs/>
                <w:sz w:val="16"/>
                <w:szCs w:val="16"/>
                <w:u w:val="none"/>
                <w:bdr w:val="none" w:color="auto" w:sz="0" w:space="0"/>
              </w:rPr>
              <w:t>华图教育</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center"/>
              <w:rPr>
                <w:rFonts w:hint="eastAsia" w:ascii="微软雅黑" w:hAnsi="微软雅黑" w:eastAsia="微软雅黑" w:cs="微软雅黑"/>
                <w:sz w:val="16"/>
                <w:szCs w:val="16"/>
                <w:u w:val="none"/>
              </w:rPr>
            </w:pPr>
            <w:r>
              <w:rPr>
                <w:rFonts w:hint="eastAsia" w:ascii="微软雅黑" w:hAnsi="微软雅黑" w:eastAsia="微软雅黑" w:cs="微软雅黑"/>
                <w:b w:val="0"/>
                <w:bCs w:val="0"/>
                <w:sz w:val="16"/>
                <w:szCs w:val="16"/>
                <w:u w:val="none"/>
                <w:bdr w:val="none" w:color="auto" w:sz="0" w:space="0"/>
              </w:rPr>
              <w:t>（</w:t>
            </w:r>
            <w:r>
              <w:rPr>
                <w:rFonts w:hint="eastAsia" w:ascii="微软雅黑" w:hAnsi="微软雅黑" w:eastAsia="微软雅黑" w:cs="微软雅黑"/>
                <w:color w:val="000000"/>
                <w:sz w:val="16"/>
                <w:szCs w:val="16"/>
                <w:u w:val="none"/>
                <w:bdr w:val="none" w:color="auto" w:sz="0" w:space="0"/>
              </w:rPr>
              <w:t>830858）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66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总资产</w:t>
            </w:r>
          </w:p>
        </w:tc>
        <w:tc>
          <w:tcPr>
            <w:tcW w:w="176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15,126.88</w:t>
            </w:r>
          </w:p>
        </w:tc>
        <w:tc>
          <w:tcPr>
            <w:tcW w:w="175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2,936.56</w:t>
            </w:r>
          </w:p>
        </w:tc>
        <w:tc>
          <w:tcPr>
            <w:tcW w:w="181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21,628.32</w:t>
            </w:r>
          </w:p>
        </w:tc>
        <w:tc>
          <w:tcPr>
            <w:tcW w:w="172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35,680.71</w:t>
            </w:r>
          </w:p>
        </w:tc>
        <w:tc>
          <w:tcPr>
            <w:tcW w:w="171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77,725.99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66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无形资产</w:t>
            </w:r>
          </w:p>
        </w:tc>
        <w:tc>
          <w:tcPr>
            <w:tcW w:w="176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2.83</w:t>
            </w:r>
          </w:p>
        </w:tc>
        <w:tc>
          <w:tcPr>
            <w:tcW w:w="175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3.68</w:t>
            </w:r>
          </w:p>
        </w:tc>
        <w:tc>
          <w:tcPr>
            <w:tcW w:w="181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53.94</w:t>
            </w:r>
          </w:p>
        </w:tc>
        <w:tc>
          <w:tcPr>
            <w:tcW w:w="172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280.53</w:t>
            </w:r>
          </w:p>
        </w:tc>
        <w:tc>
          <w:tcPr>
            <w:tcW w:w="171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792.30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668" w:type="dxa"/>
            <w:tcBorders>
              <w:top w:val="nil"/>
              <w:left w:val="single" w:color="000000" w:sz="4" w:space="0"/>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占比</w:t>
            </w:r>
          </w:p>
        </w:tc>
        <w:tc>
          <w:tcPr>
            <w:tcW w:w="1764"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0.02%</w:t>
            </w:r>
          </w:p>
        </w:tc>
        <w:tc>
          <w:tcPr>
            <w:tcW w:w="175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0.13%</w:t>
            </w:r>
          </w:p>
        </w:tc>
        <w:tc>
          <w:tcPr>
            <w:tcW w:w="1812"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0.25%</w:t>
            </w:r>
          </w:p>
        </w:tc>
        <w:tc>
          <w:tcPr>
            <w:tcW w:w="1728"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0.79%</w:t>
            </w:r>
          </w:p>
        </w:tc>
        <w:tc>
          <w:tcPr>
            <w:tcW w:w="1716" w:type="dxa"/>
            <w:tcBorders>
              <w:top w:val="nil"/>
              <w:left w:val="nil"/>
              <w:bottom w:val="single" w:color="000000" w:sz="4" w:space="0"/>
              <w:right w:val="single" w:color="000000" w:sz="4" w:space="0"/>
            </w:tcBorders>
            <w:shd w:val="clear" w:color="auto" w:fill="FFFFFF"/>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right"/>
              <w:rPr>
                <w:rFonts w:hint="eastAsia" w:ascii="微软雅黑" w:hAnsi="微软雅黑" w:eastAsia="微软雅黑" w:cs="微软雅黑"/>
                <w:sz w:val="16"/>
                <w:szCs w:val="16"/>
                <w:u w:val="none"/>
              </w:rPr>
            </w:pPr>
            <w:r>
              <w:rPr>
                <w:rFonts w:hint="eastAsia" w:ascii="微软雅黑" w:hAnsi="微软雅黑" w:eastAsia="微软雅黑" w:cs="微软雅黑"/>
                <w:color w:val="000000"/>
                <w:sz w:val="16"/>
                <w:szCs w:val="16"/>
                <w:u w:val="none"/>
                <w:bdr w:val="none" w:color="auto" w:sz="0" w:space="0"/>
              </w:rPr>
              <w:t>1.02%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5" w:hRule="atLeast"/>
        </w:trPr>
        <w:tc>
          <w:tcPr>
            <w:tcW w:w="10440" w:type="dxa"/>
            <w:gridSpan w:val="6"/>
            <w:shd w:val="clear" w:color="auto" w:fill="FFFFFF"/>
            <w:vAlign w:val="center"/>
          </w:tcPr>
          <w:p>
            <w:pPr>
              <w:rPr>
                <w:rFonts w:hint="eastAsia" w:ascii="宋体"/>
                <w:sz w:val="24"/>
                <w:szCs w:val="24"/>
                <w:u w:val="none"/>
              </w:rPr>
            </w:pP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2、研发费用的构成情况，研发费用资本化的依据</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2014年研发费为2,475,666.32元，包含教研部门的工资881,447.32元、研发机构房屋租金1,594,219.00元。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2015年研发费为4,241,590.76元，包含研发人员薪酬1,955,216.35元、研发机构房屋租金836,597.32元、委托研发支出465,462.52元等。</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将研发项目分为研究阶段和开发阶段。研究阶段起点为市场调研，终点为项目相关测试修改完成；开发阶段的起点为项目相关测试修改完成后，终点为项目进入商业运营前。报告期内申请人将研发支出全部费用化处理，符合《企业会计准则》的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主办券商、会计师认为，申请人的无形资产情况合理，将测试修改完成前所发生的研发费用全部计入当期管理费用进行费用化处理符合《企业会计准则》的规定。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（八）关于应收账款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审核中关注到，2014年末申请人应收账款余额为0；2015年末应收账款余额为2,978.41万元，较前期大幅增长。据此，要求申请人补充披露：（1）与客户或代理商间的收款政策；（2）2015年末应收账款余额较前期大幅增长的原因。同时，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1、与客户或代理商间的收款政策</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　　申请人2014年无赊销政策，全部收入均为现款销售。2015年与客户或代理商的销售政策变为赊销政策。赊销由商务人员提交申请，经所在部门及财务、法务部门审批后，最终由总经理批准。2015年申请人根据对客户的信用评估，给予部分客户3-12个月不等的信用期间，最迟付款期为2016年12月25日，允许客户分期付款。</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2、2015年末应收账款余额较前期大幅增长的原因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由于2014年全部为现款销售，2015年开始赊销政策。2014年底申请人应收账款余额为0元，截至2015年12月31日，应收账款余额为2,978.41万元。2015年度销售收入比2014年度增加77,554,588.76元，销售收入大幅度增长的同时应收账款也大幅增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主办券商、会计师认为，2015年申请人允许赊销销售，销售收入大幅度增长，造成应收账款大幅度增加。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jc w:val="left"/>
        <w:rPr>
          <w:rFonts w:hint="eastAsia" w:ascii="微软雅黑" w:hAnsi="微软雅黑" w:eastAsia="微软雅黑" w:cs="微软雅黑"/>
          <w:sz w:val="16"/>
          <w:szCs w:val="16"/>
          <w:u w:val="none"/>
        </w:rPr>
      </w:pPr>
      <w:r>
        <w:rPr>
          <w:rFonts w:hint="eastAsia" w:ascii="微软雅黑" w:hAnsi="微软雅黑" w:eastAsia="微软雅黑" w:cs="微软雅黑"/>
          <w:b w:val="0"/>
          <w:bCs w:val="0"/>
          <w:i w:val="0"/>
          <w:iCs w:val="0"/>
          <w:caps w:val="0"/>
          <w:color w:val="000000"/>
          <w:spacing w:val="0"/>
          <w:sz w:val="16"/>
          <w:szCs w:val="16"/>
          <w:u w:val="none"/>
          <w:bdr w:val="none" w:color="auto" w:sz="0" w:space="0"/>
          <w:shd w:val="clear" w:fill="FFFFFF"/>
        </w:rPr>
        <w:t>　　（九）关于采购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审核中关注到，报告期内申请人与各地学校合作，录制、采集在线教育资源，同时也委托外部公司（中和基石）开发在线教育资源的采集工作，相关款项分别计入长期待摊费用和其他非流动资产。而申请人的存货主要是U盘。据此，要求申请人结合其具体的采购模式，补充披露上述会计处理的合理性，分析并说明是否符合《企业会计准则》的规定。同时，请主办券商、会计师核查并发表明确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申请人回复如下：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与各地学校合作，录制、采集的教育资源，计入长期待摊费用，因为相关产品是自主研发软件，其中涉及的教育资源是为现有在售软件产品提供的内容支持，因执行期是1年以上，故在长期待摊费用核算，并按受益期分期摊销至营业成本。</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委托外部公司（中和基石）进行职业教育资源采集服务，该部分资源的采集与学校采集内容不同。申请人与学校合作采集的教学资源属于原始的教学素材，需要派出视频录制人员根据双方协商的内容进行知识点说明解析的录制，并对其进行后期加工编辑形成可做教学用途的视频资料；学校提供当期原始试卷及答案，由教研团队进行碎片式知识点拆分汇总并对答案进行解析。因此，申请人与学校合作完全属于一种初始教学素材的采集权，需对采集的原始素材进行深加工处理才能应用于产品；而委托中和基石采集的教学资源是已经成熟的教学视频、课件等成品资源，不需要深加工，可直接形成可供出售的产品。考虑到该资源尚未形成相关产品，未带来经济利益的流入，且最终形成的资产使用时间在一年以上，申请人将支付给中和基石的职业教育采集款确认为其他非流动资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申请人现有存货U盘为销售推广工作促销品，以领用记录作为存货转出依据并于当期确认销售费用，已于2016年4月领用完毕，现存货期末余额为0元。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主办券商、会计师认为，长期待摊费用和其他非流动资产会计处理符合《企业会计准则》的规定。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rPr>
          <w:rFonts w:hint="eastAsia" w:ascii="微软雅黑" w:hAnsi="微软雅黑" w:eastAsia="微软雅黑" w:cs="微软雅黑"/>
          <w:sz w:val="16"/>
          <w:szCs w:val="16"/>
          <w:u w:val="none"/>
        </w:rPr>
      </w:pPr>
      <w:r>
        <w:rPr>
          <w:rFonts w:hint="eastAsia" w:ascii="微软雅黑" w:hAnsi="微软雅黑" w:eastAsia="微软雅黑" w:cs="微软雅黑"/>
          <w:b/>
          <w:bCs/>
          <w:i w:val="0"/>
          <w:iCs w:val="0"/>
          <w:caps w:val="0"/>
          <w:color w:val="000000"/>
          <w:spacing w:val="0"/>
          <w:sz w:val="16"/>
          <w:szCs w:val="16"/>
          <w:u w:val="none"/>
          <w:bdr w:val="none" w:color="auto" w:sz="0" w:space="0"/>
          <w:shd w:val="clear" w:fill="FFFFFF"/>
        </w:rPr>
        <w:t>　　三、合规性审核意见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40" w:lineRule="atLeast"/>
        <w:ind w:left="0" w:right="0" w:firstLine="420"/>
        <w:rPr>
          <w:rFonts w:hint="eastAsia" w:ascii="微软雅黑" w:hAnsi="微软雅黑" w:eastAsia="微软雅黑" w:cs="微软雅黑"/>
          <w:sz w:val="16"/>
          <w:szCs w:val="16"/>
          <w:u w:val="none"/>
        </w:rPr>
      </w:pP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根据申请人提</w:t>
      </w: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交的申请文件以及对</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反馈意见的回复，我会认为，申请人信息披露基本符合《公司法》、《证券法》、《管理办法》、《非上市公众公司信息披露内容与格式准则第3号——定向发行说明书和发行情况报告书》、《非上市公众公司信息披露内容与格式准则第4号——定向发行申请文件》等法律法规的规定，相</w:t>
      </w: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关中介机构已就本次申请的</w:t>
      </w:r>
      <w:r>
        <w:rPr>
          <w:rFonts w:hint="eastAsia" w:ascii="微软雅黑" w:hAnsi="微软雅黑" w:eastAsia="微软雅黑" w:cs="微软雅黑"/>
          <w:b w:val="0"/>
          <w:bCs w:val="0"/>
          <w:i w:val="0"/>
          <w:iCs w:val="0"/>
          <w:caps w:val="0"/>
          <w:color w:val="333333"/>
          <w:spacing w:val="0"/>
          <w:sz w:val="16"/>
          <w:szCs w:val="16"/>
          <w:u w:val="none"/>
          <w:bdr w:val="none" w:color="auto" w:sz="0" w:space="0"/>
          <w:shd w:val="clear" w:fill="FFFFFF"/>
        </w:rPr>
        <w:t>相关问题依法发</w:t>
      </w:r>
      <w:r>
        <w:rPr>
          <w:rFonts w:hint="eastAsia" w:ascii="微软雅黑" w:hAnsi="微软雅黑" w:eastAsia="微软雅黑" w:cs="微软雅黑"/>
          <w:i w:val="0"/>
          <w:iCs w:val="0"/>
          <w:caps w:val="0"/>
          <w:color w:val="333333"/>
          <w:spacing w:val="0"/>
          <w:sz w:val="16"/>
          <w:szCs w:val="16"/>
          <w:u w:val="none"/>
          <w:bdr w:val="none" w:color="auto" w:sz="0" w:space="0"/>
          <w:shd w:val="clear" w:fill="FFFFFF"/>
        </w:rPr>
        <w:t>表了明</w:t>
      </w:r>
      <w:r>
        <w:rPr>
          <w:rFonts w:hint="eastAsia" w:ascii="微软雅黑" w:hAnsi="微软雅黑" w:eastAsia="微软雅黑" w:cs="微软雅黑"/>
          <w:i w:val="0"/>
          <w:iCs w:val="0"/>
          <w:caps w:val="0"/>
          <w:color w:val="000000"/>
          <w:spacing w:val="0"/>
          <w:sz w:val="16"/>
          <w:szCs w:val="16"/>
          <w:u w:val="none"/>
          <w:bdr w:val="none" w:color="auto" w:sz="0" w:space="0"/>
          <w:shd w:val="clear" w:fill="FFFFFF"/>
        </w:rPr>
        <w:t>确的意见。据此，我会同意分豆教育股份有限公司向特定对象发行股票的申请。</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NkZTYxYTQ2NWNhYzg0Yjk0NmNkZjcyOTY2YmEzMjMifQ=="/>
  </w:docVars>
  <w:rsids>
    <w:rsidRoot w:val="00000000"/>
    <w:rsid w:val="31093D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rPr>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2022-09-05T06:01:28Z</dcterms:created>
  <dc:creator>Lenovo</dc:creator>
  <cp:lastModifiedBy>Lenovo</cp:lastModifiedBy>
  <dcterms:modified xsi:type="dcterms:W3CDTF">2022-09-05T06:01:38Z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2052-11.1.0.12313</vt:lpwstr>
  </property>
  <property fmtid="{D5CDD505-2E9C-101B-9397-08002B2CF9AE}" pid="3" name="ICV">
    <vt:lpwstr>2514CDEBED264F5E86069C5F33860EEA</vt:lpwstr>
  </property>
</Properties>
</file>