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关于湘村高科农业股份有限公司申请向特定对象发行股票的审核意见</w:t>
      </w:r>
      <w:bookmarkStart w:id="1" w:name="_GoBack"/>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湘村高科农业股份有限公司（以下简称申请人），住所地在湖南省娄底市娄星区新星南路1542号，成立于2011年8月3日，2016年2月24日在全国中小企业股份转让系统（以下简称全国股转系统）挂牌公开转让。</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申请人为配合境内资本市场上市的长期战略发展规划，于2017年11月20日摘牌。</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截至股权登记日2018年7月24日，申请人共有股东368人。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法定代表人为杨文莲，控股股东为杨文莲、刘子贤、刘懿靓、娄底市铠源投资有限公司，实际控制人为杨文莲、刘子贤、刘铠铭、刘懿靓（杨文莲与刘子贤系夫妻关系；刘铠铭（男）和刘懿靓（女）分别系杨文莲与刘子贤之子女）。注册资本为13,013万元，总股本为13,013万股，主营业务为湘村黑猪的选育、养殖和销售，冷鲜肉、腊制品的生产及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向特定对象发行股票的行政许可申请于2018年11月13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于2018年11月23日向申请人发出书面反馈。申请人、推荐券商、律师及会计师于2018年12月20日提交了第一次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全国股转公司就本次发行出具了《关于</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湘村高科农业股份有限公司</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股票发行的自律监管情况函》（见附件2），其中确认申请人于2016年2月24日在全国股转系统挂牌，后因准备在A股上市，于2017年8月25日提交了终止挂牌申请（已在辅导期），终止挂牌已经董事会、股东大会审议通过；控股股东、实际控制人承诺以不低于成本价格回购异议股东所持公司股份。在申请人终止挂牌前，全国股转公司曾收到与申请人终止挂牌相关的举报，后举报人与公司就回购事项达成一致，举报事项已办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截至2017年11月20日，未发现申请人在信息披露、公司治理方面存在违法违规问题。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申请人挂牌期间于2016年11月4日、2016年12月29日分别进行过2次股票发行融资，其中，第二次融资存在以下违规变更募集资金用途的问题，具体如下：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该次募集资金用途原本为邵阳猪场年新增出栏10万头湘村黑猪生态养殖扩建工程项目建设。公司在未经内部审议，未进行信息披露的情况下，将7,090.79万元募集资金用于日常经营采购、房屋首付以及装修款。事后已追加董事会及股东大会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除上述事项外，未发现申请人在其他方面存在重大违法违规问题。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申请人挂牌期间，未进行过权益分派。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二、</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（一）关于本次募投项目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10" w:right="0" w:firstLine="279"/>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审核中关注到，申请人</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本次股票发行所募集的资金主要用途包括：湖北大悟县年出栏12万头湘村黑猪生态养殖产业示范园项目、双峰县年出栏18万头湘村黑猪生态养殖产业示范园项目以及营销体系与品牌推广建设项目。</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要求申请人补充披露：（1）前述募投项目的具体情况，是否取得项目实施的相关批复、许可等，包括但不限于环保、土地使用等方面；（2）募投项目截至目前的实施进度。要求推荐券商及律师核查并发表意见。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10" w:right="0" w:firstLine="279"/>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（1）大悟县年出栏12万头湘村黑猪生态养殖产业示范园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项目选址情况：本项目建设地点位于湖北省孝感市大悟县芳畈镇大塘村和赵河村。申请人已于2018年8月12日与大悟县芳畈镇大塘村民委员会签署了《农村土地承包经营权转包合同》，取得了大塘村303.67亩土地使用权，期限为30年；取得了赵河村463.16亩土地使用权，期限为30年。上述租赁合同均已经大悟县芳畈镇人民政府鉴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项目备案情况：2018年9月10日，申请人取得了大悟县发展和改革局出具的《湖北省固定资产投资项目备案证》（项目代码2018-420922-03-03-060771）。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项目环评情况：该项目的环评批复正在办理中。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实施进度：该项目已取得相关发改部门的备案，取得对应的土地使用权，环评批复正在办理中。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（2）双峰县年出栏18万头湘村黑猪生态养殖产业示范园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项目选址情况：本项目建设地点位于湖南省娄底市双峰县印塘乡岳家村、丰华村和金鸡坳村。申请人已于2017年3月13日分别与岳家村、丰华村、金鸡坳村村民委员会签署了《农村土地流转转包合同》，取得了岳家村321.84亩土地使用权、丰华村127.8亩土地使用权和金鸡坳村15.51亩土地使用权，期限均为30年。上述租赁合同已经双峰县印塘乡人民政府鉴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项目备案情况：2017年2月14日，申请人取得了湖南省双峰县发展和改革局出具的《关于湘村高科农业股份有限公司年出栏18万头湘村黑猪生态养殖园项目备案的通知》（双发改行审【2017】9号）。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2017年3月21日，双峰县印塘乡人民政府同意对《设施农用地备案申请表》（备案号：201701号）予以备案，项目用地规模465.15亩，用途为养殖业。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2017年4月11日，双峰县农业局同意对《设施农用地备案申请表》（备案号：201701号）予以备案，项目用地规模465.15亩，用途为养殖业。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2017年4月28日，双峰县国土资源局同意对《设施农用地备案申请表》（备案号：201701号）予以备案，项目用地规模465.15亩，用途为养殖业。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项目环评情况：2017年7月21日，申请人取得了双峰县环境保护局出具的《关于双峰县年出栏18万头湘村黑猪生态养殖园项目环境影响报告书的批复》（双环评【2017】12号）。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实施进度：该项目已取得相关发改部门的备案和环保部门的环评批复，取得对应的土地使用权，该项目尚未开工建设。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（3）营销体系与品牌推广建设项目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项目选址情况:申请人将根据营销体系与品牌推广建设的实际需要进行选择。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项目备案情况:2017年3月27日，申请人取得了娄底市发展和改革委员会出具的《关于湘村高科农业股份有限公司营销体系建设与品牌推广项目备案的证明》（项目代码2017-431302-52-03-003789）。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该项目无需办理环评批复。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实施进度:该项目已取得相关发改部门的备案，尚未投资建设。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　推荐券商和律师认为，申请人募投项目的具体情况和实施进度符合实际情况，并已在定向发行说明书中补充披露相应内容。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（二）关于非上市公众公司信息披露义务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3"/>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申请人股票曾在全国股转系统挂牌公开转让，股东人数超过200人。属于非上市公众公司，应当按照《公众公司办法》履行信息披露义务。要求申请人补充披露：（1）摘牌后股份的登记、托管情况；（2）摘牌后是否已按照《公众公司办法》的相关要求持续履行信息披露义务。要求推荐券商及律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公司股票自2017年11月20日起在全国中小企业股份转让系统终止挂牌。摘牌后，股份在中国证券登记结算有限公司北京分公司登记、托管。申请人在公司官网上持续履行信息披露义务，符合《非上市公众公司监督管理办法》的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2018年10月30日，申请人召开2018年第三次临时股东大会，审议通过了《关于修订公司章程的议案》，修订后的《湘村高科农业股份有限公司章程》第178条规定“（七）在公司网站上披露公司定期报告及其他公司信息，方便投资者综合查讯公司信息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摘牌后，申请人的重大事项已经在其官网上进行信息披露，包括2017年年度报告、2018年半年度报告、股东大会决议、董事会决议及其他重大信息等，符合《非上市公众公司监督管理办法》等相关规则的要求。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推荐券商及律师认为，申请人摘牌后于公司官网上持续履行信息披露义务，符合《非上市公众公司监督管理办法》的相关要求。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（三）关于疫病防控风险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要求申请人补充披露采取的疫病防控措施，说明疫病防控措施是否足以有效保障公司正常生产经营及产品质量，如有必要请做重大事项提示。要求推荐券商核查并发表明确意见。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1、针对生猪养殖过程常见疾病，申请人分别采取了以下预防措施：</w:t>
      </w:r>
    </w:p>
    <w:tbl>
      <w:tblPr>
        <w:tblW w:w="9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64"/>
        <w:gridCol w:w="709"/>
        <w:gridCol w:w="1959"/>
        <w:gridCol w:w="2293"/>
        <w:gridCol w:w="3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64"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类别</w:t>
            </w:r>
          </w:p>
        </w:tc>
        <w:tc>
          <w:tcPr>
            <w:tcW w:w="709"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名称</w:t>
            </w:r>
          </w:p>
        </w:tc>
        <w:tc>
          <w:tcPr>
            <w:tcW w:w="1959"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流行特点</w:t>
            </w:r>
          </w:p>
        </w:tc>
        <w:tc>
          <w:tcPr>
            <w:tcW w:w="2293"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主要临床症状及危害</w:t>
            </w:r>
          </w:p>
        </w:tc>
        <w:tc>
          <w:tcPr>
            <w:tcW w:w="3725"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公司采取的预防和监控措施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06" w:hRule="atLeast"/>
          <w:jc w:val="center"/>
        </w:trPr>
        <w:tc>
          <w:tcPr>
            <w:tcW w:w="664" w:type="dxa"/>
            <w:vMerge w:val="restart"/>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病毒类疾病</w:t>
            </w:r>
          </w:p>
        </w:tc>
        <w:tc>
          <w:tcPr>
            <w:tcW w:w="7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猪瘟</w:t>
            </w:r>
          </w:p>
        </w:tc>
        <w:tc>
          <w:tcPr>
            <w:tcW w:w="19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各类猪均易感染。四季均可发生。病猪是主要传染源。</w:t>
            </w:r>
          </w:p>
        </w:tc>
        <w:tc>
          <w:tcPr>
            <w:tcW w:w="229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病猪精神差、发热，体温在40-42℃之间，食欲减退或废绝，有的呕吐。CSFV可通过胎盘感染胎儿，可导致流产和死胎。</w:t>
            </w:r>
          </w:p>
        </w:tc>
        <w:tc>
          <w:tcPr>
            <w:tcW w:w="372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1、从疫苗源头质控入手，保证疫苗品质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2、定期监测猪瘟抗体水平，不断修正免疫程序。重点监测后备和产前母猪猪瘟抗体，主动淘汰抗体异常猪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3、做好生物安全工作，避免野毒感染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4、日常防疫检查，及时预警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5、对病猪及时隔离治疗，病死猪无害化处理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64"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7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疫</w:t>
            </w:r>
          </w:p>
        </w:tc>
        <w:tc>
          <w:tcPr>
            <w:tcW w:w="19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易通过空气传播，传染性强，流行迅速，多发生于春季及秋冬季节。</w:t>
            </w:r>
          </w:p>
        </w:tc>
        <w:tc>
          <w:tcPr>
            <w:tcW w:w="229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以发热、口腔黏膜及蹄部和乳房皮肤发生水泡和溃烂为特征。</w:t>
            </w:r>
          </w:p>
        </w:tc>
        <w:tc>
          <w:tcPr>
            <w:tcW w:w="372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1、从疫苗源头质控入手，保证疫苗品质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2、定期监测口蹄疫抗体水平，不断修正免疫程序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3、做好生物安全工作，避免野毒感染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4、日常防疫检查，及时预警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5、发现疫情及时上报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64"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7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病</w:t>
            </w:r>
          </w:p>
        </w:tc>
        <w:tc>
          <w:tcPr>
            <w:tcW w:w="19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各类猪均可染病，以妊娠母猪和1月龄左右仔猪最易感。主要接触感染、空气传播和精液传播，也可通过胎盘垂直传播。</w:t>
            </w:r>
          </w:p>
        </w:tc>
        <w:tc>
          <w:tcPr>
            <w:tcW w:w="229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妊娠后期母猪易发生流产、早产、死胎、木乃伊胎、弱仔。1月龄仔猪呼吸困难，食欲减退或废绝，体温升高到40℃以上，腹泻，猪群免疫功能下降。</w:t>
            </w:r>
          </w:p>
        </w:tc>
        <w:tc>
          <w:tcPr>
            <w:tcW w:w="372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1、做好隔离消毒等生物安全工作，避免外界野毒感染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2、做好后备母猪驯化工作，保证母猪群PRRS稳定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3、做好平时饲养管理工作，减少应激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4、全进全出，一对一转栏，避免混群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5、对病猪及时隔离治疗，病死猪无害化处理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64"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7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病</w:t>
            </w:r>
          </w:p>
        </w:tc>
        <w:tc>
          <w:tcPr>
            <w:tcW w:w="19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母猪垂直传播、通过空气等媒介传播。</w:t>
            </w:r>
          </w:p>
        </w:tc>
        <w:tc>
          <w:tcPr>
            <w:tcW w:w="229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哺乳仔猪最为敏感，体温升高、拉稀等，死亡率较高。育肥猪体温升高，呼吸困难，一般不发生死亡。妊娠母猪易发生流产、弱胎和死胎。</w:t>
            </w:r>
          </w:p>
        </w:tc>
        <w:tc>
          <w:tcPr>
            <w:tcW w:w="372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1、从疫苗源头质控入手，保证疫苗品质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2、定期监测抗体水平，不断修正猪瘟免疫程序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3、日常防疫检查，及时预警，保证执行到位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4、重点做好后备和产前母猪，抗体检测工作，严把进出口关，主动淘汰抗体异常猪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64"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7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猪乙型脑炎</w:t>
            </w:r>
          </w:p>
        </w:tc>
        <w:tc>
          <w:tcPr>
            <w:tcW w:w="19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主要通过蚊的叮咬进行传播</w:t>
            </w:r>
          </w:p>
        </w:tc>
        <w:tc>
          <w:tcPr>
            <w:tcW w:w="229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体温升高至40～41℃，呈稽留热。精神沉郁，食欲减少，饮欲增加。妊娠母猪患病时，常突然发生流产，产死胎。公猪发病后表现为睾丸炎，高热后一侧或两侧睾丸肿胀、阴囊发热</w:t>
            </w:r>
          </w:p>
        </w:tc>
        <w:tc>
          <w:tcPr>
            <w:tcW w:w="372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1、控制传染源及传播媒介。做好灭蚊、防蚊工作，切断传播途径，减少疫病发生；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2、种猪在每年的3 月底和9 月初对猪群各接种一次乙脑弱毒疫苗进行预防；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3、后备种猪在配种前一个月免疫两次；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4、种猪引进前血清学检测，且在隔离观察期间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进行基础免疫。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64"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7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猪传染性胃肠炎</w:t>
            </w:r>
          </w:p>
        </w:tc>
        <w:tc>
          <w:tcPr>
            <w:tcW w:w="19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有明显的季节性，多见于冬季和初春。主要经消化道传播。</w:t>
            </w:r>
          </w:p>
        </w:tc>
        <w:tc>
          <w:tcPr>
            <w:tcW w:w="229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仔猪呕吐、腹泻。肥育猪症状较轻，表现减食，腹泻、消瘦，有时呕吐。哺乳母猪泌乳减少，一般经3-7天恢复，很少死亡。</w:t>
            </w:r>
          </w:p>
        </w:tc>
        <w:tc>
          <w:tcPr>
            <w:tcW w:w="372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1、从疫苗源头质控入手,保证疫苗品质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2、做好母猪群的免疫工作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3、做好生物安全工作，避免野毒感染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4、加强饲养管理，保证猪舍卫生和环境温度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5、对病猪及时隔离治疗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64"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7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猪流行性腹泻</w:t>
            </w:r>
          </w:p>
        </w:tc>
        <w:tc>
          <w:tcPr>
            <w:tcW w:w="19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哺乳猪、保育猪或肥育猪的发病率很高。多发生于寒冷季节。主要感染途径是消化道。</w:t>
            </w:r>
          </w:p>
        </w:tc>
        <w:tc>
          <w:tcPr>
            <w:tcW w:w="229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水样腹泻，或者在腹泻之间有呕吐。与猪传染性胃肠炎无显著差别，但病死率比猪传染性胃肠炎稍低，在猪群中传播的速度也较缓慢些。</w:t>
            </w:r>
          </w:p>
        </w:tc>
        <w:tc>
          <w:tcPr>
            <w:tcW w:w="372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1、从疫苗源头质控入手，保证疫苗品质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2、做好母猪群的免疫工作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3、做好生物安全工作，避免野毒感染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4、加强饲养管理，保证猪舍卫生和环境温度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5、对病猪及时隔离治疗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64"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7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猪圆环病病毒</w:t>
            </w:r>
          </w:p>
        </w:tc>
        <w:tc>
          <w:tcPr>
            <w:tcW w:w="19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最常见于6～8周龄猪。</w:t>
            </w:r>
          </w:p>
        </w:tc>
        <w:tc>
          <w:tcPr>
            <w:tcW w:w="229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渐进性消瘦或生长迟缓。</w:t>
            </w:r>
          </w:p>
        </w:tc>
        <w:tc>
          <w:tcPr>
            <w:tcW w:w="372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1、做好圆环病毒疫苗免疫工作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2、做好生物安全工作，避免野毒感染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6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细菌类疾病</w:t>
            </w:r>
          </w:p>
        </w:tc>
        <w:tc>
          <w:tcPr>
            <w:tcW w:w="7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猪大肠杆菌病</w:t>
            </w:r>
          </w:p>
        </w:tc>
        <w:tc>
          <w:tcPr>
            <w:tcW w:w="19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猪自出生至断奶期间易发生。</w:t>
            </w:r>
          </w:p>
        </w:tc>
        <w:tc>
          <w:tcPr>
            <w:tcW w:w="229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主要表现为腹泻，严重时出现脱水、代谢性酸中毒及死亡。</w:t>
            </w:r>
          </w:p>
        </w:tc>
        <w:tc>
          <w:tcPr>
            <w:tcW w:w="372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1、加强饲养管理工作，注意通风保暖，避免冷热应激，定期药物保健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2、做好饲料过渡工作，减少应激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3、做好日常卫生消毒管理工作，减少环境中病原量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4、对病猪及时隔离治疗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6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支原体 </w:t>
            </w:r>
          </w:p>
        </w:tc>
        <w:tc>
          <w:tcPr>
            <w:tcW w:w="7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猪肺炎支原体</w:t>
            </w:r>
          </w:p>
        </w:tc>
        <w:tc>
          <w:tcPr>
            <w:tcW w:w="195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最早可能发生于2～3周龄(地方品种有9日龄的)的仔猪，但一般传播缓慢，在6～10周龄感染较普遍，许多猪直到3～6月龄 时才出现明显症状。</w:t>
            </w:r>
          </w:p>
        </w:tc>
        <w:tc>
          <w:tcPr>
            <w:tcW w:w="229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猪流感继发猪支原体肺炎，病猪初期主要症状为咳嗽，体温升高到40℃~42.5℃，精神沉郁，食欲减退或废绝，趴窝不愿站立，眼鼻有粘性液体流出，眼结膜充血，个别病猪呼吸困难、喘气、咳嗽、呈腹式呼吸、有犬坐姿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372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1、从疫苗源头质控入手，保证疫苗品质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2、加强饲养管理工作，注意通风保暖，避免冷热应激，定期药物保健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3、做好日常卫生消毒管理工作，减少环境中病原量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4、对病猪及时隔离治疗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664"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寄生虫类</w:t>
            </w:r>
          </w:p>
        </w:tc>
        <w:tc>
          <w:tcPr>
            <w:tcW w:w="709"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弓形虫</w:t>
            </w:r>
          </w:p>
        </w:tc>
        <w:tc>
          <w:tcPr>
            <w:tcW w:w="1959"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被弓形虫感染的猫和鼠类是猪感染的主要来源。</w:t>
            </w:r>
          </w:p>
        </w:tc>
        <w:tc>
          <w:tcPr>
            <w:tcW w:w="229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怀孕母猪感染可引起胎儿发育不全、死亡或弱子或流产，中大猪感染可引起发烧、咳喘、耳朵及腹下发紫、死亡等。</w:t>
            </w:r>
          </w:p>
        </w:tc>
        <w:tc>
          <w:tcPr>
            <w:tcW w:w="3725"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1、定期灭鼠，严禁猫狗等小动物入养殖场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2、源头控制，避免饲料、饮水质量污染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3、定期投喂保健药物，避免感染</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2、疫病防治措施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申请人根据生猪疫病流行特点、生猪生长特性以及生猪生产流程，从猪场选址、防疫制度、舍内小环境控制、生猪饲养和疫病预防等多个方面出发，建立了较为完善有效的疫病防控系统。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39"/>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（1）科学的猪场选址和场区布局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申请人各养殖基地严格按照防疫条件的要求进行选址，以减少接触外部传染源，同时结合生猪健康环境需要，适当选择地势高、干燥、通风条件好的位置。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将养殖场内部划分为生活区、生产区、隔离区，各区间执行严格分开运行的管理制度；生产区内又按不同饲养类型猪群划分为几个生产小区；各栋舍之间保持安全合理的间距，并设置绿化带进行隔离；有效地防止了疾病在不同猪群间的传播。此外，申请人还建立了严格消毒、防疫设施及制度，严控人员车辆物品等流动，防范外部疫病的侵入。从而形成了场内与场外、生活区与生产区、生产小区与生产小区间的相互隔离，有效地降低了疫病发生的可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39"/>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（2）完善的防疫体系和严格的防疫制度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4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①严格的消毒措施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为从根源上阻断病原微生物的物理传播，申请人制定了《出入制度》《卫生消毒管理制度》等制度，并对猪场内人员流动路线、车流动路线、猪群转群路线执行严格的消毒防疫措施。申请人成立了重大疫情防控小组，统一领导本公司重大疫情防控工作，防止重大疫情的爆发和扩散。通过以上措施，申请人报告期内未发生过重大疫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4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②完善的生猪疫病防治措施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建立了完善的疫病防控制度，包括《免疫接种制度》《动物防疫制度》《养殖场用药管理制度》《疫情报告制度》《无害化处理制度》《养殖档案管理制度》等一系列制度。这些制度的建立和实施，保证了申请人能够有效地应对疫情和有序进行地进行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39"/>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（3）先进的猪舍设计和舍内小气候环境控制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猪舍是为生猪营造适宜环境、预防疫病促进健康成长的重要保障。申请人拥有现代化的猪舍和内环境调控设施，保证舍内清洁卫生、冬暖夏凉、无积水、采光好，可有效防止疫病的发生和传播。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猪舍设施自动化程度较高，配备有智能型种母猪饲喂系统、自动喂料系统等，能够进行人性化饲管理和高效率投喂作业。特别是申请人针对妊娠期母猪专门配备了电子饲喂站，通过智能化饲喂能做到单独、精准的饲喂，在保证母猪合理营养水平的同时，母猪进入和挣脱电子饲喂牢笼，得到充分的运动，增强了母猪体质，降低胎死比率；此外，申请人各猪舍配备的水帘降温系统、自动通风、猪舍地暖等环境调控装，能够调节、营造适合各阶段生猪生长的舍内环境。针对温度、湿度等影响生猪健康的诱因，可通过一系列舍内设备进行多方面的有效调控，为生猪提供了较佳生长环境，从而保障了生猪健康，降低了疫病发生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39"/>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（4）先进的饲养及防疫技术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4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①六阶段饲养，五次转群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根据生猪的良种繁育体系、疫病防治体系以及“分阶段、流程化”养殖的要求，设计了“六阶段饲养五次转群生产流程”，将生产过程划分为基础母猪配种、仔猪、保育猪、小猪、中大猪、后备母猪共6道工序，每完成一道工序进行一次转群，共需5次转群。不同批次猪群始终处于批次隔离和相对洁净的环境中，阻断了疾病在不同批次猪群间的传播。申请人合理的饲养流程有效地防止了疫病的发生，确保了申请人生猪的健康生长和猪肉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4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②防疫技术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2"/>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申请人的全资子公司湖南湘村黑猪动物保健品有限公司专门从事于畜禽、水产动物可饲喂中草药保健品的研究与开发、加工、生产以及动物添加剂预混合饲料研发、加工、生产。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将中医“治未病”理念运用于生猪养殖，在长期技术研发与经验积累中，形成了一套因症制宜、因气候制宜的保健防疫养殖技术。动物中草药保健品的应用一方面可以改善猪肉肉质；另一方面在周边地区疫情流行、气候环境出现较大变化和猪只亚健康症状时，添加喂养相应中草药方剂，可以在中短期内调节、增强猪的免疫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3、关于非洲猪瘟疫情的应对措施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截至定向发行说明书签署日，申请人养殖基地尚未发现非洲猪瘟的疫情发生，但为了加强猪场非洲猪瘟防疫体系的建设，申请人实施了一系列措施应对该次疫情，具体如下：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2018年8月10，为了进一步加强猪场非洲猪瘟防疫体系建设，严格执行各项生物安全管理制度，申请人下发了《关于成立非洲猪瘟防疫领导小组的通知》，成立了非洲猪瘟防疫领导小组。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2018年8月20日，为了加强防疫意识，减少防疫漏洞，确保生产稳定提升，申请人下发了《关于应对国内新疫情进一步加强防疫工作的通知》，即日起开始进行封场生产。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2018年8月22日，为了严格贯彻落实非洲猪瘟防疫工作，申请人下发了《湘村股份养殖基地应对非洲猪瘟防控方案》，明确了非洲猪瘟防控方案，包括培训学习安排，门卫、后勤、人员、车辆管理，以及消毒、驱虫措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申请人已在《定向发行说明书》“重大事项提示”补充披露了动物疫病爆发的风险。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推荐券商认为，申请人疫病防控措施能够有效保障公司正常的生产经营及产品质量。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（四）关于营业收入、毛利率及净利润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审核中关注到，申请人2016年营业收入</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较2015年增长了24.26%，2017年营业收入较2016年增长了15.17%。报告期内毛</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利率分别为34.60%、36.51%、38.65%，归属于挂牌公司股东的净利润分别为10,200.95万元、10,886.33万元、2,674.01万元。要求申请人：（1）结合营业收入构成、行业发展、公司竞争优势等补充披露收入增长的原因分析，说明收入增长的合理性；（2）补充披露毛利率逐年上升的原因以及毛利率与同行业可比公司的对比分析；（3）最近一期净利润较上年同期大幅下降的原因。要求推荐券商和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1、收入增长的合理性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2015年度、2016年度、2017年度和2018年1-6月，申请人的营业收入总体情况如下表所示：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单位：万元，%</w:t>
      </w:r>
    </w:p>
    <w:tbl>
      <w:tblPr>
        <w:tblW w:w="9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9"/>
        <w:gridCol w:w="1088"/>
        <w:gridCol w:w="819"/>
        <w:gridCol w:w="1088"/>
        <w:gridCol w:w="819"/>
        <w:gridCol w:w="790"/>
        <w:gridCol w:w="1088"/>
        <w:gridCol w:w="819"/>
        <w:gridCol w:w="708"/>
        <w:gridCol w:w="1088"/>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978" w:type="dxa"/>
            <w:vMerge w:val="restart"/>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项目</w:t>
            </w:r>
          </w:p>
        </w:tc>
        <w:tc>
          <w:tcPr>
            <w:tcW w:w="1794" w:type="dxa"/>
            <w:gridSpan w:val="2"/>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2018年1-6月</w:t>
            </w:r>
          </w:p>
        </w:tc>
        <w:tc>
          <w:tcPr>
            <w:tcW w:w="2555" w:type="dxa"/>
            <w:gridSpan w:val="3"/>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2017年度</w:t>
            </w:r>
          </w:p>
        </w:tc>
        <w:tc>
          <w:tcPr>
            <w:tcW w:w="2464" w:type="dxa"/>
            <w:gridSpan w:val="3"/>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2016年度</w:t>
            </w:r>
          </w:p>
        </w:tc>
        <w:tc>
          <w:tcPr>
            <w:tcW w:w="1794" w:type="dxa"/>
            <w:gridSpan w:val="2"/>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978" w:type="dxa"/>
            <w:vMerge w:val="continue"/>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金额</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比例</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金额</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比例</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增长率</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金额</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比例</w:t>
            </w:r>
          </w:p>
        </w:tc>
        <w:tc>
          <w:tcPr>
            <w:tcW w:w="67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增长率</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金额</w:t>
            </w:r>
          </w:p>
        </w:tc>
        <w:tc>
          <w:tcPr>
            <w:tcW w:w="761"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97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主营业务</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28,750.91</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100.00</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61,953.06</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100.00</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15.17</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53,794.74</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100.00</w:t>
            </w:r>
          </w:p>
        </w:tc>
        <w:tc>
          <w:tcPr>
            <w:tcW w:w="67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32.03</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40,745.19</w:t>
            </w:r>
          </w:p>
        </w:tc>
        <w:tc>
          <w:tcPr>
            <w:tcW w:w="761"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w:t>
            </w:r>
            <w:r>
              <w:rPr>
                <w:rFonts w:hint="eastAsia" w:ascii="微软雅黑" w:hAnsi="微软雅黑" w:eastAsia="微软雅黑" w:cs="微软雅黑"/>
                <w:i w:val="0"/>
                <w:iCs w:val="0"/>
                <w:caps w:val="0"/>
                <w:color w:val="333333"/>
                <w:spacing w:val="0"/>
                <w:sz w:val="19"/>
                <w:szCs w:val="19"/>
                <w:u w:val="none"/>
                <w:bdr w:val="none" w:color="auto" w:sz="0" w:space="0"/>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97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商品猪</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6,093.74</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21.19</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21,002.63</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33.90</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-0.44</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21,095.62</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39.22</w:t>
            </w:r>
          </w:p>
        </w:tc>
        <w:tc>
          <w:tcPr>
            <w:tcW w:w="67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-1.26</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21,363.88</w:t>
            </w:r>
          </w:p>
        </w:tc>
        <w:tc>
          <w:tcPr>
            <w:tcW w:w="761"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97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冷鲜肉</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20,648.19</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71.82</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37,965.25</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61.28</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31.13</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28,952.89</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53.82</w:t>
            </w:r>
          </w:p>
        </w:tc>
        <w:tc>
          <w:tcPr>
            <w:tcW w:w="67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70.95</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16,936.57</w:t>
            </w:r>
          </w:p>
        </w:tc>
        <w:tc>
          <w:tcPr>
            <w:tcW w:w="761"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97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加工品及其他</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2,008.98</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6.99</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2,985.18</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4.82</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-20.32</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3,746.23</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6.96</w:t>
            </w:r>
          </w:p>
        </w:tc>
        <w:tc>
          <w:tcPr>
            <w:tcW w:w="67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53.24</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2,444.74</w:t>
            </w:r>
          </w:p>
        </w:tc>
        <w:tc>
          <w:tcPr>
            <w:tcW w:w="761"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97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其他业务</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7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67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03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761"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978"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合计</w:t>
            </w:r>
          </w:p>
        </w:tc>
        <w:tc>
          <w:tcPr>
            <w:tcW w:w="103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28,750.91</w:t>
            </w:r>
          </w:p>
        </w:tc>
        <w:tc>
          <w:tcPr>
            <w:tcW w:w="761"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100.00</w:t>
            </w:r>
          </w:p>
        </w:tc>
        <w:tc>
          <w:tcPr>
            <w:tcW w:w="103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61,953.06</w:t>
            </w:r>
          </w:p>
        </w:tc>
        <w:tc>
          <w:tcPr>
            <w:tcW w:w="761"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100.00</w:t>
            </w:r>
          </w:p>
        </w:tc>
        <w:tc>
          <w:tcPr>
            <w:tcW w:w="761"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15.17</w:t>
            </w:r>
          </w:p>
        </w:tc>
        <w:tc>
          <w:tcPr>
            <w:tcW w:w="103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53,794.74</w:t>
            </w:r>
          </w:p>
        </w:tc>
        <w:tc>
          <w:tcPr>
            <w:tcW w:w="761"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100.00</w:t>
            </w:r>
          </w:p>
        </w:tc>
        <w:tc>
          <w:tcPr>
            <w:tcW w:w="67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32.03</w:t>
            </w:r>
          </w:p>
        </w:tc>
        <w:tc>
          <w:tcPr>
            <w:tcW w:w="103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40,745.19</w:t>
            </w:r>
          </w:p>
        </w:tc>
        <w:tc>
          <w:tcPr>
            <w:tcW w:w="761"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w:t>
            </w:r>
            <w:r>
              <w:rPr>
                <w:rFonts w:hint="eastAsia" w:ascii="微软雅黑" w:hAnsi="微软雅黑" w:eastAsia="微软雅黑" w:cs="微软雅黑"/>
                <w:i w:val="0"/>
                <w:iCs w:val="0"/>
                <w:caps w:val="0"/>
                <w:color w:val="333333"/>
                <w:spacing w:val="0"/>
                <w:sz w:val="19"/>
                <w:szCs w:val="19"/>
                <w:u w:val="none"/>
                <w:bdr w:val="none" w:color="auto" w:sz="0" w:space="0"/>
              </w:rPr>
              <w:t>.00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申请人营业收入持续增长的具体原因分析如下：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（1）营业收入构成方面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①积极主动调整业务战略方向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报告期内，申请人逐渐调整为以冷鲜肉销售为主的收入结构，从业务类别上看，主营业务增长主要来自冷鲜肉业务的增长。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2015年度、2016年度、2017年度和2018年1-6月，冷鲜肉的销售收入分别为16,936.57万元、28,952.89万元、37,965.25万元、20,648.19万元，分别占当期主营业务收入的比例为41.57%、53.82%、61.28%和71.82%，冷鲜肉销售额及占营业收入的比重均呈现逐年上升的趋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2016年度，申请人冷鲜肉的销售收入为28,952.89万元，较2015年增长70.95%，2017年冷鲜肉的销售收入为37,965.25万元，较2016年增长31.13%。报告期内，申请人冷鲜肉的单位平均售价相对比较稳定，销售收入的增长主要来自销量的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冷鲜肉为肉食类消费品，主要通过商超和生鲜电商销售，辅以批发团购、餐饮直销和自营电商等渠道模式。报告期内，随着业务范围的不断拓展，申请人业务已经重点覆盖了北京、上海、广州、深圳、武汉、长沙等核心城市，辐射长三角、珠三角、环渤海、华中地区等中国经济较为发达的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2015年末，申请人线下网点数量为102个，2016年末、2017年末和2018年6月末，线下网点分别增加至198个、363个和533个，增长速度较快，有效地扩大了冷鲜肉销售市场。随着申请人产品市场认可度不断提高，伴随申请人持续增强的生猪供货能力，以及冷鲜肉加工、配送设施的日益完善，申请人冷鲜肉销售规模有望进一步扩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②加强与优质稳定客户群体的合作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凭借高品质的产品，申请人不仅赢得了客户的信任，扩大了业务规模，更使得与客户之间建立了更加紧密的长期互信合作关系，同时申请人品牌知名度也日益提升，有利于市场的开拓。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2017年以来，申请人与盒马鲜生等新零售渠道商展开战略合作，同时还与主要生鲜电商企业进行合作，如京东生鲜、每日优鲜、本来生活等，合作关系日益稳固。除了积极开拓新零售、电商渠道，申请人还与长期合作客户如永辉超市、山姆会员店、麦德龙、欧尚、大润发、华润等高端渠道加强合作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申请人通过生鲜零售和高端商超渠道进行销售，提升消费者认知度和高端品质品牌形象。随着线下网点数量的增多，销售规模也随之增长。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（2）行业发展方面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我国特色品种猪肉细分市场需求量持续增加。申请人的主营业务为湘村黑猪系列产品，符合特色品种猪肉细分市场的发展需求。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我国是猪肉消费大国，猪肉菜品及各类猪肉制品更是中国人餐桌上必不可少的美食。随着人们健康意识的不断增强以及对肉质口感的不断追求，目前国内猪肉消费市场正逐步向多元化和精品化迈进。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近年来，猪肉行业品牌竞争日益显现，能够为消费者提供更好地产品品质和消费体验的企业，更能获得客户的忠诚度和品牌溢价。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此外，2017年生鲜电商快速发展，出现了以盒马鲜生、每日优鲜、本来生活等为代表的生鲜零售新模式、新业态。生鲜电商的大规模兴起，客观上改变了消费者的生鲜消费习惯，消费者原来购买散装白条肉，而现在越来越倾向于质量和安全更有保障的冷鲜肉，从而推动了生猪肉品的产品化、品牌化、标准化，扩大了销售渠道，有效的刺激了品牌猪肉的消费。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（3）竞争优势方面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①先进的核心技术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申请人自成立以来，一直致力于湘村黑猪的选育、成果转换及湘村黑猪系列产品的市场开发，积累了丰富的技术经验，形成独特的、可持续的技术优势。申请人积累的核心技术保证了申请人在特色品种黑猪市场的竞争优势和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在育种方面，申请人拥有熟练掌握生猪育种技术的专业人才，同时与国内高等院校展开合作，积极探索分子育种技术。湘村黑猪于2012年8月31日获得国家畜禽遗传资源委员会新品种证书，并被国家农业部于2013-2016年连续四年作为主导品种向全国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在猪舍及舍内设备设计方面，申请人猪舍研发设计能力较强，在猪舍及相关设施的设计方面获得了多项专利，如在新型猪舍设计方面已取得2项专利，在猪舍保暖、取暖、通风等调控舍内气候小环境的设施设备方面已取得6项专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在生猪饲养方面，申请人设计了适应湘村黑猪体质的饲料配方，并形成了较为完整的技术体系，目前申请人已在自动饲喂、拌料等方面取得了6项专利。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②现代化的生产基地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已建成投产四个现代化生态养殖基地，分别为小碧养殖基地、茶园养殖基地、邵阳养殖基地（含一期、二期）以及北京怀柔养殖基地，正在进行邵阳养殖基地三期工程。申请人的各个养殖基地均经过了科学地设计与布局，采用了现代化的低耗、节能等环保设备和舍内环境控制（如水帘降温、隧道式通风、地热取暖）等现代化设备。能够满足规模化、机械标准化的现代养殖需求，实现了为生猪提供洁净、舒适健康的生长环境和减少工人劳动量提高效率的双重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上述基地全部建成投产后，申请人自有湘村黑猪产能将达33万头。同时，申请人已规划建设娄底双峰、湖北大悟2个大型养殖基地，设计产能达30万头。目前，申请人的养殖规模在国内特色猪养殖企业中名列前茅。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③完整的产业链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为积极迎合市场需求以及行业的发展趋势，申请人逐步形成了从自用饲料加工和湘村黑猪育种，到湘村黑猪养殖与销售，再到湘村黑猪冷鲜肉销售和猪肉深加工产品的生产与销售的“育、养、加、销”一体化产业链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较为完整的产业链保证了各个生产经营环节均处于可控的范围之内，有效保障了产品的质量和品质。同时，自用饲料加工、生猪养殖、冷鲜肉生产、猪肉深加工产业的紧密结合，提高了申请人对生产成本的把控能力，并促进资源在申请人内部得到合理优化配置，从而提高生产效率。此外，完整的产业链结构还可以增强对市场的适应能力，使其可以快速调整产业结构，积极地应对可能出现的行业变化和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（4）生产能力方面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报告期内，申请人为满足不断增长的市场需求，建设打造生态环保的湘村黑猪养殖基地。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随着申请人邵阳养殖基地（含一期、二期）、北京养殖基地陆续投产，申请人产能逐渐提高。报告期内，申请人自有养殖基地商品猪出栏量分别为8.21万头、10.53万头和5.42万头，呈现上升趋势，表明申请人生产能力不断增强。养殖基地的建设能够提高自养湘村黑猪的能力，保证湘村黑猪产品的质量与安全，从而保证业务收入的持续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2、毛利率上升分析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（1）毛利率逐年上升的原因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报告期内，申请人主营业务毛利率及毛利率贡献情况如下表所示：</w:t>
      </w:r>
    </w:p>
    <w:tbl>
      <w:tblPr>
        <w:tblW w:w="89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33"/>
        <w:gridCol w:w="877"/>
        <w:gridCol w:w="892"/>
        <w:gridCol w:w="877"/>
        <w:gridCol w:w="877"/>
        <w:gridCol w:w="877"/>
        <w:gridCol w:w="877"/>
        <w:gridCol w:w="877"/>
        <w:gridCol w:w="877"/>
        <w:gridCol w:w="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34" w:type="dxa"/>
            <w:vMerge w:val="restart"/>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项目</w:t>
            </w:r>
          </w:p>
        </w:tc>
        <w:tc>
          <w:tcPr>
            <w:tcW w:w="2623" w:type="dxa"/>
            <w:gridSpan w:val="3"/>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2018年1-6月</w:t>
            </w:r>
          </w:p>
        </w:tc>
        <w:tc>
          <w:tcPr>
            <w:tcW w:w="2592" w:type="dxa"/>
            <w:gridSpan w:val="3"/>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2017年度</w:t>
            </w:r>
          </w:p>
        </w:tc>
        <w:tc>
          <w:tcPr>
            <w:tcW w:w="2592" w:type="dxa"/>
            <w:gridSpan w:val="3"/>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34" w:type="dxa"/>
            <w:vMerge w:val="continue"/>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收入占比</w:t>
            </w:r>
          </w:p>
        </w:tc>
        <w:tc>
          <w:tcPr>
            <w:tcW w:w="89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毛利率</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毛利率贡献</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收入占比</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毛利率</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毛利率贡献</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收入占比</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毛利率</w:t>
            </w:r>
          </w:p>
        </w:tc>
        <w:tc>
          <w:tcPr>
            <w:tcW w:w="864"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毛利率贡献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商品猪</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21.19%</w:t>
            </w:r>
          </w:p>
        </w:tc>
        <w:tc>
          <w:tcPr>
            <w:tcW w:w="89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20.25%</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4.29%</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33.90%</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25.11%</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8.51%</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39.22%</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24.34%</w:t>
            </w:r>
          </w:p>
        </w:tc>
        <w:tc>
          <w:tcPr>
            <w:tcW w:w="864"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冷鲜肉</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71.82%</w:t>
            </w:r>
          </w:p>
        </w:tc>
        <w:tc>
          <w:tcPr>
            <w:tcW w:w="89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47.89%</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34.39%</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61.28%</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45.50%</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27.89%</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53.82%</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46.01%</w:t>
            </w:r>
          </w:p>
        </w:tc>
        <w:tc>
          <w:tcPr>
            <w:tcW w:w="864"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加工品及其他</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6.99%</w:t>
            </w:r>
          </w:p>
        </w:tc>
        <w:tc>
          <w:tcPr>
            <w:tcW w:w="89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-0.51%</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-0.04%</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4.82%</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2.31%</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0.11%</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6.96%</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4.20%</w:t>
            </w:r>
          </w:p>
        </w:tc>
        <w:tc>
          <w:tcPr>
            <w:tcW w:w="864"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主营业务毛利率</w:t>
            </w:r>
          </w:p>
        </w:tc>
        <w:tc>
          <w:tcPr>
            <w:tcW w:w="2623" w:type="dxa"/>
            <w:gridSpan w:val="3"/>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38.65%</w:t>
            </w:r>
          </w:p>
        </w:tc>
        <w:tc>
          <w:tcPr>
            <w:tcW w:w="2592" w:type="dxa"/>
            <w:gridSpan w:val="3"/>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36.51%</w:t>
            </w:r>
          </w:p>
        </w:tc>
        <w:tc>
          <w:tcPr>
            <w:tcW w:w="2592" w:type="dxa"/>
            <w:gridSpan w:val="3"/>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34.60%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报告期内，申请人主营业务毛利率分别为34.60%、36.51%和38.65%，其中商品猪的毛利率贡献仅为9.54%、8.51%和4.29%，冷鲜肉的毛利率贡献分别为24.76%、27.89%和34.39%，加工品及其他的毛利率贡献分别为0.29%、0.11%和-0.04%。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由此可见，主营业务毛利率增长主要来自于高毛利的冷鲜肉业务。报告期内，冷鲜肉毛利率相对比较稳定，分别为46.01%、45.50%和47.89%。申请人凭借优质的产品质量以及产品生产能力的提升，同时加大市场开拓力度，冷鲜肉业务收入占比增幅明显，2018年1-6月冷鲜肉业务收入已达到主营收入的71.82%，由于高毛利率的冷鲜肉业务快速增长导致综合毛利率逐年上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（2）毛利率与同行业可比公司的对比分析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报告期内，申请人主营业务毛利率与同行业可比上市公司主营业务毛利率的对比情况如下：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384" w:lineRule="atLeast"/>
        <w:ind w:left="0" w:right="0" w:firstLine="422"/>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10"/>
        <w:gridCol w:w="2204"/>
        <w:gridCol w:w="2204"/>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910"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项目</w:t>
            </w:r>
          </w:p>
        </w:tc>
        <w:tc>
          <w:tcPr>
            <w:tcW w:w="2204"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2018年1-6月</w:t>
            </w:r>
          </w:p>
        </w:tc>
        <w:tc>
          <w:tcPr>
            <w:tcW w:w="2204"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2017年度</w:t>
            </w:r>
          </w:p>
        </w:tc>
        <w:tc>
          <w:tcPr>
            <w:tcW w:w="2204"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191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华统股份</w:t>
            </w:r>
          </w:p>
        </w:tc>
        <w:tc>
          <w:tcPr>
            <w:tcW w:w="220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5.42</w:t>
            </w:r>
          </w:p>
        </w:tc>
        <w:tc>
          <w:tcPr>
            <w:tcW w:w="220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4.82</w:t>
            </w:r>
          </w:p>
        </w:tc>
        <w:tc>
          <w:tcPr>
            <w:tcW w:w="22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91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龙大肉食</w:t>
            </w:r>
          </w:p>
        </w:tc>
        <w:tc>
          <w:tcPr>
            <w:tcW w:w="220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7.51</w:t>
            </w:r>
          </w:p>
        </w:tc>
        <w:tc>
          <w:tcPr>
            <w:tcW w:w="220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7.55</w:t>
            </w:r>
          </w:p>
        </w:tc>
        <w:tc>
          <w:tcPr>
            <w:tcW w:w="22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191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得利斯</w:t>
            </w:r>
          </w:p>
        </w:tc>
        <w:tc>
          <w:tcPr>
            <w:tcW w:w="220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10.55</w:t>
            </w:r>
          </w:p>
        </w:tc>
        <w:tc>
          <w:tcPr>
            <w:tcW w:w="220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11.80</w:t>
            </w:r>
          </w:p>
        </w:tc>
        <w:tc>
          <w:tcPr>
            <w:tcW w:w="22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91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平均值</w:t>
            </w:r>
          </w:p>
        </w:tc>
        <w:tc>
          <w:tcPr>
            <w:tcW w:w="220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7.83</w:t>
            </w:r>
          </w:p>
        </w:tc>
        <w:tc>
          <w:tcPr>
            <w:tcW w:w="220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8.06</w:t>
            </w:r>
          </w:p>
        </w:tc>
        <w:tc>
          <w:tcPr>
            <w:tcW w:w="2204"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910"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申请人</w:t>
            </w:r>
          </w:p>
        </w:tc>
        <w:tc>
          <w:tcPr>
            <w:tcW w:w="2204"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38.65</w:t>
            </w:r>
          </w:p>
        </w:tc>
        <w:tc>
          <w:tcPr>
            <w:tcW w:w="2204"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36.51</w:t>
            </w:r>
          </w:p>
        </w:tc>
        <w:tc>
          <w:tcPr>
            <w:tcW w:w="2204"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34.60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48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注：以上数据来源于上市公司公开披露信息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从上表可知，同行业可比公司平均主营业务毛利率相对较低，申请人主营业务毛利率远高于可比公司平均水平。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特色品种猪肉作为相对中高端品牌猪肉的代表，其市场处于快速发展阶段。目前国内从事特色品种猪肉生产和销售的企业数量和规模相对比较有限，知名的特色品种猪肉品牌相对较少，且尚无主营特色品种猪的企业上市或挂牌，难以获取公开数据。前文选取的华统股份、龙大肉食、得利斯主营业务均为白猪肉系列产品及其他产品的生产及销售，与申请人产品区别较大，不具备可比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综合毛利率相对较高，主要原因是：一方面，湘村黑猪所属的特色品种猪肉类产品销售价格普遍高于普通白猪肉类产品，价格优势较为明显，且价格稳定性较高，受市场猪肉行情价格波动的影响较小，特色品种猪肉类产品主要消费群体为对价格不太敏感或者追求高品质肉类的消费者，随着人们对特色猪肉认可度的提高，申请人湘村黑猪销售价格有望继续保持合理高价实现长期发展；另一方面，虽然申请人单位养殖成本高于普通类白猪，但与其他特色品种猪相比，申请人仍有一定的比较优势，主要是因为申请人生产经营包括育种、养殖、销售及肉制品加工等多个环节，能够有效控制单位成本，且养殖已经实现规模化，在相对丰富的养殖经验加持下，有利于进一步降低生产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3、最近一期净利润较上年同期大幅下降的原因分析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2017年1-6月、2018年1-6月，申请人主要利润表科目情况如下：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单位：万元、%</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331"/>
        <w:gridCol w:w="1613"/>
        <w:gridCol w:w="1466"/>
        <w:gridCol w:w="1613"/>
        <w:gridCol w:w="1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2331"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项目</w:t>
            </w:r>
          </w:p>
        </w:tc>
        <w:tc>
          <w:tcPr>
            <w:tcW w:w="1613"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2018年1-6月</w:t>
            </w:r>
          </w:p>
        </w:tc>
        <w:tc>
          <w:tcPr>
            <w:tcW w:w="1466"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占营业收入比例</w:t>
            </w:r>
          </w:p>
        </w:tc>
        <w:tc>
          <w:tcPr>
            <w:tcW w:w="1613"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2017年1-6月</w:t>
            </w:r>
          </w:p>
        </w:tc>
        <w:tc>
          <w:tcPr>
            <w:tcW w:w="1499"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占营业收入比例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33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营业收入</w:t>
            </w: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61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28,750.91</w:t>
            </w:r>
          </w:p>
        </w:tc>
        <w:tc>
          <w:tcPr>
            <w:tcW w:w="146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61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28,911.44</w:t>
            </w:r>
          </w:p>
        </w:tc>
        <w:tc>
          <w:tcPr>
            <w:tcW w:w="149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33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营业成本</w:t>
            </w:r>
          </w:p>
        </w:tc>
        <w:tc>
          <w:tcPr>
            <w:tcW w:w="161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460" w:right="0" w:hanging="46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17,638.69</w:t>
            </w:r>
          </w:p>
        </w:tc>
        <w:tc>
          <w:tcPr>
            <w:tcW w:w="146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61.35</w:t>
            </w:r>
          </w:p>
        </w:tc>
        <w:tc>
          <w:tcPr>
            <w:tcW w:w="161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16,469.94</w:t>
            </w:r>
          </w:p>
        </w:tc>
        <w:tc>
          <w:tcPr>
            <w:tcW w:w="149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33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销售费用</w:t>
            </w:r>
          </w:p>
        </w:tc>
        <w:tc>
          <w:tcPr>
            <w:tcW w:w="161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3,954.27</w:t>
            </w:r>
          </w:p>
        </w:tc>
        <w:tc>
          <w:tcPr>
            <w:tcW w:w="146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13.75</w:t>
            </w:r>
          </w:p>
        </w:tc>
        <w:tc>
          <w:tcPr>
            <w:tcW w:w="161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2,337.72</w:t>
            </w:r>
          </w:p>
        </w:tc>
        <w:tc>
          <w:tcPr>
            <w:tcW w:w="149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33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管理费用</w:t>
            </w:r>
          </w:p>
        </w:tc>
        <w:tc>
          <w:tcPr>
            <w:tcW w:w="161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2,332.82</w:t>
            </w:r>
          </w:p>
        </w:tc>
        <w:tc>
          <w:tcPr>
            <w:tcW w:w="146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8.11</w:t>
            </w:r>
          </w:p>
        </w:tc>
        <w:tc>
          <w:tcPr>
            <w:tcW w:w="161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2,098.84</w:t>
            </w:r>
          </w:p>
        </w:tc>
        <w:tc>
          <w:tcPr>
            <w:tcW w:w="149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33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财务费用</w:t>
            </w:r>
          </w:p>
        </w:tc>
        <w:tc>
          <w:tcPr>
            <w:tcW w:w="161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1,356.02</w:t>
            </w:r>
          </w:p>
        </w:tc>
        <w:tc>
          <w:tcPr>
            <w:tcW w:w="146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4.72</w:t>
            </w:r>
          </w:p>
        </w:tc>
        <w:tc>
          <w:tcPr>
            <w:tcW w:w="161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375.57</w:t>
            </w:r>
          </w:p>
        </w:tc>
        <w:tc>
          <w:tcPr>
            <w:tcW w:w="149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33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净利润</w:t>
            </w:r>
          </w:p>
        </w:tc>
        <w:tc>
          <w:tcPr>
            <w:tcW w:w="161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2,681.42</w:t>
            </w:r>
          </w:p>
        </w:tc>
        <w:tc>
          <w:tcPr>
            <w:tcW w:w="146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9.33</w:t>
            </w:r>
          </w:p>
        </w:tc>
        <w:tc>
          <w:tcPr>
            <w:tcW w:w="161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7,046.54</w:t>
            </w:r>
          </w:p>
        </w:tc>
        <w:tc>
          <w:tcPr>
            <w:tcW w:w="149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2331"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归属于母公司股东的净利润</w:t>
            </w:r>
          </w:p>
        </w:tc>
        <w:tc>
          <w:tcPr>
            <w:tcW w:w="161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2,674.01</w:t>
            </w:r>
          </w:p>
        </w:tc>
        <w:tc>
          <w:tcPr>
            <w:tcW w:w="146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9.30</w:t>
            </w:r>
          </w:p>
        </w:tc>
        <w:tc>
          <w:tcPr>
            <w:tcW w:w="161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7,035.20</w:t>
            </w:r>
          </w:p>
        </w:tc>
        <w:tc>
          <w:tcPr>
            <w:tcW w:w="1499"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24.33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2018年1-6月，归属于母公司股东的净利润为2,674.01万元，相比上年同期下降较多，主要是由于该期销售费用和财务费用上升较多所致。销售费用占营业收入的比例从2017年1-6月的8.09%上升到2018年1-6月的13.75%，财务费用占营业收入的比例从1.30%上升到4.72%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（1）销售费用变动分析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报告期内，申请人的销售费用主要由销售人员工资薪酬、商超扣点、加工间费用、物料消耗费、运杂费和广告促销费等构成，其中增长较多的为工资薪酬和商超扣点。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工资薪酬增加的主要原因系，销售人员数量的增加导致人员工资、社保、福利等支出增加。2017年6月，申销售人员为386名；截至2018年6月，销售人员为852名，增幅达31.28%。一方面，随着申请人业务对应的商超门店数量的增加，导致终端销售人员、运营、配送、加工等各个环节的人员同步增加，以满足销售业务的增长；另一方面，市场区域不断扩大，报告期内申请人新成立了上海子公司、西安市场分部、成都市场分部，新增了上海、西安、成都等冷链配送中心，人员数量均有大幅增长，以满足销售的需要，为未来的市场扩张和增长提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商超扣点，即申请人通过商超渠道销售冷鲜肉，商超根据销售情况收取的费用。报告期内商超扣点费用增加，主要原因系2018年申请人进一步加强了与商超客户的合作，冷鲜肉销量大幅增加，从而销售扣点费用支出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（2）财务费用变动分析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2017年1-6月，申请人财务费用中利息支出为623.38万元，占当期营业收入的比例为2.16%；2018年1-6月，财务费用中利息支出增加较多，为2,160.89万元，占当期营业收入的比例为7.52%，较上年同期的占比增加了5.36个百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2018年1-6月，利息支出费用增加较多，主要原因为融资租赁业务的增加，导致融资租赁利息支出增加，当期新增融资租赁规模1.35亿元。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推荐券商和会计师认为，申请人报告期内营业收入及毛利率的增长、净利润的波动在重大方面符合申请人的实际情况，具有合理性。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（五）关于应收账款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审核中关注到，申请人2017年应收账款余额较2016年增长129.12%。要求申请人结合客户、信用政策、销售模式等情况补充披露应收账款大幅增加的原因，说明坏账准备计提是否充分。要求推荐券商及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1、2017年应收账款余额较2016年大幅增加的原因: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2016年末和2017年末，申请人应收账款余额分别为7,352.39万元和16,845.54万元，2017年末应收账款余额较2016年末增加了9,493.06万元，增长129.12%，主要原因如下：第一，申请人销售规模持续扩大。随着营业收入的大幅增加，应收账款也相应提升，申请人2017年度实现营业收入61,953.06万元，较上年同期的53,794.74万元增加8,158.31万元，增长15.17%。第二，申请人对客户结构进行了战略调整。一方面，申请人法人批发商客户应收账款增加，为了提升合作对象的质量及合规性，申请人在2017年逐步降低了与个人批发商的交易，同时加强与大型批发企业的合作，使得报告期内个人批发商数量和交易额大幅下降，例如2016年度前五大批发商有3名是个人批发商，而2017年前五大批发商均为法人批发商,申请人对法人批发商采取了较个人批发商相对宽松的收款政策，因而导致应收账款余额快速增长。另一方面，申请人商超渠道的销售收入与应收账款稳步增长，在不断加强与存量商超如山姆沃尔玛、北京永辉、湖南家润多等客户合作的同时，申请人仍在持续积极拓展商超渠道；报告期内，申请人新零售、互联网电商合作渠道拓展效果明显，申请人已与盒马鲜生、每日优鲜、本来生活、京东生鲜等展开了合作。第三，报告期内信用政策相对比较稳定。在相对稳定的信用政策下，随着业务规模的扩大，应收账款余额随之增加。针对批发商客户，申请人一般给予45至60天的信用期；商超客户信用期一般为30至90天；电商和零售的账期，主要配合对方市场惯例，一般信用期为30-45天。整体而言，申请人的信用政策与市场惯例并无重大差异。第四，报告期内销售模式并未发生重大变化。受到行业销售回款规律、客户结算情况等影响，申请人应收账余额属于行业正常水平。根据产品类型的不同，申请人销售主要分为冷鲜肉、商品猪和加工肉制品等，其中2017年度申请人对商品猪客户进行了调整。在生猪销售市场，自然人批发商灵活性较高，但其规范性和稳定性较差，申请人为了保障销售质量和业务的稳定发展，主动调整了业务结构，目前商品猪销售以法人客户为主。报告期内，申请人商品猪销售以赊销为主，因客户回款能力较有保证，给予的信用期相对较长，因此导致该部分客户的应收账款余额上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2、申请人与同行业可比公司各类账龄组合的坏账准备计提比例对比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申请人与同行业可比公司各类账龄组合的坏账准备计提比例对比如下： </w:t>
      </w:r>
    </w:p>
    <w:tbl>
      <w:tblPr>
        <w:tblW w:w="8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71"/>
        <w:gridCol w:w="1157"/>
        <w:gridCol w:w="1163"/>
        <w:gridCol w:w="1159"/>
        <w:gridCol w:w="1159"/>
        <w:gridCol w:w="1159"/>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jc w:val="center"/>
        </w:trPr>
        <w:tc>
          <w:tcPr>
            <w:tcW w:w="1471" w:type="dxa"/>
            <w:tcBorders>
              <w:top w:val="single" w:color="auto" w:sz="8" w:space="0"/>
              <w:left w:val="single" w:color="auto" w:sz="8"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可比公司</w:t>
            </w:r>
          </w:p>
        </w:tc>
        <w:tc>
          <w:tcPr>
            <w:tcW w:w="1157" w:type="dxa"/>
            <w:tcBorders>
              <w:top w:val="single" w:color="auto" w:sz="8"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163" w:type="dxa"/>
            <w:tcBorders>
              <w:top w:val="single" w:color="auto" w:sz="8"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1-2年</w:t>
            </w:r>
          </w:p>
        </w:tc>
        <w:tc>
          <w:tcPr>
            <w:tcW w:w="1159" w:type="dxa"/>
            <w:tcBorders>
              <w:top w:val="single" w:color="auto" w:sz="8"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2-3年</w:t>
            </w:r>
          </w:p>
        </w:tc>
        <w:tc>
          <w:tcPr>
            <w:tcW w:w="1159" w:type="dxa"/>
            <w:tcBorders>
              <w:top w:val="single" w:color="auto" w:sz="8"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3-4年</w:t>
            </w:r>
          </w:p>
        </w:tc>
        <w:tc>
          <w:tcPr>
            <w:tcW w:w="1159" w:type="dxa"/>
            <w:tcBorders>
              <w:top w:val="single" w:color="auto" w:sz="8"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4-5年</w:t>
            </w:r>
          </w:p>
        </w:tc>
        <w:tc>
          <w:tcPr>
            <w:tcW w:w="1156" w:type="dxa"/>
            <w:tcBorders>
              <w:top w:val="single" w:color="auto" w:sz="8" w:space="0"/>
              <w:left w:val="single" w:color="auto" w:sz="4" w:space="0"/>
              <w:bottom w:val="single" w:color="auto" w:sz="4" w:space="0"/>
              <w:right w:val="single" w:color="auto" w:sz="8"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471" w:type="dxa"/>
            <w:tcBorders>
              <w:top w:val="single" w:color="auto" w:sz="4" w:space="0"/>
              <w:left w:val="single" w:color="auto" w:sz="8"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温氏股份</w:t>
            </w:r>
          </w:p>
        </w:tc>
        <w:tc>
          <w:tcPr>
            <w:tcW w:w="1157"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w:t>
            </w:r>
          </w:p>
        </w:tc>
        <w:tc>
          <w:tcPr>
            <w:tcW w:w="1163"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w:t>
            </w:r>
          </w:p>
        </w:tc>
        <w:tc>
          <w:tcPr>
            <w:tcW w:w="1159"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30%</w:t>
            </w:r>
          </w:p>
        </w:tc>
        <w:tc>
          <w:tcPr>
            <w:tcW w:w="1159"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50%</w:t>
            </w:r>
          </w:p>
        </w:tc>
        <w:tc>
          <w:tcPr>
            <w:tcW w:w="1159"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80%</w:t>
            </w:r>
          </w:p>
        </w:tc>
        <w:tc>
          <w:tcPr>
            <w:tcW w:w="1156" w:type="dxa"/>
            <w:tcBorders>
              <w:top w:val="single" w:color="auto" w:sz="4" w:space="0"/>
              <w:left w:val="single" w:color="auto" w:sz="4" w:space="0"/>
              <w:bottom w:val="single" w:color="auto" w:sz="4" w:space="0"/>
              <w:right w:val="single" w:color="auto" w:sz="8"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471" w:type="dxa"/>
            <w:tcBorders>
              <w:top w:val="single" w:color="auto" w:sz="4" w:space="0"/>
              <w:left w:val="single" w:color="auto" w:sz="8"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安佑生物</w:t>
            </w:r>
          </w:p>
        </w:tc>
        <w:tc>
          <w:tcPr>
            <w:tcW w:w="1157"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w:t>
            </w:r>
          </w:p>
        </w:tc>
        <w:tc>
          <w:tcPr>
            <w:tcW w:w="1163"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w:t>
            </w:r>
          </w:p>
        </w:tc>
        <w:tc>
          <w:tcPr>
            <w:tcW w:w="1159"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30%</w:t>
            </w:r>
          </w:p>
        </w:tc>
        <w:tc>
          <w:tcPr>
            <w:tcW w:w="1159"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60%</w:t>
            </w:r>
          </w:p>
        </w:tc>
        <w:tc>
          <w:tcPr>
            <w:tcW w:w="1159"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80%</w:t>
            </w:r>
          </w:p>
        </w:tc>
        <w:tc>
          <w:tcPr>
            <w:tcW w:w="1156" w:type="dxa"/>
            <w:tcBorders>
              <w:top w:val="single" w:color="auto" w:sz="4" w:space="0"/>
              <w:left w:val="single" w:color="auto" w:sz="4" w:space="0"/>
              <w:bottom w:val="single" w:color="auto" w:sz="4" w:space="0"/>
              <w:right w:val="single" w:color="auto" w:sz="8"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471" w:type="dxa"/>
            <w:tcBorders>
              <w:top w:val="single" w:color="auto" w:sz="4" w:space="0"/>
              <w:left w:val="single" w:color="auto" w:sz="8"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新五丰</w:t>
            </w:r>
          </w:p>
        </w:tc>
        <w:tc>
          <w:tcPr>
            <w:tcW w:w="1157"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w:t>
            </w:r>
          </w:p>
        </w:tc>
        <w:tc>
          <w:tcPr>
            <w:tcW w:w="1163"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w:t>
            </w:r>
          </w:p>
        </w:tc>
        <w:tc>
          <w:tcPr>
            <w:tcW w:w="1159"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w:t>
            </w:r>
          </w:p>
        </w:tc>
        <w:tc>
          <w:tcPr>
            <w:tcW w:w="1159"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30%</w:t>
            </w:r>
          </w:p>
        </w:tc>
        <w:tc>
          <w:tcPr>
            <w:tcW w:w="1159"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40%</w:t>
            </w:r>
          </w:p>
        </w:tc>
        <w:tc>
          <w:tcPr>
            <w:tcW w:w="1156" w:type="dxa"/>
            <w:tcBorders>
              <w:top w:val="single" w:color="auto" w:sz="4" w:space="0"/>
              <w:left w:val="single" w:color="auto" w:sz="4" w:space="0"/>
              <w:bottom w:val="single" w:color="auto" w:sz="4" w:space="0"/>
              <w:right w:val="single" w:color="auto" w:sz="8"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471" w:type="dxa"/>
            <w:tcBorders>
              <w:top w:val="single" w:color="auto" w:sz="4" w:space="0"/>
              <w:left w:val="single" w:color="auto" w:sz="8"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雏鹰股份</w:t>
            </w:r>
          </w:p>
        </w:tc>
        <w:tc>
          <w:tcPr>
            <w:tcW w:w="1157"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w:t>
            </w:r>
          </w:p>
        </w:tc>
        <w:tc>
          <w:tcPr>
            <w:tcW w:w="1163"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w:t>
            </w:r>
          </w:p>
        </w:tc>
        <w:tc>
          <w:tcPr>
            <w:tcW w:w="1159"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w:t>
            </w:r>
          </w:p>
        </w:tc>
        <w:tc>
          <w:tcPr>
            <w:tcW w:w="3474" w:type="dxa"/>
            <w:gridSpan w:val="3"/>
            <w:tcBorders>
              <w:top w:val="single" w:color="auto" w:sz="4" w:space="0"/>
              <w:left w:val="single" w:color="auto" w:sz="4" w:space="0"/>
              <w:bottom w:val="single" w:color="auto" w:sz="4" w:space="0"/>
              <w:right w:val="single" w:color="auto" w:sz="8"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3年以上50%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1471" w:type="dxa"/>
            <w:tcBorders>
              <w:top w:val="single" w:color="auto" w:sz="4" w:space="0"/>
              <w:left w:val="single" w:color="auto" w:sz="8"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牧原股份</w:t>
            </w:r>
          </w:p>
        </w:tc>
        <w:tc>
          <w:tcPr>
            <w:tcW w:w="1157"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w:t>
            </w:r>
          </w:p>
        </w:tc>
        <w:tc>
          <w:tcPr>
            <w:tcW w:w="1163"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20%</w:t>
            </w:r>
          </w:p>
        </w:tc>
        <w:tc>
          <w:tcPr>
            <w:tcW w:w="1159" w:type="dxa"/>
            <w:tcBorders>
              <w:top w:val="single" w:color="auto" w:sz="4" w:space="0"/>
              <w:left w:val="single" w:color="auto" w:sz="4" w:space="0"/>
              <w:bottom w:val="single" w:color="auto" w:sz="4"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50%</w:t>
            </w:r>
          </w:p>
        </w:tc>
        <w:tc>
          <w:tcPr>
            <w:tcW w:w="3474" w:type="dxa"/>
            <w:gridSpan w:val="3"/>
            <w:tcBorders>
              <w:top w:val="single" w:color="auto" w:sz="4" w:space="0"/>
              <w:left w:val="single" w:color="auto" w:sz="4" w:space="0"/>
              <w:bottom w:val="single" w:color="auto" w:sz="4" w:space="0"/>
              <w:right w:val="single" w:color="auto" w:sz="8"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3年以上100%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8" w:hRule="atLeast"/>
          <w:jc w:val="center"/>
        </w:trPr>
        <w:tc>
          <w:tcPr>
            <w:tcW w:w="1471" w:type="dxa"/>
            <w:tcBorders>
              <w:top w:val="single" w:color="auto" w:sz="4" w:space="0"/>
              <w:left w:val="single" w:color="auto" w:sz="8" w:space="0"/>
              <w:bottom w:val="single" w:color="auto" w:sz="8"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申请人</w:t>
            </w:r>
          </w:p>
        </w:tc>
        <w:tc>
          <w:tcPr>
            <w:tcW w:w="1157" w:type="dxa"/>
            <w:tcBorders>
              <w:top w:val="single" w:color="auto" w:sz="4" w:space="0"/>
              <w:left w:val="single" w:color="auto" w:sz="4" w:space="0"/>
              <w:bottom w:val="single" w:color="auto" w:sz="8"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w:t>
            </w:r>
          </w:p>
        </w:tc>
        <w:tc>
          <w:tcPr>
            <w:tcW w:w="1163" w:type="dxa"/>
            <w:tcBorders>
              <w:top w:val="single" w:color="auto" w:sz="4" w:space="0"/>
              <w:left w:val="single" w:color="auto" w:sz="4" w:space="0"/>
              <w:bottom w:val="single" w:color="auto" w:sz="8"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w:t>
            </w:r>
          </w:p>
        </w:tc>
        <w:tc>
          <w:tcPr>
            <w:tcW w:w="1159" w:type="dxa"/>
            <w:tcBorders>
              <w:top w:val="single" w:color="auto" w:sz="4" w:space="0"/>
              <w:left w:val="single" w:color="auto" w:sz="4" w:space="0"/>
              <w:bottom w:val="single" w:color="auto" w:sz="8"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30%</w:t>
            </w:r>
          </w:p>
        </w:tc>
        <w:tc>
          <w:tcPr>
            <w:tcW w:w="1159" w:type="dxa"/>
            <w:tcBorders>
              <w:top w:val="single" w:color="auto" w:sz="4" w:space="0"/>
              <w:left w:val="single" w:color="auto" w:sz="4" w:space="0"/>
              <w:bottom w:val="single" w:color="auto" w:sz="8"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50%</w:t>
            </w:r>
          </w:p>
        </w:tc>
        <w:tc>
          <w:tcPr>
            <w:tcW w:w="1159" w:type="dxa"/>
            <w:tcBorders>
              <w:top w:val="single" w:color="auto" w:sz="4" w:space="0"/>
              <w:left w:val="single" w:color="auto" w:sz="4" w:space="0"/>
              <w:bottom w:val="single" w:color="auto" w:sz="8" w:space="0"/>
              <w:right w:val="single" w:color="auto" w:sz="4"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80%</w:t>
            </w:r>
          </w:p>
        </w:tc>
        <w:tc>
          <w:tcPr>
            <w:tcW w:w="1156" w:type="dxa"/>
            <w:tcBorders>
              <w:top w:val="single" w:color="auto" w:sz="4" w:space="0"/>
              <w:left w:val="single" w:color="auto" w:sz="4" w:space="0"/>
              <w:bottom w:val="single" w:color="auto" w:sz="8" w:space="0"/>
              <w:right w:val="single" w:color="auto" w:sz="8" w:space="0"/>
            </w:tcBorders>
            <w:shd w:val="clear" w:color="auto" w:fill="FFFFFF"/>
            <w:tcMar>
              <w:left w:w="6"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申请人根据实际经营情况、不同渠道客户的合作与历史回款情况，将应收账款账龄作为信用风险特征组合的具体划分依据，坏账准备计提政策及计提比例与可比公司相比并无重大差异。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申请人2017年末及2016年末应收账款账龄及坏账准备计提情况如下：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应收账款分类情况如下：</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28"/>
        <w:gridCol w:w="1731"/>
        <w:gridCol w:w="819"/>
        <w:gridCol w:w="1473"/>
        <w:gridCol w:w="819"/>
        <w:gridCol w:w="1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033" w:type="dxa"/>
            <w:vMerge w:val="restart"/>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类别</w:t>
            </w:r>
          </w:p>
        </w:tc>
        <w:tc>
          <w:tcPr>
            <w:tcW w:w="6489" w:type="dxa"/>
            <w:gridSpan w:val="5"/>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033"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548"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2289"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坏账准备</w:t>
            </w:r>
          </w:p>
        </w:tc>
        <w:tc>
          <w:tcPr>
            <w:tcW w:w="1652" w:type="dxa"/>
            <w:vMerge w:val="restart"/>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033"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7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金额</w:t>
            </w:r>
          </w:p>
        </w:tc>
        <w:tc>
          <w:tcPr>
            <w:tcW w:w="8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比例(%)</w:t>
            </w:r>
          </w:p>
        </w:tc>
        <w:tc>
          <w:tcPr>
            <w:tcW w:w="14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金额</w:t>
            </w:r>
          </w:p>
        </w:tc>
        <w:tc>
          <w:tcPr>
            <w:tcW w:w="8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计提比例(%)</w:t>
            </w:r>
          </w:p>
        </w:tc>
        <w:tc>
          <w:tcPr>
            <w:tcW w:w="1652" w:type="dxa"/>
            <w:vMerge w:val="continue"/>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5" w:hRule="atLeast"/>
        </w:trPr>
        <w:tc>
          <w:tcPr>
            <w:tcW w:w="203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单项金额重大并单独计提坏账准备的应收账款</w:t>
            </w:r>
          </w:p>
        </w:tc>
        <w:tc>
          <w:tcPr>
            <w:tcW w:w="17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8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14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8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16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5" w:hRule="atLeast"/>
        </w:trPr>
        <w:tc>
          <w:tcPr>
            <w:tcW w:w="203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按组合计提坏账准备的应收账款：</w:t>
            </w:r>
          </w:p>
        </w:tc>
        <w:tc>
          <w:tcPr>
            <w:tcW w:w="17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167,833,773.55</w:t>
            </w:r>
          </w:p>
        </w:tc>
        <w:tc>
          <w:tcPr>
            <w:tcW w:w="8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99.63</w:t>
            </w:r>
          </w:p>
        </w:tc>
        <w:tc>
          <w:tcPr>
            <w:tcW w:w="14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8,471,127.07</w:t>
            </w:r>
          </w:p>
        </w:tc>
        <w:tc>
          <w:tcPr>
            <w:tcW w:w="8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6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159,362,646.48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03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其中：账龄组合</w:t>
            </w:r>
          </w:p>
        </w:tc>
        <w:tc>
          <w:tcPr>
            <w:tcW w:w="17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167,833,773.55</w:t>
            </w:r>
          </w:p>
        </w:tc>
        <w:tc>
          <w:tcPr>
            <w:tcW w:w="8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99.63</w:t>
            </w:r>
          </w:p>
        </w:tc>
        <w:tc>
          <w:tcPr>
            <w:tcW w:w="14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8,471,127.07</w:t>
            </w:r>
          </w:p>
        </w:tc>
        <w:tc>
          <w:tcPr>
            <w:tcW w:w="8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5.05</w:t>
            </w:r>
          </w:p>
        </w:tc>
        <w:tc>
          <w:tcPr>
            <w:tcW w:w="16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159,362,646.48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03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54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关联方组合</w:t>
            </w:r>
          </w:p>
        </w:tc>
        <w:tc>
          <w:tcPr>
            <w:tcW w:w="17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8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8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6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5" w:hRule="atLeast"/>
        </w:trPr>
        <w:tc>
          <w:tcPr>
            <w:tcW w:w="203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单项金额不重大但单独计提坏账准备的应收账款</w:t>
            </w:r>
          </w:p>
        </w:tc>
        <w:tc>
          <w:tcPr>
            <w:tcW w:w="17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621,652.54</w:t>
            </w:r>
          </w:p>
        </w:tc>
        <w:tc>
          <w:tcPr>
            <w:tcW w:w="8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0.37</w:t>
            </w:r>
          </w:p>
        </w:tc>
        <w:tc>
          <w:tcPr>
            <w:tcW w:w="14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621,652.54</w:t>
            </w:r>
          </w:p>
        </w:tc>
        <w:tc>
          <w:tcPr>
            <w:tcW w:w="8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c>
          <w:tcPr>
            <w:tcW w:w="16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2033"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合计</w:t>
            </w:r>
          </w:p>
        </w:tc>
        <w:tc>
          <w:tcPr>
            <w:tcW w:w="173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168,455,426.09</w:t>
            </w:r>
          </w:p>
        </w:tc>
        <w:tc>
          <w:tcPr>
            <w:tcW w:w="81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c>
          <w:tcPr>
            <w:tcW w:w="1474"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9,092,779.61</w:t>
            </w:r>
          </w:p>
        </w:tc>
        <w:tc>
          <w:tcPr>
            <w:tcW w:w="81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652"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159,362,646.48</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425" w:right="0" w:firstLine="0"/>
        <w:jc w:val="left"/>
        <w:textAlignment w:val="bottom"/>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（续表）</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28"/>
        <w:gridCol w:w="1731"/>
        <w:gridCol w:w="819"/>
        <w:gridCol w:w="1474"/>
        <w:gridCol w:w="819"/>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rPr>
        <w:tc>
          <w:tcPr>
            <w:tcW w:w="2033" w:type="dxa"/>
            <w:vMerge w:val="restart"/>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类别</w:t>
            </w:r>
          </w:p>
        </w:tc>
        <w:tc>
          <w:tcPr>
            <w:tcW w:w="6489" w:type="dxa"/>
            <w:gridSpan w:val="5"/>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2016年末余额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033"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548"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2289"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坏账准备</w:t>
            </w:r>
          </w:p>
        </w:tc>
        <w:tc>
          <w:tcPr>
            <w:tcW w:w="1652" w:type="dxa"/>
            <w:vMerge w:val="restart"/>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033"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7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金额</w:t>
            </w:r>
          </w:p>
        </w:tc>
        <w:tc>
          <w:tcPr>
            <w:tcW w:w="8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比例(%)</w:t>
            </w:r>
          </w:p>
        </w:tc>
        <w:tc>
          <w:tcPr>
            <w:tcW w:w="14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金额</w:t>
            </w:r>
          </w:p>
        </w:tc>
        <w:tc>
          <w:tcPr>
            <w:tcW w:w="8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计提比例(%)</w:t>
            </w:r>
          </w:p>
        </w:tc>
        <w:tc>
          <w:tcPr>
            <w:tcW w:w="1652" w:type="dxa"/>
            <w:vMerge w:val="continue"/>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203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单项金额重大并单独计提坏账准备的应收账款</w:t>
            </w:r>
          </w:p>
        </w:tc>
        <w:tc>
          <w:tcPr>
            <w:tcW w:w="17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8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8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6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5" w:hRule="atLeast"/>
        </w:trPr>
        <w:tc>
          <w:tcPr>
            <w:tcW w:w="203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按组合计提坏账准备的应收账款：</w:t>
            </w:r>
          </w:p>
        </w:tc>
        <w:tc>
          <w:tcPr>
            <w:tcW w:w="17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72,903,181.10</w:t>
            </w:r>
          </w:p>
        </w:tc>
        <w:tc>
          <w:tcPr>
            <w:tcW w:w="8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99.16</w:t>
            </w:r>
          </w:p>
        </w:tc>
        <w:tc>
          <w:tcPr>
            <w:tcW w:w="14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3,700,015.36</w:t>
            </w:r>
          </w:p>
        </w:tc>
        <w:tc>
          <w:tcPr>
            <w:tcW w:w="8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6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69,203,165.74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5" w:hRule="atLeast"/>
        </w:trPr>
        <w:tc>
          <w:tcPr>
            <w:tcW w:w="203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其中：账龄组合</w:t>
            </w:r>
          </w:p>
        </w:tc>
        <w:tc>
          <w:tcPr>
            <w:tcW w:w="17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72,903,181.10</w:t>
            </w:r>
          </w:p>
        </w:tc>
        <w:tc>
          <w:tcPr>
            <w:tcW w:w="8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99.16</w:t>
            </w:r>
          </w:p>
        </w:tc>
        <w:tc>
          <w:tcPr>
            <w:tcW w:w="14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3,700,015.36</w:t>
            </w:r>
          </w:p>
        </w:tc>
        <w:tc>
          <w:tcPr>
            <w:tcW w:w="8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5.08</w:t>
            </w:r>
          </w:p>
        </w:tc>
        <w:tc>
          <w:tcPr>
            <w:tcW w:w="16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69,203,165.74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203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54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关联方组合</w:t>
            </w:r>
          </w:p>
        </w:tc>
        <w:tc>
          <w:tcPr>
            <w:tcW w:w="17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8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8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6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5" w:hRule="atLeast"/>
        </w:trPr>
        <w:tc>
          <w:tcPr>
            <w:tcW w:w="203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单项金额不重大但单独计提坏账准备的应收账款</w:t>
            </w:r>
          </w:p>
        </w:tc>
        <w:tc>
          <w:tcPr>
            <w:tcW w:w="17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620,694.11</w:t>
            </w:r>
          </w:p>
        </w:tc>
        <w:tc>
          <w:tcPr>
            <w:tcW w:w="81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0.84</w:t>
            </w:r>
          </w:p>
        </w:tc>
        <w:tc>
          <w:tcPr>
            <w:tcW w:w="147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620,694.11</w:t>
            </w:r>
          </w:p>
        </w:tc>
        <w:tc>
          <w:tcPr>
            <w:tcW w:w="8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c>
          <w:tcPr>
            <w:tcW w:w="165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033"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合计</w:t>
            </w:r>
          </w:p>
        </w:tc>
        <w:tc>
          <w:tcPr>
            <w:tcW w:w="173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73,523,875.21</w:t>
            </w:r>
          </w:p>
        </w:tc>
        <w:tc>
          <w:tcPr>
            <w:tcW w:w="81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c>
          <w:tcPr>
            <w:tcW w:w="1474"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4,320,709.47</w:t>
            </w:r>
          </w:p>
        </w:tc>
        <w:tc>
          <w:tcPr>
            <w:tcW w:w="81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652"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69,203,165.74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按账龄分析法计提坏账准备的应收账款如下：</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61"/>
        <w:gridCol w:w="1579"/>
        <w:gridCol w:w="911"/>
        <w:gridCol w:w="1383"/>
        <w:gridCol w:w="1472"/>
        <w:gridCol w:w="860"/>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jc w:val="center"/>
        </w:trPr>
        <w:tc>
          <w:tcPr>
            <w:tcW w:w="1027" w:type="dxa"/>
            <w:vMerge w:val="restart"/>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账龄</w:t>
            </w:r>
          </w:p>
        </w:tc>
        <w:tc>
          <w:tcPr>
            <w:tcW w:w="3826" w:type="dxa"/>
            <w:gridSpan w:val="3"/>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2017年末余额</w:t>
            </w:r>
          </w:p>
        </w:tc>
        <w:tc>
          <w:tcPr>
            <w:tcW w:w="3669" w:type="dxa"/>
            <w:gridSpan w:val="3"/>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2016年末余额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jc w:val="center"/>
        </w:trPr>
        <w:tc>
          <w:tcPr>
            <w:tcW w:w="1027"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439"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1387"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坏账准备</w:t>
            </w:r>
          </w:p>
        </w:tc>
        <w:tc>
          <w:tcPr>
            <w:tcW w:w="2339" w:type="dxa"/>
            <w:gridSpan w:val="2"/>
            <w:tcBorders>
              <w:top w:val="single" w:color="auto" w:sz="4" w:space="0"/>
              <w:left w:val="single" w:color="auto" w:sz="4" w:space="0"/>
              <w:bottom w:val="nil"/>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账面余额</w:t>
            </w:r>
          </w:p>
        </w:tc>
        <w:tc>
          <w:tcPr>
            <w:tcW w:w="1330" w:type="dxa"/>
            <w:vMerge w:val="restart"/>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坏账准备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jc w:val="center"/>
        </w:trPr>
        <w:tc>
          <w:tcPr>
            <w:tcW w:w="1027"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51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金额</w:t>
            </w:r>
          </w:p>
        </w:tc>
        <w:tc>
          <w:tcPr>
            <w:tcW w:w="92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比例(%)</w:t>
            </w:r>
          </w:p>
        </w:tc>
        <w:tc>
          <w:tcPr>
            <w:tcW w:w="1387"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7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金额</w:t>
            </w:r>
          </w:p>
        </w:tc>
        <w:tc>
          <w:tcPr>
            <w:tcW w:w="86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比例(%)</w:t>
            </w:r>
          </w:p>
        </w:tc>
        <w:tc>
          <w:tcPr>
            <w:tcW w:w="1330" w:type="dxa"/>
            <w:vMerge w:val="continue"/>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jc w:val="center"/>
        </w:trPr>
        <w:tc>
          <w:tcPr>
            <w:tcW w:w="102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1年以内</w:t>
            </w:r>
          </w:p>
        </w:tc>
        <w:tc>
          <w:tcPr>
            <w:tcW w:w="151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166,454,895.29</w:t>
            </w:r>
          </w:p>
        </w:tc>
        <w:tc>
          <w:tcPr>
            <w:tcW w:w="92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99.18</w:t>
            </w:r>
          </w:p>
        </w:tc>
        <w:tc>
          <w:tcPr>
            <w:tcW w:w="13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8,368,208.30</w:t>
            </w:r>
          </w:p>
        </w:tc>
        <w:tc>
          <w:tcPr>
            <w:tcW w:w="147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71,806,054.93</w:t>
            </w:r>
          </w:p>
        </w:tc>
        <w:tc>
          <w:tcPr>
            <w:tcW w:w="86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98.50</w:t>
            </w:r>
          </w:p>
        </w:tc>
        <w:tc>
          <w:tcPr>
            <w:tcW w:w="133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3,590,302.74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jc w:val="center"/>
        </w:trPr>
        <w:tc>
          <w:tcPr>
            <w:tcW w:w="102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1～2年</w:t>
            </w:r>
          </w:p>
        </w:tc>
        <w:tc>
          <w:tcPr>
            <w:tcW w:w="151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1,250,633.34</w:t>
            </w:r>
          </w:p>
        </w:tc>
        <w:tc>
          <w:tcPr>
            <w:tcW w:w="92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0.75</w:t>
            </w:r>
          </w:p>
        </w:tc>
        <w:tc>
          <w:tcPr>
            <w:tcW w:w="13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64,445.29</w:t>
            </w:r>
          </w:p>
        </w:tc>
        <w:tc>
          <w:tcPr>
            <w:tcW w:w="147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1,097,126.17</w:t>
            </w:r>
          </w:p>
        </w:tc>
        <w:tc>
          <w:tcPr>
            <w:tcW w:w="86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1.50</w:t>
            </w:r>
          </w:p>
        </w:tc>
        <w:tc>
          <w:tcPr>
            <w:tcW w:w="133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109,712.62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jc w:val="center"/>
        </w:trPr>
        <w:tc>
          <w:tcPr>
            <w:tcW w:w="102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2～3年</w:t>
            </w:r>
          </w:p>
        </w:tc>
        <w:tc>
          <w:tcPr>
            <w:tcW w:w="151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128,244.92</w:t>
            </w:r>
          </w:p>
        </w:tc>
        <w:tc>
          <w:tcPr>
            <w:tcW w:w="92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0.07</w:t>
            </w:r>
          </w:p>
        </w:tc>
        <w:tc>
          <w:tcPr>
            <w:tcW w:w="13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38,473.48</w:t>
            </w:r>
          </w:p>
        </w:tc>
        <w:tc>
          <w:tcPr>
            <w:tcW w:w="147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86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133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27"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合计</w:t>
            </w:r>
          </w:p>
        </w:tc>
        <w:tc>
          <w:tcPr>
            <w:tcW w:w="1514"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167,833,773.55</w:t>
            </w:r>
          </w:p>
        </w:tc>
        <w:tc>
          <w:tcPr>
            <w:tcW w:w="92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c>
          <w:tcPr>
            <w:tcW w:w="1387"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8,471,127.07</w:t>
            </w:r>
          </w:p>
        </w:tc>
        <w:tc>
          <w:tcPr>
            <w:tcW w:w="1473"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72,903,181.10</w:t>
            </w:r>
          </w:p>
        </w:tc>
        <w:tc>
          <w:tcPr>
            <w:tcW w:w="86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100.00</w:t>
            </w:r>
          </w:p>
        </w:tc>
        <w:tc>
          <w:tcPr>
            <w:tcW w:w="1330"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3,700,015.36</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由上表可知，上述应收账款余额中账龄在1年以内的占比例均在98%以上，应收账款收回风险整体可控。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2017年末，因原客户新一佳超市已破产清算，申请人应收账款余额中针对新一佳超市的应收货款62万元已全额单项计提坏账准备，其余货款均已按照账龄组合计提政策进行了坏账准备计提。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申请人认为，报告期内实际发生的坏账损失情况较少，且已按照计提政策计提了充足的坏账准备，坏账政策是谨慎的，应收账款坏账准备计提充分。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推荐券商及会计师认为，申请人补充披露的应收账款大幅增加的原因合理，申请人坏账准备计提政策和可比公司相比无明显差异，应收账款坏账准备计提谨慎充分。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（六）关于预付账款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审核中关注到，报告期内申请人预付账款分别为1,156.41万元、3,948.13万元及6,275.38万元。要求申请人：（1）结合对外采购的采购内容、付款对象、付款政策、预付账款账龄等补充披露预付账款逐期增大的原因及合理性；（2）补充披露申请人是否与付款对象存在关联关系，交易价格是否公允。要求推荐券商及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1、预付账款逐期增大的原因及合理性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申请人在生产经营过程中，采购内容主要包括生猪款、饲料款、工程设备类款项等项目。生猪款主要为向合作养殖场/户回购湘村黑猪育肥猪而支付的款项；饲料款主要为向原料、饲料供应商采购玉米、豆粕、预混料、全价料等食料支付的款项；工程设备款为支付给工程施工单位的进度款及设备购买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根据合同中双方约定的付款政策，对于生猪款，主要采取收购完成后付款的模式，另有部分合作养殖农户系预付模式；对于原材料采购，为避免粮食市场价格波动，主要采取先行预付再按月结算的采购模式；对于工程设备款，主要采取按合同进度付款的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报告期各期末，申请人预付账款余额分别为1,156.41万元、3,948.13万元和6,275.38万元。2017年末较2016年末增加2,791.72万元，2018年6月末较2017年末增加2,327.25万元，增长幅度较大，主要原因如下：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2018年6月30日预付款项前5名情况</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31"/>
        <w:gridCol w:w="1095"/>
        <w:gridCol w:w="997"/>
        <w:gridCol w:w="1054"/>
        <w:gridCol w:w="838"/>
        <w:gridCol w:w="1202"/>
        <w:gridCol w:w="1194"/>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431"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付款对象</w:t>
            </w:r>
          </w:p>
        </w:tc>
        <w:tc>
          <w:tcPr>
            <w:tcW w:w="1095"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金额（万元）</w:t>
            </w:r>
          </w:p>
        </w:tc>
        <w:tc>
          <w:tcPr>
            <w:tcW w:w="997"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占比（%）</w:t>
            </w:r>
          </w:p>
        </w:tc>
        <w:tc>
          <w:tcPr>
            <w:tcW w:w="1054"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采购内容</w:t>
            </w:r>
          </w:p>
        </w:tc>
        <w:tc>
          <w:tcPr>
            <w:tcW w:w="838"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未结算原因</w:t>
            </w:r>
          </w:p>
        </w:tc>
        <w:tc>
          <w:tcPr>
            <w:tcW w:w="1202"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账龄</w:t>
            </w:r>
          </w:p>
        </w:tc>
        <w:tc>
          <w:tcPr>
            <w:tcW w:w="1194"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付款政策</w:t>
            </w:r>
          </w:p>
        </w:tc>
        <w:tc>
          <w:tcPr>
            <w:tcW w:w="711"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是否为关联方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43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北京京鹏环宇畜牧科技股份有限公司</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2,765.00</w:t>
            </w:r>
          </w:p>
        </w:tc>
        <w:tc>
          <w:tcPr>
            <w:tcW w:w="99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44.06</w:t>
            </w:r>
          </w:p>
        </w:tc>
        <w:tc>
          <w:tcPr>
            <w:tcW w:w="105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污水处理工程及设备</w:t>
            </w:r>
          </w:p>
        </w:tc>
        <w:tc>
          <w:tcPr>
            <w:tcW w:w="83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设备未到</w:t>
            </w:r>
          </w:p>
        </w:tc>
        <w:tc>
          <w:tcPr>
            <w:tcW w:w="120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19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合同签订后五个工作日内付款</w:t>
            </w:r>
          </w:p>
        </w:tc>
        <w:tc>
          <w:tcPr>
            <w:tcW w:w="711"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3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北京绿摇饲料科技有限公司</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1,203.32</w:t>
            </w:r>
          </w:p>
        </w:tc>
        <w:tc>
          <w:tcPr>
            <w:tcW w:w="99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19.18</w:t>
            </w:r>
          </w:p>
        </w:tc>
        <w:tc>
          <w:tcPr>
            <w:tcW w:w="105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饲料</w:t>
            </w:r>
          </w:p>
        </w:tc>
        <w:tc>
          <w:tcPr>
            <w:tcW w:w="83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货物未到</w:t>
            </w:r>
          </w:p>
        </w:tc>
        <w:tc>
          <w:tcPr>
            <w:tcW w:w="120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19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货到付款与按月结款相结合</w:t>
            </w:r>
          </w:p>
        </w:tc>
        <w:tc>
          <w:tcPr>
            <w:tcW w:w="711"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43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湖南康盛建设工程有限公司</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610.00</w:t>
            </w:r>
          </w:p>
        </w:tc>
        <w:tc>
          <w:tcPr>
            <w:tcW w:w="99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9.72</w:t>
            </w:r>
          </w:p>
        </w:tc>
        <w:tc>
          <w:tcPr>
            <w:tcW w:w="105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工程款</w:t>
            </w:r>
          </w:p>
        </w:tc>
        <w:tc>
          <w:tcPr>
            <w:tcW w:w="83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未结算</w:t>
            </w:r>
          </w:p>
        </w:tc>
        <w:tc>
          <w:tcPr>
            <w:tcW w:w="120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1年以内460万，1-2年150 </w:t>
            </w:r>
          </w:p>
        </w:tc>
        <w:tc>
          <w:tcPr>
            <w:tcW w:w="119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按合同进度付款</w:t>
            </w:r>
          </w:p>
        </w:tc>
        <w:tc>
          <w:tcPr>
            <w:tcW w:w="711"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3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吴欣宇</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106.60</w:t>
            </w:r>
          </w:p>
        </w:tc>
        <w:tc>
          <w:tcPr>
            <w:tcW w:w="99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1.70</w:t>
            </w:r>
          </w:p>
        </w:tc>
        <w:tc>
          <w:tcPr>
            <w:tcW w:w="105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生猪</w:t>
            </w:r>
          </w:p>
        </w:tc>
        <w:tc>
          <w:tcPr>
            <w:tcW w:w="83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货物未到</w:t>
            </w:r>
          </w:p>
        </w:tc>
        <w:tc>
          <w:tcPr>
            <w:tcW w:w="120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19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收购完成后15天内支付</w:t>
            </w:r>
          </w:p>
        </w:tc>
        <w:tc>
          <w:tcPr>
            <w:tcW w:w="711"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3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谢国亮</w:t>
            </w:r>
          </w:p>
        </w:tc>
        <w:tc>
          <w:tcPr>
            <w:tcW w:w="109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75.00</w:t>
            </w:r>
          </w:p>
        </w:tc>
        <w:tc>
          <w:tcPr>
            <w:tcW w:w="99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1.20</w:t>
            </w:r>
          </w:p>
        </w:tc>
        <w:tc>
          <w:tcPr>
            <w:tcW w:w="105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生猪</w:t>
            </w:r>
          </w:p>
        </w:tc>
        <w:tc>
          <w:tcPr>
            <w:tcW w:w="83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货物未到</w:t>
            </w:r>
          </w:p>
        </w:tc>
        <w:tc>
          <w:tcPr>
            <w:tcW w:w="120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19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收购完成后15天内支付</w:t>
            </w:r>
          </w:p>
        </w:tc>
        <w:tc>
          <w:tcPr>
            <w:tcW w:w="711"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431"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合计</w:t>
            </w:r>
          </w:p>
        </w:tc>
        <w:tc>
          <w:tcPr>
            <w:tcW w:w="1095"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4,759.92</w:t>
            </w:r>
          </w:p>
        </w:tc>
        <w:tc>
          <w:tcPr>
            <w:tcW w:w="997"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75.85</w:t>
            </w:r>
          </w:p>
        </w:tc>
        <w:tc>
          <w:tcPr>
            <w:tcW w:w="1054"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838"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202"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194"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711"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2017年12月31日预付款项前5名情况</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18"/>
        <w:gridCol w:w="1084"/>
        <w:gridCol w:w="987"/>
        <w:gridCol w:w="1044"/>
        <w:gridCol w:w="1091"/>
        <w:gridCol w:w="1011"/>
        <w:gridCol w:w="1183"/>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1418"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付款对象</w:t>
            </w:r>
          </w:p>
        </w:tc>
        <w:tc>
          <w:tcPr>
            <w:tcW w:w="1084"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金额（万元）</w:t>
            </w:r>
          </w:p>
        </w:tc>
        <w:tc>
          <w:tcPr>
            <w:tcW w:w="987"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占比（%）</w:t>
            </w:r>
          </w:p>
        </w:tc>
        <w:tc>
          <w:tcPr>
            <w:tcW w:w="1044"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采购内容</w:t>
            </w:r>
          </w:p>
        </w:tc>
        <w:tc>
          <w:tcPr>
            <w:tcW w:w="1091"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未结算原因</w:t>
            </w:r>
          </w:p>
        </w:tc>
        <w:tc>
          <w:tcPr>
            <w:tcW w:w="1011"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账龄</w:t>
            </w:r>
          </w:p>
        </w:tc>
        <w:tc>
          <w:tcPr>
            <w:tcW w:w="1183"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付款政策</w:t>
            </w:r>
          </w:p>
        </w:tc>
        <w:tc>
          <w:tcPr>
            <w:tcW w:w="704"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是否为关联方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41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湖南灯塔米业有限公司</w:t>
            </w:r>
          </w:p>
        </w:tc>
        <w:tc>
          <w:tcPr>
            <w:tcW w:w="108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2,893.56</w:t>
            </w:r>
          </w:p>
        </w:tc>
        <w:tc>
          <w:tcPr>
            <w:tcW w:w="98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73.29</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饲料</w:t>
            </w:r>
          </w:p>
        </w:tc>
        <w:tc>
          <w:tcPr>
            <w:tcW w:w="10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货物未到</w:t>
            </w:r>
          </w:p>
        </w:tc>
        <w:tc>
          <w:tcPr>
            <w:tcW w:w="101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18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按月结算</w:t>
            </w:r>
          </w:p>
        </w:tc>
        <w:tc>
          <w:tcPr>
            <w:tcW w:w="704"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41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湖南粮食中心批发市场</w:t>
            </w:r>
          </w:p>
        </w:tc>
        <w:tc>
          <w:tcPr>
            <w:tcW w:w="108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359.26</w:t>
            </w:r>
          </w:p>
        </w:tc>
        <w:tc>
          <w:tcPr>
            <w:tcW w:w="98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9.10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饲料</w:t>
            </w:r>
          </w:p>
        </w:tc>
        <w:tc>
          <w:tcPr>
            <w:tcW w:w="10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货物未到</w:t>
            </w:r>
          </w:p>
        </w:tc>
        <w:tc>
          <w:tcPr>
            <w:tcW w:w="101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18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按月结算</w:t>
            </w:r>
          </w:p>
        </w:tc>
        <w:tc>
          <w:tcPr>
            <w:tcW w:w="704"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41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吴欣宇</w:t>
            </w:r>
          </w:p>
        </w:tc>
        <w:tc>
          <w:tcPr>
            <w:tcW w:w="108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147.40</w:t>
            </w:r>
          </w:p>
        </w:tc>
        <w:tc>
          <w:tcPr>
            <w:tcW w:w="98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3.73</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生猪</w:t>
            </w:r>
          </w:p>
        </w:tc>
        <w:tc>
          <w:tcPr>
            <w:tcW w:w="10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货物未到</w:t>
            </w:r>
          </w:p>
        </w:tc>
        <w:tc>
          <w:tcPr>
            <w:tcW w:w="101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18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收购完成后15天内支付</w:t>
            </w:r>
          </w:p>
        </w:tc>
        <w:tc>
          <w:tcPr>
            <w:tcW w:w="704"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41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谢国亮</w:t>
            </w:r>
          </w:p>
        </w:tc>
        <w:tc>
          <w:tcPr>
            <w:tcW w:w="108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106.60</w:t>
            </w:r>
          </w:p>
        </w:tc>
        <w:tc>
          <w:tcPr>
            <w:tcW w:w="98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2.70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生猪</w:t>
            </w:r>
          </w:p>
        </w:tc>
        <w:tc>
          <w:tcPr>
            <w:tcW w:w="10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货物未到</w:t>
            </w:r>
          </w:p>
        </w:tc>
        <w:tc>
          <w:tcPr>
            <w:tcW w:w="101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18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收购完成后15天内支付</w:t>
            </w:r>
          </w:p>
        </w:tc>
        <w:tc>
          <w:tcPr>
            <w:tcW w:w="704"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41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娄底市中南机电有限公司</w:t>
            </w:r>
          </w:p>
        </w:tc>
        <w:tc>
          <w:tcPr>
            <w:tcW w:w="108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75.00</w:t>
            </w:r>
          </w:p>
        </w:tc>
        <w:tc>
          <w:tcPr>
            <w:tcW w:w="98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1.90</w:t>
            </w:r>
          </w:p>
        </w:tc>
        <w:tc>
          <w:tcPr>
            <w:tcW w:w="104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设备</w:t>
            </w:r>
          </w:p>
        </w:tc>
        <w:tc>
          <w:tcPr>
            <w:tcW w:w="10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未结算</w:t>
            </w:r>
          </w:p>
        </w:tc>
        <w:tc>
          <w:tcPr>
            <w:tcW w:w="101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18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合同生效后7天内付款45万，货到验收合格后付款30万</w:t>
            </w:r>
          </w:p>
        </w:tc>
        <w:tc>
          <w:tcPr>
            <w:tcW w:w="704"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418"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合计</w:t>
            </w:r>
          </w:p>
        </w:tc>
        <w:tc>
          <w:tcPr>
            <w:tcW w:w="1084"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3,581.83</w:t>
            </w:r>
          </w:p>
        </w:tc>
        <w:tc>
          <w:tcPr>
            <w:tcW w:w="987"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90.72</w:t>
            </w:r>
          </w:p>
        </w:tc>
        <w:tc>
          <w:tcPr>
            <w:tcW w:w="1044"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091"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011"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18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704"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2016年12月31日预付款项前5名情况</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86"/>
        <w:gridCol w:w="1060"/>
        <w:gridCol w:w="965"/>
        <w:gridCol w:w="1096"/>
        <w:gridCol w:w="1066"/>
        <w:gridCol w:w="847"/>
        <w:gridCol w:w="1414"/>
        <w:gridCol w:w="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386"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付款对象</w:t>
            </w:r>
          </w:p>
        </w:tc>
        <w:tc>
          <w:tcPr>
            <w:tcW w:w="1060"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金额（万元）</w:t>
            </w:r>
          </w:p>
        </w:tc>
        <w:tc>
          <w:tcPr>
            <w:tcW w:w="965"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占比（%）</w:t>
            </w:r>
          </w:p>
        </w:tc>
        <w:tc>
          <w:tcPr>
            <w:tcW w:w="1096"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采购内容</w:t>
            </w:r>
          </w:p>
        </w:tc>
        <w:tc>
          <w:tcPr>
            <w:tcW w:w="1066"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未结算原因</w:t>
            </w:r>
          </w:p>
        </w:tc>
        <w:tc>
          <w:tcPr>
            <w:tcW w:w="847"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账龄</w:t>
            </w:r>
          </w:p>
        </w:tc>
        <w:tc>
          <w:tcPr>
            <w:tcW w:w="1414"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付款政策</w:t>
            </w:r>
          </w:p>
        </w:tc>
        <w:tc>
          <w:tcPr>
            <w:tcW w:w="688"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是否为关联方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38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怀化天凯农业开发有限公司</w:t>
            </w: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700.16</w:t>
            </w:r>
          </w:p>
        </w:tc>
        <w:tc>
          <w:tcPr>
            <w:tcW w:w="96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60.55</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饲料</w:t>
            </w:r>
          </w:p>
        </w:tc>
        <w:tc>
          <w:tcPr>
            <w:tcW w:w="106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货物未到</w:t>
            </w:r>
          </w:p>
        </w:tc>
        <w:tc>
          <w:tcPr>
            <w:tcW w:w="84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41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收到发票后7个工作日内付款</w:t>
            </w:r>
          </w:p>
        </w:tc>
        <w:tc>
          <w:tcPr>
            <w:tcW w:w="68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济源市富田种植专业合作社</w:t>
            </w: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83.07</w:t>
            </w:r>
          </w:p>
        </w:tc>
        <w:tc>
          <w:tcPr>
            <w:tcW w:w="96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7.18</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饲料</w:t>
            </w:r>
          </w:p>
        </w:tc>
        <w:tc>
          <w:tcPr>
            <w:tcW w:w="106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货物未到</w:t>
            </w:r>
          </w:p>
        </w:tc>
        <w:tc>
          <w:tcPr>
            <w:tcW w:w="84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41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发货前预付15%，验收合格后15天内付清余款</w:t>
            </w:r>
          </w:p>
        </w:tc>
        <w:tc>
          <w:tcPr>
            <w:tcW w:w="68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38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娄底市娄星区集和种养专业合作社</w:t>
            </w: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72.01</w:t>
            </w:r>
          </w:p>
        </w:tc>
        <w:tc>
          <w:tcPr>
            <w:tcW w:w="96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6.23</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生猪</w:t>
            </w:r>
          </w:p>
        </w:tc>
        <w:tc>
          <w:tcPr>
            <w:tcW w:w="106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货物未到</w:t>
            </w:r>
          </w:p>
        </w:tc>
        <w:tc>
          <w:tcPr>
            <w:tcW w:w="84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41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收购完成后15天内支付</w:t>
            </w:r>
          </w:p>
        </w:tc>
        <w:tc>
          <w:tcPr>
            <w:tcW w:w="68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38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秦清梅</w:t>
            </w: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30.67</w:t>
            </w:r>
          </w:p>
        </w:tc>
        <w:tc>
          <w:tcPr>
            <w:tcW w:w="96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2.65</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生猪</w:t>
            </w:r>
          </w:p>
        </w:tc>
        <w:tc>
          <w:tcPr>
            <w:tcW w:w="106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货物未到</w:t>
            </w:r>
          </w:p>
        </w:tc>
        <w:tc>
          <w:tcPr>
            <w:tcW w:w="84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41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收购完成后15天内支付</w:t>
            </w:r>
          </w:p>
        </w:tc>
        <w:tc>
          <w:tcPr>
            <w:tcW w:w="68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娄底市公共交通总公司</w:t>
            </w: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28.38</w:t>
            </w:r>
          </w:p>
        </w:tc>
        <w:tc>
          <w:tcPr>
            <w:tcW w:w="96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2.45</w:t>
            </w:r>
          </w:p>
        </w:tc>
        <w:tc>
          <w:tcPr>
            <w:tcW w:w="10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广告费</w:t>
            </w:r>
          </w:p>
        </w:tc>
        <w:tc>
          <w:tcPr>
            <w:tcW w:w="106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广告未投放</w:t>
            </w:r>
          </w:p>
        </w:tc>
        <w:tc>
          <w:tcPr>
            <w:tcW w:w="84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1年以内</w:t>
            </w:r>
          </w:p>
        </w:tc>
        <w:tc>
          <w:tcPr>
            <w:tcW w:w="141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预付与刊登后支付相结合</w:t>
            </w:r>
          </w:p>
        </w:tc>
        <w:tc>
          <w:tcPr>
            <w:tcW w:w="68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6"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合计</w:t>
            </w:r>
          </w:p>
        </w:tc>
        <w:tc>
          <w:tcPr>
            <w:tcW w:w="106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914.28</w:t>
            </w:r>
          </w:p>
        </w:tc>
        <w:tc>
          <w:tcPr>
            <w:tcW w:w="965"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rPr>
              <w:t>79.06</w:t>
            </w:r>
          </w:p>
        </w:tc>
        <w:tc>
          <w:tcPr>
            <w:tcW w:w="109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06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847"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14"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688"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2017年12月31日，申请人主要预付账款对象为湖南灯塔米业有限公司，预付金额2,893.56万元。湖南灯塔米业有限公司与申请人签订了原材料采购合同，向其购买豆粕、糙米、油糠等饲料。因其整批次购买能够给予较大的价格优惠，供应商要求申请人一次性预付全部采购款，截至本报告签署日，申请人与灯塔米业之间的交易基本已结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2018年6月30日，申请人主要预付账款对象为北京京鹏环宇畜牧科技股份有限公司、北京绿摇饲料科技有限公司和湖南康盛建设工程有限公司，预付金额分别为2,765.00万元、1,203.32万元和610.00万元。北京京鹏环宇畜牧科技股份有限公司为申请人邵阳二期、三期养殖基地项目的养殖设备供应商，以及北京养殖基地和邵阳养殖基地的污水处理项目的施工方及运营商。申请人预付给京鹏环宇的款项中，包括根据交易合同支付的设备预付款，以及污水处理项目的工程进度款，工程项目尚未提交结算资料，申请人做预付款处理。截至定向发行说明书签署日，上述邵阳二期设备已结清，北京养殖基地污水处理施工项目已结算，其余施工及设备款项尚未结算。北京绿摇饲料科技有限公司为申请人北京怀柔养殖基地的唯一饲料供应商，同时也为母公司及邵阳基地提供部分的饲料产品。北京绿摇作为公司的长期合作供应商，与申请人签署了固定价格的饲料供货合同，由于2018年5月，豆粕等原材料价格行情呈上升趋势，供应商供货压力趋升，申请人为了加强与北京绿摇的合作关系，向其提前支付了部分货款。截至定向发行说明书签署日，上述交易款项已结清。湖南康盛建设工程有限公司为公司长沙总部办公楼的装修项目承包商，根据合同约定，双方主要采用根据合同进度付款的方式。截至定向发行说明书签署日，该结算项目已结算完毕并转入固定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为方便核算，申请人日常财务处理将所有预付款项均在“预付款项”科目核算，年底将工程类性质的预付款统一重分类至“其他非流动资产”科目。由于2018年半年度报告未经审计，定向发行书未对预付款项科目进行充分调整，导致2018年6月末预付账款中工程设备类款项达3,375.00万元，扣除工程设备类性质预付款项后，预付账款余额为2,900.38万元，较2017年末减少1,047.75万元，未出现大幅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上述重分类仅为部分资产从流动资产调整至非流动资产，对经营状况无实质影响，亦不会导致利润表数据变动。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申请人预付账款对象主要为饲料供应商、生猪供应商、设备供应商等，业务真实，与申请人不存在关联关系，交易价格均基于市场行情由双方协商确定，交易价格公允。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推荐券商和会计师认为，申请人的预付账款变化在重大方面符合实际情况，申请人与付款对象不存在明显的关联关系，交易价格与市场行情并重大差异。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kern w:val="0"/>
          <w:sz w:val="21"/>
          <w:szCs w:val="21"/>
          <w:u w:val="none"/>
          <w:bdr w:val="none" w:color="auto" w:sz="0" w:space="0"/>
          <w:shd w:val="clear" w:fill="FFFFFF"/>
          <w:lang w:val="en-US" w:eastAsia="zh-CN" w:bidi="ar"/>
        </w:rPr>
        <w:t>　 （七）关于推荐券商发表意见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审核中关注到，推荐券商及律师发表意见不完整</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。要求推荐券商</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围绕《非上市公众公司信息披露内容与格式准则第3号——定向发行说明书和发行情况报告书》逐条进行核查并发表明确意见，包括并不限于本次发行的价格、发行对象、发行程序、优先认购安排、限售安排、本次发行对申请人的影响等;请推荐券商及律师针对申请人报告期内是否存在资金占用、股权质押及违规担保的情形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推荐券商在推荐报告中针对发行数量、募投项目、限售安排、本次发行对申请人的影响、资金占用、股权质押及违规担保补充发表了意见，认为发行方案合法合规，符合申请人实际情况，申请人报告期内不存在资金占用、股权质押及违规担保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律师认为，申请人报告期内不存在资金占用、股权质押及违规担保情况。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（八）关于聘请第三方中介机构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审核中关注到，推荐券商未在推荐报告中披露本次定向发行是否存在直接或间接聘请第三方的情况。要求推荐券商按照《关于加强证券公司在投资银行类业务中聘请第三方等廉洁从业风险防控的意见》的相关要求，在推荐报告中补充披露是否在本项目中存在直接或间接聘请第三方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推荐券商在推荐报告中补充披露，申请人</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除聘请东吴证券、北京市金杜律师事务所、江苏苏亚金诚会计师事务所（特殊普通合伙）等依法需要证券服务机构之外，申请人未就本定向发行项目聘请其他中介机构，申请人的中介机构聘请行为合法合规。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推荐券商不存在</w:t>
      </w:r>
      <w:bookmarkStart w:id="0" w:name="_Hlk520226698"/>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任何直接或间接的聘请第三方行为</w:t>
      </w:r>
      <w:bookmarkEnd w:id="0"/>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根据申请人提交的申请文件及对反馈意见的回复，我会认为，申请人信息披露基本符合《公司法》《证券法》《公众公司办法》《非上市公众公司信息披露内容与格式准则第3号——定向发行说明书和发行情况报告书》《非上市公众公司信息披露内容与格式准则第4号——定向发行申请文件》等法律法规的规定，相关中介机构已就本次申请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相关问题依法发</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表了明确的意见。据此，我会同意湘村高科农业股份有限公司向特定对象发行股票的申请。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3A1A7D33"/>
    <w:rsid w:val="3A1A7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2022-09-05T06:31:00Z</dcterms:created>
  <dc:creator>程晋</dc:creator>
  <cp:lastModifiedBy>程晋</cp:lastModifiedBy>
  <dcterms:modified xsi:type="dcterms:W3CDTF">2022-09-05T06:32:40Z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A10BAAF516934C78B60A6FAA10EDD688</vt:lpwstr>
  </property>
</Properties>
</file>