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关于武汉同济现代医药科技股份有限公司向特定对象发行股票的审核意见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武汉同济现代医药科技股份有限公司（以下简称申请人），注册地址为武汉市经济技术开发区高科技产业园22号，成立于2000年12月26日，并于2013年12月20日在全国股转系统挂牌公开转让。截至本次发行股权登记日（2018年8月14日），申请人共有股东301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申请人法定代表人李亦武，实际控制人为李亦武。注册资本130,855,506万元人民币，总股本为130,855,506股。申请人主营业务为中成药和化学药的研发、生产和销售。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9月10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于2018年9月25日向申请人进行了书面反馈，2018年10月25日，申请人对反馈意见进行了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全国股转公司就本次发行出具了《</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关于武汉同济现代医药科技股份有限公司股票发行的自律监管情况函</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》，确认未发现申请人存在重大违法违规行为。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二、</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1. 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1、关于应收账款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报告期内申请人应收账款余额为 132,397,112.99元、155,652,394.56元、125,912,378.82元，占资产总额比重为27.15%、30.59%、29.42%。请申请人结合行业特点、客户情况、信用政策、结算方式、坏账计提情况以及同行业可比公司情况说明应收账款余额形成原因及变动原因，坏账计提是否谨慎充分。请主办券商及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（1）申请人组织架构、经营模式及行业特点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最近一期末合并范围内母子公司业务性质基本信息如下：</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13"/>
        <w:gridCol w:w="1168"/>
        <w:gridCol w:w="729"/>
        <w:gridCol w:w="1752"/>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613"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公司名称</w:t>
            </w:r>
          </w:p>
        </w:tc>
        <w:tc>
          <w:tcPr>
            <w:tcW w:w="1168"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业务性质</w:t>
            </w:r>
          </w:p>
        </w:tc>
        <w:tc>
          <w:tcPr>
            <w:tcW w:w="729"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持股比例</w:t>
            </w:r>
          </w:p>
        </w:tc>
        <w:tc>
          <w:tcPr>
            <w:tcW w:w="1752"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2017年度经审计营业收入</w:t>
            </w:r>
          </w:p>
        </w:tc>
        <w:tc>
          <w:tcPr>
            <w:tcW w:w="2260"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2017年度经审计营业收入占合并收入比例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613"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武汉同济现代医药科技股份有限公司（母公司）</w:t>
            </w:r>
          </w:p>
        </w:tc>
        <w:tc>
          <w:tcPr>
            <w:tcW w:w="116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医药制造</w:t>
            </w:r>
          </w:p>
        </w:tc>
        <w:tc>
          <w:tcPr>
            <w:tcW w:w="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c>
          <w:tcPr>
            <w:tcW w:w="175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46,482,404.70</w:t>
            </w:r>
          </w:p>
        </w:tc>
        <w:tc>
          <w:tcPr>
            <w:tcW w:w="22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613"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湖北医药集团有限公司</w:t>
            </w:r>
          </w:p>
        </w:tc>
        <w:tc>
          <w:tcPr>
            <w:tcW w:w="116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医药销售</w:t>
            </w:r>
          </w:p>
        </w:tc>
        <w:tc>
          <w:tcPr>
            <w:tcW w:w="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51%</w:t>
            </w:r>
          </w:p>
        </w:tc>
        <w:tc>
          <w:tcPr>
            <w:tcW w:w="175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245,259,375.08</w:t>
            </w:r>
          </w:p>
        </w:tc>
        <w:tc>
          <w:tcPr>
            <w:tcW w:w="22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613"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武汉中佰伦物业管理有限公司</w:t>
            </w:r>
          </w:p>
        </w:tc>
        <w:tc>
          <w:tcPr>
            <w:tcW w:w="116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物业管理</w:t>
            </w:r>
          </w:p>
        </w:tc>
        <w:tc>
          <w:tcPr>
            <w:tcW w:w="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100%</w:t>
            </w:r>
          </w:p>
        </w:tc>
        <w:tc>
          <w:tcPr>
            <w:tcW w:w="175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259,746.23</w:t>
            </w:r>
          </w:p>
        </w:tc>
        <w:tc>
          <w:tcPr>
            <w:tcW w:w="22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613"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武汉同济协力药业有限公司</w:t>
            </w:r>
          </w:p>
        </w:tc>
        <w:tc>
          <w:tcPr>
            <w:tcW w:w="116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医药研发</w:t>
            </w:r>
          </w:p>
        </w:tc>
        <w:tc>
          <w:tcPr>
            <w:tcW w:w="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100%</w:t>
            </w:r>
          </w:p>
        </w:tc>
        <w:tc>
          <w:tcPr>
            <w:tcW w:w="175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2018年新设尚属开办期间</w:t>
            </w:r>
          </w:p>
        </w:tc>
        <w:tc>
          <w:tcPr>
            <w:tcW w:w="22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613"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武汉怡信通供应链管理有限公司</w:t>
            </w:r>
          </w:p>
        </w:tc>
        <w:tc>
          <w:tcPr>
            <w:tcW w:w="1168"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供应链设计与管理</w:t>
            </w:r>
          </w:p>
        </w:tc>
        <w:tc>
          <w:tcPr>
            <w:tcW w:w="729"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51%</w:t>
            </w:r>
          </w:p>
        </w:tc>
        <w:tc>
          <w:tcPr>
            <w:tcW w:w="1752"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2018年新设尚属开办期间</w:t>
            </w:r>
          </w:p>
        </w:tc>
        <w:tc>
          <w:tcPr>
            <w:tcW w:w="2260"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6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注：数据来源于公司2017年年度报告，2018年半年度报告。2018年半年度报告数据未经审计，下同。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如上表列示，申请人现阶段组织结构中主营业务分为医药工业和医药商业两大板块：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①医药工业板块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医药工业板块以申请人为主开展药品的研发、生产和销售业务，主要集中于消化系统领域及钙制剂领域，产品范围涵盖片剂、胶囊剂、颗粒剂、茶剂等多个剂型。相关数据如下：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05"/>
        <w:gridCol w:w="1750"/>
        <w:gridCol w:w="1752"/>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项目</w:t>
            </w:r>
          </w:p>
        </w:tc>
        <w:tc>
          <w:tcPr>
            <w:tcW w:w="1750"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2018年1-6月</w:t>
            </w:r>
          </w:p>
        </w:tc>
        <w:tc>
          <w:tcPr>
            <w:tcW w:w="1752"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2017年度</w:t>
            </w:r>
          </w:p>
        </w:tc>
        <w:tc>
          <w:tcPr>
            <w:tcW w:w="2115"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主营业务收入</w:t>
            </w:r>
          </w:p>
        </w:tc>
        <w:tc>
          <w:tcPr>
            <w:tcW w:w="175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21,970,560.95</w:t>
            </w:r>
          </w:p>
        </w:tc>
        <w:tc>
          <w:tcPr>
            <w:tcW w:w="175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46,482,404.70</w:t>
            </w:r>
          </w:p>
        </w:tc>
        <w:tc>
          <w:tcPr>
            <w:tcW w:w="2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35,631,965.32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主营业务成本</w:t>
            </w:r>
          </w:p>
        </w:tc>
        <w:tc>
          <w:tcPr>
            <w:tcW w:w="175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3,741,107.30</w:t>
            </w:r>
          </w:p>
        </w:tc>
        <w:tc>
          <w:tcPr>
            <w:tcW w:w="175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9,153,822.22</w:t>
            </w:r>
          </w:p>
        </w:tc>
        <w:tc>
          <w:tcPr>
            <w:tcW w:w="2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11,374,683.90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毛利率（%）</w:t>
            </w:r>
          </w:p>
        </w:tc>
        <w:tc>
          <w:tcPr>
            <w:tcW w:w="175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82.97</w:t>
            </w:r>
          </w:p>
        </w:tc>
        <w:tc>
          <w:tcPr>
            <w:tcW w:w="175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80.31</w:t>
            </w:r>
          </w:p>
        </w:tc>
        <w:tc>
          <w:tcPr>
            <w:tcW w:w="2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应收账款账面价值</w:t>
            </w:r>
          </w:p>
        </w:tc>
        <w:tc>
          <w:tcPr>
            <w:tcW w:w="175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27,868,666.20</w:t>
            </w:r>
          </w:p>
        </w:tc>
        <w:tc>
          <w:tcPr>
            <w:tcW w:w="175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23,464,937.68</w:t>
            </w:r>
          </w:p>
        </w:tc>
        <w:tc>
          <w:tcPr>
            <w:tcW w:w="2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16,167,877.54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应收账款账面价值占资产总额比重（%）</w:t>
            </w:r>
          </w:p>
        </w:tc>
        <w:tc>
          <w:tcPr>
            <w:tcW w:w="175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7.37</w:t>
            </w:r>
          </w:p>
        </w:tc>
        <w:tc>
          <w:tcPr>
            <w:tcW w:w="1752"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6.19</w:t>
            </w:r>
          </w:p>
        </w:tc>
        <w:tc>
          <w:tcPr>
            <w:tcW w:w="2115"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6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注：上表数据为母公司（武汉同济现代医药科技股份有限公司）财务数据。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②医药商业板块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医药商业板块以控股子公司湖北医药为主开展药品的批发和零售，经营产品包括药品、保健品、医疗器械等，业务区域主要集中在湖北省。湖北医药是申请人于2016年9月30日收购的子公司，其产品销售存在明显的销售量大、毛利率低的特点，相关数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05"/>
        <w:gridCol w:w="1750"/>
        <w:gridCol w:w="1754"/>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项目</w:t>
            </w:r>
          </w:p>
        </w:tc>
        <w:tc>
          <w:tcPr>
            <w:tcW w:w="1750"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2018年1-6月</w:t>
            </w:r>
          </w:p>
        </w:tc>
        <w:tc>
          <w:tcPr>
            <w:tcW w:w="1754"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2017年度</w:t>
            </w:r>
          </w:p>
        </w:tc>
        <w:tc>
          <w:tcPr>
            <w:tcW w:w="2113"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主营业务收入</w:t>
            </w:r>
          </w:p>
        </w:tc>
        <w:tc>
          <w:tcPr>
            <w:tcW w:w="175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106,388,925.23</w:t>
            </w:r>
          </w:p>
        </w:tc>
        <w:tc>
          <w:tcPr>
            <w:tcW w:w="175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245,259,375.08</w:t>
            </w:r>
          </w:p>
        </w:tc>
        <w:tc>
          <w:tcPr>
            <w:tcW w:w="211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243,301,395.47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主营业务成本</w:t>
            </w:r>
          </w:p>
        </w:tc>
        <w:tc>
          <w:tcPr>
            <w:tcW w:w="175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97,764,965.65</w:t>
            </w:r>
          </w:p>
        </w:tc>
        <w:tc>
          <w:tcPr>
            <w:tcW w:w="175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225,157,065.08</w:t>
            </w:r>
          </w:p>
        </w:tc>
        <w:tc>
          <w:tcPr>
            <w:tcW w:w="211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223,596,988.46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毛利率（%）</w:t>
            </w:r>
          </w:p>
        </w:tc>
        <w:tc>
          <w:tcPr>
            <w:tcW w:w="175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8.11</w:t>
            </w:r>
          </w:p>
        </w:tc>
        <w:tc>
          <w:tcPr>
            <w:tcW w:w="175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8.20</w:t>
            </w:r>
          </w:p>
        </w:tc>
        <w:tc>
          <w:tcPr>
            <w:tcW w:w="211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应收账款账面价值</w:t>
            </w:r>
          </w:p>
        </w:tc>
        <w:tc>
          <w:tcPr>
            <w:tcW w:w="175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104,528,446.79</w:t>
            </w:r>
          </w:p>
        </w:tc>
        <w:tc>
          <w:tcPr>
            <w:tcW w:w="175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132,187,456.88</w:t>
            </w:r>
          </w:p>
        </w:tc>
        <w:tc>
          <w:tcPr>
            <w:tcW w:w="211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109,744,501.28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905"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应收账款账面价值占资产总额比重（%）</w:t>
            </w:r>
          </w:p>
        </w:tc>
        <w:tc>
          <w:tcPr>
            <w:tcW w:w="175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63.44</w:t>
            </w:r>
          </w:p>
        </w:tc>
        <w:tc>
          <w:tcPr>
            <w:tcW w:w="1754"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71.47</w:t>
            </w:r>
          </w:p>
        </w:tc>
        <w:tc>
          <w:tcPr>
            <w:tcW w:w="2113"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66.88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6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注：上表数据为子公司（湖北医药集团有限公司）财务数据。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③关于申请人合并报表应收账款的余额结构，数据如下：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2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50"/>
        <w:gridCol w:w="1856"/>
        <w:gridCol w:w="1904"/>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850"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项目及年度</w:t>
            </w:r>
          </w:p>
        </w:tc>
        <w:tc>
          <w:tcPr>
            <w:tcW w:w="1856"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2018年6月30日</w:t>
            </w:r>
          </w:p>
        </w:tc>
        <w:tc>
          <w:tcPr>
            <w:tcW w:w="1904"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2017年12月31日</w:t>
            </w:r>
          </w:p>
        </w:tc>
        <w:tc>
          <w:tcPr>
            <w:tcW w:w="1912"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85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合并报表应收账款账面价值</w:t>
            </w:r>
          </w:p>
        </w:tc>
        <w:tc>
          <w:tcPr>
            <w:tcW w:w="185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132,397,112.99</w:t>
            </w:r>
          </w:p>
        </w:tc>
        <w:tc>
          <w:tcPr>
            <w:tcW w:w="190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155,652,394.56</w:t>
            </w:r>
          </w:p>
        </w:tc>
        <w:tc>
          <w:tcPr>
            <w:tcW w:w="191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125,912,378.82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85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其中：湖北医药集团有限公司</w:t>
            </w:r>
          </w:p>
        </w:tc>
        <w:tc>
          <w:tcPr>
            <w:tcW w:w="185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104,528,446.79</w:t>
            </w:r>
          </w:p>
        </w:tc>
        <w:tc>
          <w:tcPr>
            <w:tcW w:w="190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132,187,456.88</w:t>
            </w:r>
          </w:p>
        </w:tc>
        <w:tc>
          <w:tcPr>
            <w:tcW w:w="191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109,744,501.28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850"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湖北医药集团有限公司应收账款占合并报表比重（%）</w:t>
            </w:r>
          </w:p>
        </w:tc>
        <w:tc>
          <w:tcPr>
            <w:tcW w:w="185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78.95</w:t>
            </w:r>
          </w:p>
        </w:tc>
        <w:tc>
          <w:tcPr>
            <w:tcW w:w="1904"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84.92</w:t>
            </w:r>
          </w:p>
        </w:tc>
        <w:tc>
          <w:tcPr>
            <w:tcW w:w="1912"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87.16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申请人合并应收账款主要由子公司湖北医药应收账款余额构成。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（2）申请人客户情况、信用政策、结算方式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①医药工业板块的客户情况、信用政策、结算方式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客户情况：报告期内，申请人前十大客户信息如下：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839"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39"/>
        <w:gridCol w:w="1497"/>
        <w:gridCol w:w="848"/>
        <w:gridCol w:w="1613"/>
        <w:gridCol w:w="1570"/>
        <w:gridCol w:w="1356"/>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8522" w:type="dxa"/>
            <w:gridSpan w:val="7"/>
            <w:tcBorders>
              <w:top w:val="single" w:color="auto" w:sz="12" w:space="0"/>
              <w:left w:val="single" w:color="auto" w:sz="12"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2016年12月31日应收账款余额前十名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序号</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单位名称</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关联方(是/否)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期末余额</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1年以内</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1-2年</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广州市正鼎医药有限公司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4,305,070.24</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4,305,070.24</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江西深龙医药有限公司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2,008,366.27</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2,008,366.27</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湖北生源生物医药有限公司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910,358.42</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89,300.00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821,058.42</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华润医药商业集团有限公司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855,281.49</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855,281.49</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武汉同济康达药品有限公司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827,149.23</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827,149.23</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四川科伦医药贸易有限公司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615,954.19</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615,954.19</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上海余天成药业有限公司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590,904.00</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590,904.00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武汉天仁国博大药房有限公司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512,316.00</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512,316.00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上海云湖医药药材股份有限公司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467,932.00</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467,932.00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国药控股国大复美药业（上海）有限公司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435,720.81</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13,968.00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421,752.81</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114" w:type="dxa"/>
            <w:gridSpan w:val="2"/>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合计</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11,529,052.65</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10,286,241.42</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1,242,811.23</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114" w:type="dxa"/>
            <w:gridSpan w:val="2"/>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占应收账款期末余额的比例（%）</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65.30</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58.26</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7.04</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8522" w:type="dxa"/>
            <w:gridSpan w:val="7"/>
            <w:tcBorders>
              <w:top w:val="single" w:color="auto" w:sz="6" w:space="0"/>
              <w:left w:val="single" w:color="auto" w:sz="12"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2017年12月31日应收账款余额前十名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序号</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单位名称</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关联方(是/否)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期末余额</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1年以内</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1-2年</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广州市正鼎医药有限公司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4,786,698.75</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4,786,698.75</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江西深龙医药有限公司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2,607,064.27</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2,607,064.27</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武汉同济康达药品有限公司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1,412,694.17</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1,412,694.17</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嘉事堂药业股份有限公司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1,367,660.46</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1,367,660.46</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国药控股北京有限公司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1,032,613.15</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1,032,613.15</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华润医药商业集团有限公司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955,050.29</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955,050.29</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湖北生源生物医药有限公司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910,358.42</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89,300.00</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821,058.42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国药控股国大复美药业（上海）有限公司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782,061.00</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782,061.00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北京科园信海医药经营有限公司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753,150.64</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753,150.64</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4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w:t>
            </w:r>
          </w:p>
        </w:tc>
        <w:tc>
          <w:tcPr>
            <w:tcW w:w="16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上海新世纪药业有限公司</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702,000.00</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702,000.00</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114" w:type="dxa"/>
            <w:gridSpan w:val="2"/>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合计</w:t>
            </w:r>
          </w:p>
        </w:tc>
        <w:tc>
          <w:tcPr>
            <w:tcW w:w="92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15,309,351.15</w:t>
            </w:r>
          </w:p>
        </w:tc>
        <w:tc>
          <w:tcPr>
            <w:tcW w:w="159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14,398,992.73</w:t>
            </w:r>
          </w:p>
        </w:tc>
        <w:tc>
          <w:tcPr>
            <w:tcW w:w="1140"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89,300.00</w:t>
            </w:r>
          </w:p>
        </w:tc>
        <w:tc>
          <w:tcPr>
            <w:tcW w:w="111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821,058.42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114" w:type="dxa"/>
            <w:gridSpan w:val="2"/>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占应收账款期末余额的比例（%）</w:t>
            </w:r>
          </w:p>
        </w:tc>
        <w:tc>
          <w:tcPr>
            <w:tcW w:w="922"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64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63.02</w:t>
            </w:r>
          </w:p>
        </w:tc>
        <w:tc>
          <w:tcPr>
            <w:tcW w:w="159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59.27</w:t>
            </w:r>
          </w:p>
        </w:tc>
        <w:tc>
          <w:tcPr>
            <w:tcW w:w="1140"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0.37</w:t>
            </w:r>
          </w:p>
        </w:tc>
        <w:tc>
          <w:tcPr>
            <w:tcW w:w="1115"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信用政策：根据对各客户信用评估结果，为增加市场份额，分别给予一年信用期、半年信用期、三个月信用期及先款后</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货等信用政策，目前账期以半年为主。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结算方式：统计2017年度结算数据，票据结算约占17%，银行转账约占83%。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2016年度、2017年度、2018半年度医药工业板块应收账款余额分别为：16,167,877.54元、23,464,937.68元、27,868,666.20元。报告期内申请人前十大客户的客户结构及前十大客户应收账款余额占应收账款总额比例均较为稳定。报告期内医药工业板块信用政策及结算方式未发生实质变化，应收账款变动原因主要来源于营业收入整体规模逐年上升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②医药商业板块的客户情况、信用政策、结算方式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客户情况：湖北医药客户群体较为稳定，以下为2016年及2017年应收账款前十大客户明细数据：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34"/>
        <w:gridCol w:w="3722"/>
        <w:gridCol w:w="1008"/>
        <w:gridCol w:w="1579"/>
        <w:gridCol w:w="1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4" w:hRule="atLeast"/>
        </w:trPr>
        <w:tc>
          <w:tcPr>
            <w:tcW w:w="8522" w:type="dxa"/>
            <w:gridSpan w:val="5"/>
            <w:tcBorders>
              <w:top w:val="single" w:color="auto" w:sz="12" w:space="0"/>
              <w:left w:val="single" w:color="auto" w:sz="12"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2016年12月31日应收账款余额前十名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序号</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单位名称</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关联方(是/否)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期末余额</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1年以内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华中科技大学同济医学院附属协和医院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26,122,590.53</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26,122,590.53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华中科技大学同济医学院附属同济医院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11,874,520.98</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11,874,520.98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湖北省人民医院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9,390,378.47</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9,390,378.47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武汉市中西医结合医院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7,657,265.57</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7,657,265.57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武汉市精神卫生中心</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7,225,973.21</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7,225,973.21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武汉大学中南医院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5,753,366.51</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5,753,366.51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宜昌市中心人民医院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5,037,339.68</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5,037,339.68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武汉市江夏区第一人民医院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4,183,858.66</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4,183,858.66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武汉市医疗救治中心</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3,285,943.86</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3,285,943.86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襄阳市中心医院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3,095,520.19</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3,095,520.19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363" w:type="dxa"/>
            <w:gridSpan w:val="2"/>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合计</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83,626,757.66</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83,626,757.66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363" w:type="dxa"/>
            <w:gridSpan w:val="2"/>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占应收账款期末余额的比例（%）</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58.30</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8522" w:type="dxa"/>
            <w:gridSpan w:val="5"/>
            <w:tcBorders>
              <w:top w:val="single" w:color="auto" w:sz="6" w:space="0"/>
              <w:left w:val="single" w:color="auto" w:sz="12"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2017年12月31日应收账款余额前十名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序号</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单位名称</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关联方(是/否)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期末余额</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1年以内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华中科技大学同济医学院附属协和医院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30,075,310.80</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30,075,310.80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华中科技大学同济医学院附属同济医院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17,122,053.88</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17,122,053.88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武汉市江夏区第一人民医院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12,788,406.02</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12,788,406.02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湖北省人民医院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10,072,225.84</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10,072,225.84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武汉市精神卫生中心</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9,580,613.68</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9,580,613.68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武汉大学中南医院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8,823,121.61</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8,823,121.61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武汉市中西医结合医院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5,956,138.52</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5,956,138.52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宜昌市中心人民医院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5,596,046.84</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5,596,046.84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武汉市医疗救治中心</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4,339,351.17</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4,339,351.17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634"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w:t>
            </w:r>
          </w:p>
        </w:tc>
        <w:tc>
          <w:tcPr>
            <w:tcW w:w="372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湖北省中医院</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否</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4,285,184.22</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4,285,184.22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363" w:type="dxa"/>
            <w:gridSpan w:val="2"/>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合计</w:t>
            </w:r>
          </w:p>
        </w:tc>
        <w:tc>
          <w:tcPr>
            <w:tcW w:w="1009"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108,638,452.58</w:t>
            </w:r>
          </w:p>
        </w:tc>
        <w:tc>
          <w:tcPr>
            <w:tcW w:w="1575"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108,638,452.58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363" w:type="dxa"/>
            <w:gridSpan w:val="2"/>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占应收账款期末余额的比例（%）</w:t>
            </w:r>
          </w:p>
        </w:tc>
        <w:tc>
          <w:tcPr>
            <w:tcW w:w="1009"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575"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67.16</w:t>
            </w:r>
          </w:p>
        </w:tc>
        <w:tc>
          <w:tcPr>
            <w:tcW w:w="1575"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67.16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信用政策：根据对各客户信用评估结果，分别给予客户一年信用期、半年信用期、三个月信用期及先款后货等信用政策，湖北医药被并购后一年信用期不再适用，目前账期以半年为主。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结算方式：统计2017年度结算数据，票据结算约占25%，银行转账约占75%。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2016年度、2017年度、2018半年度医药商业板块应收账款余额分别为：109,744,501.28元、132,187,456.88元、104,528,446.79元。医药商业板块客户购销体量比较大，且主要客户大多为湖北省各大医院，医院结算周期较长，导致公司期末应收账款余额较大，该现象符合医药商业公司的行业特性。报告期内申请人前十大客户结构较为稳定，医药商业板块信用政策及结算方式未发生实质变化，应收账款变动原因主要来源于出货时间的周期变动和期间内的出货量的变化,以及结算周期的变化和不规律性等多方面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综上，申请人医药工业板块和商业板块的前十大客户均较为稳定，信用政策的适用综合考虑业务拓展的需要和回款的及时性而制定，结算方式主要以银行转账方式为主，报告期内未发生实质变化。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（3）申请人坏账政策及同行业可比公司的情况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①合并范围内母子公司统一坏账政策如下：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a单项金额重大并单项计提坏账准备的应收款项</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93"/>
        <w:gridCol w:w="4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4" w:hRule="atLeast"/>
        </w:trPr>
        <w:tc>
          <w:tcPr>
            <w:tcW w:w="3893"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单项金额重大的判断依据或金额标准</w:t>
            </w:r>
          </w:p>
        </w:tc>
        <w:tc>
          <w:tcPr>
            <w:tcW w:w="4629"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应收款项账面余额在50.00万以上的款项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3893"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单项金额重大并单项计提坏账准备的计提方法</w:t>
            </w:r>
          </w:p>
        </w:tc>
        <w:tc>
          <w:tcPr>
            <w:tcW w:w="4629"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根据其账面价值与预计未来现金流量现值之间差额确认</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48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 b按组合计提坏账准备的应收款项</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559"/>
        <w:gridCol w:w="4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59"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确定组合的依据</w:t>
            </w:r>
          </w:p>
        </w:tc>
        <w:tc>
          <w:tcPr>
            <w:tcW w:w="4963"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款项性质及风险特征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59"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账龄组合</w:t>
            </w:r>
          </w:p>
        </w:tc>
        <w:tc>
          <w:tcPr>
            <w:tcW w:w="496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单项金额重大但不用单项计提坏账准备的款项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59"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按组合计提坏账准备的计提方法</w:t>
            </w:r>
          </w:p>
        </w:tc>
        <w:tc>
          <w:tcPr>
            <w:tcW w:w="496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59"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账龄组合</w:t>
            </w:r>
          </w:p>
        </w:tc>
        <w:tc>
          <w:tcPr>
            <w:tcW w:w="4963"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账龄分析法</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组合中，采用账龄分析法计提坏账准备情况：</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66"/>
        <w:gridCol w:w="3196"/>
        <w:gridCol w:w="3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账龄</w:t>
            </w:r>
          </w:p>
        </w:tc>
        <w:tc>
          <w:tcPr>
            <w:tcW w:w="3196"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应收账款计提比例（%）</w:t>
            </w:r>
          </w:p>
        </w:tc>
        <w:tc>
          <w:tcPr>
            <w:tcW w:w="3460"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其他应收款计提比例（%）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6个月以内</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7个月至1年</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1至2年</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2至3年</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3至4年</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4至5年</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5年以上</w:t>
            </w:r>
          </w:p>
        </w:tc>
        <w:tc>
          <w:tcPr>
            <w:tcW w:w="319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3460"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　　c单项金额虽不重大但单项计提坏账准备的应收款项</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08"/>
        <w:gridCol w:w="5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4" w:hRule="atLeast"/>
          <w:jc w:val="center"/>
        </w:trPr>
        <w:tc>
          <w:tcPr>
            <w:tcW w:w="2708"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单项计提坏账准备的理由</w:t>
            </w:r>
          </w:p>
        </w:tc>
        <w:tc>
          <w:tcPr>
            <w:tcW w:w="5814"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账龄3年以上的应收款项且有客观证据表明其发生了减值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2708"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坏账准备的计提方法</w:t>
            </w:r>
          </w:p>
        </w:tc>
        <w:tc>
          <w:tcPr>
            <w:tcW w:w="5814"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根据其账面价值与预计未来现金流量现值之间差额确认</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425"/>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②合并范围内坏账计提情况：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84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6"/>
        <w:gridCol w:w="1579"/>
        <w:gridCol w:w="819"/>
        <w:gridCol w:w="20"/>
        <w:gridCol w:w="1468"/>
        <w:gridCol w:w="1579"/>
        <w:gridCol w:w="34"/>
        <w:gridCol w:w="803"/>
        <w:gridCol w:w="26"/>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vMerge w:val="restart"/>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账龄</w:t>
            </w:r>
          </w:p>
        </w:tc>
        <w:tc>
          <w:tcPr>
            <w:tcW w:w="3858" w:type="dxa"/>
            <w:gridSpan w:val="4"/>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2018年6月30日</w:t>
            </w:r>
          </w:p>
        </w:tc>
        <w:tc>
          <w:tcPr>
            <w:tcW w:w="3889" w:type="dxa"/>
            <w:gridSpan w:val="5"/>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账面余额</w:t>
            </w:r>
          </w:p>
        </w:tc>
        <w:tc>
          <w:tcPr>
            <w:tcW w:w="8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计提比例(%)</w:t>
            </w:r>
          </w:p>
        </w:tc>
        <w:tc>
          <w:tcPr>
            <w:tcW w:w="1467"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坏账准备</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账面余额</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计提比例(%)</w:t>
            </w:r>
          </w:p>
        </w:tc>
        <w:tc>
          <w:tcPr>
            <w:tcW w:w="1498" w:type="dxa"/>
            <w:gridSpan w:val="2"/>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坏账准备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6月以内</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131,003,045.50</w:t>
            </w:r>
          </w:p>
        </w:tc>
        <w:tc>
          <w:tcPr>
            <w:tcW w:w="8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1467"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1,310,030.46</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152,009,333.21</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1498" w:type="dxa"/>
            <w:gridSpan w:val="2"/>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1,520,093.33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6-12月</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260,096.00</w:t>
            </w:r>
          </w:p>
        </w:tc>
        <w:tc>
          <w:tcPr>
            <w:tcW w:w="8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w:t>
            </w:r>
          </w:p>
        </w:tc>
        <w:tc>
          <w:tcPr>
            <w:tcW w:w="1467"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13,004.80</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548,778.14</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w:t>
            </w:r>
          </w:p>
        </w:tc>
        <w:tc>
          <w:tcPr>
            <w:tcW w:w="1498" w:type="dxa"/>
            <w:gridSpan w:val="2"/>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27,438.91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1至2年</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56,084.96</w:t>
            </w:r>
          </w:p>
        </w:tc>
        <w:tc>
          <w:tcPr>
            <w:tcW w:w="8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c>
          <w:tcPr>
            <w:tcW w:w="1467"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5,608.50</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3,787,861.24</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c>
          <w:tcPr>
            <w:tcW w:w="1498" w:type="dxa"/>
            <w:gridSpan w:val="2"/>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378,786.14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2至3年</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2,200,173.76</w:t>
            </w:r>
          </w:p>
        </w:tc>
        <w:tc>
          <w:tcPr>
            <w:tcW w:w="8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30.00</w:t>
            </w:r>
          </w:p>
        </w:tc>
        <w:tc>
          <w:tcPr>
            <w:tcW w:w="1467"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660,052.13</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1,743,191.36</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30.00</w:t>
            </w:r>
          </w:p>
        </w:tc>
        <w:tc>
          <w:tcPr>
            <w:tcW w:w="1498" w:type="dxa"/>
            <w:gridSpan w:val="2"/>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522,957.41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3至4年</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1,729,389.32</w:t>
            </w:r>
          </w:p>
        </w:tc>
        <w:tc>
          <w:tcPr>
            <w:tcW w:w="8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w:t>
            </w:r>
          </w:p>
        </w:tc>
        <w:tc>
          <w:tcPr>
            <w:tcW w:w="1467"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864,694.67</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8,570.05</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w:t>
            </w:r>
          </w:p>
        </w:tc>
        <w:tc>
          <w:tcPr>
            <w:tcW w:w="1498" w:type="dxa"/>
            <w:gridSpan w:val="2"/>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4,285.02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4至5年</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8,570.05</w:t>
            </w:r>
          </w:p>
        </w:tc>
        <w:tc>
          <w:tcPr>
            <w:tcW w:w="8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80.00</w:t>
            </w:r>
          </w:p>
        </w:tc>
        <w:tc>
          <w:tcPr>
            <w:tcW w:w="1467"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6,856.04</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41,106.83</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80.00</w:t>
            </w:r>
          </w:p>
        </w:tc>
        <w:tc>
          <w:tcPr>
            <w:tcW w:w="1498" w:type="dxa"/>
            <w:gridSpan w:val="2"/>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32,885.46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5年以上</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27,955,364.20</w:t>
            </w:r>
          </w:p>
        </w:tc>
        <w:tc>
          <w:tcPr>
            <w:tcW w:w="8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467"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27,955,364.20</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27,914,257.37</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498" w:type="dxa"/>
            <w:gridSpan w:val="2"/>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27,914,257.37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163,212,723.79</w:t>
            </w:r>
          </w:p>
        </w:tc>
        <w:tc>
          <w:tcPr>
            <w:tcW w:w="818"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67"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30,815,610.80</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186,053,098.20</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98" w:type="dxa"/>
            <w:gridSpan w:val="2"/>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30,400,703.64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vMerge w:val="restart"/>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账龄</w:t>
            </w:r>
          </w:p>
        </w:tc>
        <w:tc>
          <w:tcPr>
            <w:tcW w:w="3858" w:type="dxa"/>
            <w:gridSpan w:val="4"/>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2017年12月31日</w:t>
            </w:r>
          </w:p>
        </w:tc>
        <w:tc>
          <w:tcPr>
            <w:tcW w:w="3889" w:type="dxa"/>
            <w:gridSpan w:val="5"/>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vMerge w:val="continue"/>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账面余额</w:t>
            </w:r>
          </w:p>
        </w:tc>
        <w:tc>
          <w:tcPr>
            <w:tcW w:w="84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计提比例(%)</w:t>
            </w:r>
          </w:p>
        </w:tc>
        <w:tc>
          <w:tcPr>
            <w:tcW w:w="143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坏账准备</w:t>
            </w:r>
          </w:p>
        </w:tc>
        <w:tc>
          <w:tcPr>
            <w:tcW w:w="1605"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账面余额</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计提比例(%)</w:t>
            </w:r>
          </w:p>
        </w:tc>
        <w:tc>
          <w:tcPr>
            <w:tcW w:w="1466"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坏账准备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6月以内</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152,009,333.21</w:t>
            </w:r>
          </w:p>
        </w:tc>
        <w:tc>
          <w:tcPr>
            <w:tcW w:w="84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143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1,520,093.33</w:t>
            </w:r>
          </w:p>
        </w:tc>
        <w:tc>
          <w:tcPr>
            <w:tcW w:w="1605"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12,486,741.87</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1466"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124,867.42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6-12月</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548,778.14</w:t>
            </w:r>
          </w:p>
        </w:tc>
        <w:tc>
          <w:tcPr>
            <w:tcW w:w="84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w:t>
            </w:r>
          </w:p>
        </w:tc>
        <w:tc>
          <w:tcPr>
            <w:tcW w:w="143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27,438.91</w:t>
            </w:r>
          </w:p>
        </w:tc>
        <w:tc>
          <w:tcPr>
            <w:tcW w:w="1605"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116,284,060.41</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w:t>
            </w:r>
          </w:p>
        </w:tc>
        <w:tc>
          <w:tcPr>
            <w:tcW w:w="1466"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5,814,203.02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1至2年</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3,787,861.24</w:t>
            </w:r>
          </w:p>
        </w:tc>
        <w:tc>
          <w:tcPr>
            <w:tcW w:w="84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c>
          <w:tcPr>
            <w:tcW w:w="143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378,786.14</w:t>
            </w:r>
          </w:p>
        </w:tc>
        <w:tc>
          <w:tcPr>
            <w:tcW w:w="1605"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2,250,016.83</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c>
          <w:tcPr>
            <w:tcW w:w="1466"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225,001.68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2至3年</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1,743,191.36</w:t>
            </w:r>
          </w:p>
        </w:tc>
        <w:tc>
          <w:tcPr>
            <w:tcW w:w="84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30.00</w:t>
            </w:r>
          </w:p>
        </w:tc>
        <w:tc>
          <w:tcPr>
            <w:tcW w:w="143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522,957.41</w:t>
            </w:r>
          </w:p>
        </w:tc>
        <w:tc>
          <w:tcPr>
            <w:tcW w:w="1605"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442,841.43</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30.00</w:t>
            </w:r>
          </w:p>
        </w:tc>
        <w:tc>
          <w:tcPr>
            <w:tcW w:w="1466"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132,852.43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3至4年</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8,570.05</w:t>
            </w:r>
          </w:p>
        </w:tc>
        <w:tc>
          <w:tcPr>
            <w:tcW w:w="84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w:t>
            </w:r>
          </w:p>
        </w:tc>
        <w:tc>
          <w:tcPr>
            <w:tcW w:w="143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4,285.02</w:t>
            </w:r>
          </w:p>
        </w:tc>
        <w:tc>
          <w:tcPr>
            <w:tcW w:w="1605"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1,336,479.65</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w:t>
            </w:r>
          </w:p>
        </w:tc>
        <w:tc>
          <w:tcPr>
            <w:tcW w:w="1466"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668,239.83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4至5年</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41,106.83</w:t>
            </w:r>
          </w:p>
        </w:tc>
        <w:tc>
          <w:tcPr>
            <w:tcW w:w="84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80.00</w:t>
            </w:r>
          </w:p>
        </w:tc>
        <w:tc>
          <w:tcPr>
            <w:tcW w:w="143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32,885.46</w:t>
            </w:r>
          </w:p>
        </w:tc>
        <w:tc>
          <w:tcPr>
            <w:tcW w:w="1605"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387,015.06</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80.00</w:t>
            </w:r>
          </w:p>
        </w:tc>
        <w:tc>
          <w:tcPr>
            <w:tcW w:w="1466"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309,612.05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5年以上</w:t>
            </w:r>
          </w:p>
        </w:tc>
        <w:tc>
          <w:tcPr>
            <w:tcW w:w="157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27,914,257.37</w:t>
            </w:r>
          </w:p>
        </w:tc>
        <w:tc>
          <w:tcPr>
            <w:tcW w:w="84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437"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27,914,257.37</w:t>
            </w:r>
          </w:p>
        </w:tc>
        <w:tc>
          <w:tcPr>
            <w:tcW w:w="1605"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27,914,257.37</w:t>
            </w:r>
          </w:p>
        </w:tc>
        <w:tc>
          <w:tcPr>
            <w:tcW w:w="818" w:type="dxa"/>
            <w:gridSpan w:val="2"/>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w:t>
            </w:r>
          </w:p>
        </w:tc>
        <w:tc>
          <w:tcPr>
            <w:tcW w:w="1466"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27,914,257.37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775"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57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186,053,098.20</w:t>
            </w:r>
          </w:p>
        </w:tc>
        <w:tc>
          <w:tcPr>
            <w:tcW w:w="848" w:type="dxa"/>
            <w:gridSpan w:val="2"/>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37"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30,400,703.64</w:t>
            </w:r>
          </w:p>
        </w:tc>
        <w:tc>
          <w:tcPr>
            <w:tcW w:w="1605" w:type="dxa"/>
            <w:gridSpan w:val="2"/>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161,101,412.62</w:t>
            </w:r>
          </w:p>
        </w:tc>
        <w:tc>
          <w:tcPr>
            <w:tcW w:w="818" w:type="dxa"/>
            <w:gridSpan w:val="2"/>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66"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35,189,033.80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③同行业可比公司应收账款占总资产比及坏账政策情况：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a同行业可比上市公司应收账款占总资产比及坏账政策情况：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国药股份（600511）是一家主要经营药品生产、药品分销、药品物流业务的公司,与申请人业务类似，以下国药股份相关财务数据比率：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288" w:lineRule="atLeast"/>
        <w:ind w:left="839"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单位：亿元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00"/>
        <w:gridCol w:w="2316"/>
        <w:gridCol w:w="2453"/>
        <w:gridCol w:w="2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300"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项目</w:t>
            </w:r>
          </w:p>
        </w:tc>
        <w:tc>
          <w:tcPr>
            <w:tcW w:w="2316"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2018年6月30日</w:t>
            </w:r>
          </w:p>
        </w:tc>
        <w:tc>
          <w:tcPr>
            <w:tcW w:w="2453"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2017年12月31日</w:t>
            </w:r>
          </w:p>
        </w:tc>
        <w:tc>
          <w:tcPr>
            <w:tcW w:w="2453"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2016年12月31日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0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应收账款</w:t>
            </w:r>
          </w:p>
        </w:tc>
        <w:tc>
          <w:tcPr>
            <w:tcW w:w="231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97.66</w:t>
            </w:r>
          </w:p>
        </w:tc>
        <w:tc>
          <w:tcPr>
            <w:tcW w:w="245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90.87</w:t>
            </w:r>
          </w:p>
        </w:tc>
        <w:tc>
          <w:tcPr>
            <w:tcW w:w="245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300"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资产总额</w:t>
            </w:r>
          </w:p>
        </w:tc>
        <w:tc>
          <w:tcPr>
            <w:tcW w:w="231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204.10</w:t>
            </w:r>
          </w:p>
        </w:tc>
        <w:tc>
          <w:tcPr>
            <w:tcW w:w="245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201.66</w:t>
            </w:r>
          </w:p>
        </w:tc>
        <w:tc>
          <w:tcPr>
            <w:tcW w:w="245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300"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占比</w:t>
            </w:r>
          </w:p>
        </w:tc>
        <w:tc>
          <w:tcPr>
            <w:tcW w:w="231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47.85%</w:t>
            </w:r>
          </w:p>
        </w:tc>
        <w:tc>
          <w:tcPr>
            <w:tcW w:w="245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45.06%</w:t>
            </w:r>
          </w:p>
        </w:tc>
        <w:tc>
          <w:tcPr>
            <w:tcW w:w="2453"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48.72%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36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注：数据来源于国药股份2017年年度报告、2018年半年度报告，下同。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比较同行业上市公司，因规模差异，申请人应收账款余额及比率低于可比上市公司水平。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国药股份（600511）采用信用风险组合及账龄分析法计提坏账准备。账龄年限如下：</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66"/>
        <w:gridCol w:w="3196"/>
        <w:gridCol w:w="3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账龄</w:t>
            </w:r>
          </w:p>
        </w:tc>
        <w:tc>
          <w:tcPr>
            <w:tcW w:w="3196"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应收账款计提比例（%）</w:t>
            </w:r>
          </w:p>
        </w:tc>
        <w:tc>
          <w:tcPr>
            <w:tcW w:w="3460"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其他应收款计提比例（%）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1年以内</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0-5</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1至2年</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2至3年</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3至4年</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4至5年</w:t>
            </w:r>
          </w:p>
        </w:tc>
        <w:tc>
          <w:tcPr>
            <w:tcW w:w="319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w:t>
            </w:r>
          </w:p>
        </w:tc>
        <w:tc>
          <w:tcPr>
            <w:tcW w:w="3460"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866"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5年以上</w:t>
            </w:r>
          </w:p>
        </w:tc>
        <w:tc>
          <w:tcPr>
            <w:tcW w:w="319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3460"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b同行业可比新三板挂牌公司应收账款占总资产比及坏账政策情况：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同行业可比新三板挂牌公司相关财务数据比率如下：</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66"/>
        <w:gridCol w:w="2386"/>
        <w:gridCol w:w="2386"/>
        <w:gridCol w:w="2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66" w:type="dxa"/>
            <w:vMerge w:val="restart"/>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项目</w:t>
            </w:r>
          </w:p>
        </w:tc>
        <w:tc>
          <w:tcPr>
            <w:tcW w:w="2386"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德源药业（832735）</w:t>
            </w:r>
          </w:p>
        </w:tc>
        <w:tc>
          <w:tcPr>
            <w:tcW w:w="2386"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环球药业（835037）</w:t>
            </w:r>
          </w:p>
        </w:tc>
        <w:tc>
          <w:tcPr>
            <w:tcW w:w="2384"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皇隆制药（834298）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366" w:type="dxa"/>
            <w:vMerge w:val="continue"/>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8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2017年12月31日</w:t>
            </w:r>
          </w:p>
        </w:tc>
        <w:tc>
          <w:tcPr>
            <w:tcW w:w="238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2017年12月31日</w:t>
            </w:r>
          </w:p>
        </w:tc>
        <w:tc>
          <w:tcPr>
            <w:tcW w:w="238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3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应收账款</w:t>
            </w:r>
          </w:p>
        </w:tc>
        <w:tc>
          <w:tcPr>
            <w:tcW w:w="238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68,344,579.66</w:t>
            </w:r>
          </w:p>
        </w:tc>
        <w:tc>
          <w:tcPr>
            <w:tcW w:w="238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72,987,854.35</w:t>
            </w:r>
          </w:p>
        </w:tc>
        <w:tc>
          <w:tcPr>
            <w:tcW w:w="238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47,588,729.14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366"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资产总额</w:t>
            </w:r>
          </w:p>
        </w:tc>
        <w:tc>
          <w:tcPr>
            <w:tcW w:w="238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319,262,524.57</w:t>
            </w:r>
          </w:p>
        </w:tc>
        <w:tc>
          <w:tcPr>
            <w:tcW w:w="2386"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340,022,858.70</w:t>
            </w:r>
          </w:p>
        </w:tc>
        <w:tc>
          <w:tcPr>
            <w:tcW w:w="2384"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654,309,214.20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366"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占比</w:t>
            </w:r>
          </w:p>
        </w:tc>
        <w:tc>
          <w:tcPr>
            <w:tcW w:w="238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21.41%</w:t>
            </w:r>
          </w:p>
        </w:tc>
        <w:tc>
          <w:tcPr>
            <w:tcW w:w="2386"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21.47%</w:t>
            </w:r>
          </w:p>
        </w:tc>
        <w:tc>
          <w:tcPr>
            <w:tcW w:w="2384"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7.27%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36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注：数据来源于可比公司2017年年度报告，下同。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德源药业、环球药业、皇隆制药采用信用风险组合及账龄分析法计提坏账准备。账龄年限如下：</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8"/>
        <w:gridCol w:w="2274"/>
        <w:gridCol w:w="2461"/>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328"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账龄</w:t>
            </w:r>
          </w:p>
        </w:tc>
        <w:tc>
          <w:tcPr>
            <w:tcW w:w="2274"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德源药业</w:t>
            </w:r>
            <w:r>
              <w:rPr>
                <w:rFonts w:hint="eastAsia" w:ascii="微软雅黑" w:hAnsi="微软雅黑" w:eastAsia="微软雅黑" w:cs="微软雅黑"/>
                <w:i w:val="0"/>
                <w:iCs w:val="0"/>
                <w:caps w:val="0"/>
                <w:color w:val="333333"/>
                <w:spacing w:val="0"/>
                <w:sz w:val="19"/>
                <w:szCs w:val="19"/>
                <w:u w:val="none"/>
                <w:bdr w:val="none" w:color="auto" w:sz="0" w:space="0"/>
              </w:rPr>
              <w:t>应收款项计提比例（%）</w:t>
            </w:r>
          </w:p>
        </w:tc>
        <w:tc>
          <w:tcPr>
            <w:tcW w:w="2461"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环球药业</w:t>
            </w:r>
            <w:r>
              <w:rPr>
                <w:rFonts w:hint="eastAsia" w:ascii="微软雅黑" w:hAnsi="微软雅黑" w:eastAsia="微软雅黑" w:cs="微软雅黑"/>
                <w:i w:val="0"/>
                <w:iCs w:val="0"/>
                <w:caps w:val="0"/>
                <w:color w:val="333333"/>
                <w:spacing w:val="0"/>
                <w:sz w:val="19"/>
                <w:szCs w:val="19"/>
                <w:u w:val="none"/>
                <w:bdr w:val="none" w:color="auto" w:sz="0" w:space="0"/>
              </w:rPr>
              <w:t>应收款项计提比例（%）</w:t>
            </w:r>
          </w:p>
        </w:tc>
        <w:tc>
          <w:tcPr>
            <w:tcW w:w="2459"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皇隆制药</w:t>
            </w:r>
            <w:r>
              <w:rPr>
                <w:rFonts w:hint="eastAsia" w:ascii="微软雅黑" w:hAnsi="微软雅黑" w:eastAsia="微软雅黑" w:cs="微软雅黑"/>
                <w:i w:val="0"/>
                <w:iCs w:val="0"/>
                <w:caps w:val="0"/>
                <w:color w:val="333333"/>
                <w:spacing w:val="0"/>
                <w:sz w:val="19"/>
                <w:szCs w:val="19"/>
                <w:u w:val="none"/>
                <w:bdr w:val="none" w:color="auto" w:sz="0" w:space="0"/>
              </w:rPr>
              <w:t>应收款项计提比例（%）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32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1年以内</w:t>
            </w:r>
          </w:p>
        </w:tc>
        <w:tc>
          <w:tcPr>
            <w:tcW w:w="22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24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245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32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1至2年</w:t>
            </w:r>
          </w:p>
        </w:tc>
        <w:tc>
          <w:tcPr>
            <w:tcW w:w="22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24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245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32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2至3年</w:t>
            </w:r>
          </w:p>
        </w:tc>
        <w:tc>
          <w:tcPr>
            <w:tcW w:w="22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w:t>
            </w:r>
          </w:p>
        </w:tc>
        <w:tc>
          <w:tcPr>
            <w:tcW w:w="24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w:t>
            </w:r>
          </w:p>
        </w:tc>
        <w:tc>
          <w:tcPr>
            <w:tcW w:w="2459"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32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3至4年</w:t>
            </w:r>
          </w:p>
        </w:tc>
        <w:tc>
          <w:tcPr>
            <w:tcW w:w="22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w:t>
            </w:r>
          </w:p>
        </w:tc>
        <w:tc>
          <w:tcPr>
            <w:tcW w:w="24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w:t>
            </w:r>
          </w:p>
        </w:tc>
        <w:tc>
          <w:tcPr>
            <w:tcW w:w="2459" w:type="dxa"/>
            <w:vMerge w:val="restart"/>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32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4至5年</w:t>
            </w:r>
          </w:p>
        </w:tc>
        <w:tc>
          <w:tcPr>
            <w:tcW w:w="2274"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w:t>
            </w:r>
          </w:p>
        </w:tc>
        <w:tc>
          <w:tcPr>
            <w:tcW w:w="246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w:t>
            </w:r>
          </w:p>
        </w:tc>
        <w:tc>
          <w:tcPr>
            <w:tcW w:w="2459" w:type="dxa"/>
            <w:vMerge w:val="continue"/>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328"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5年以上</w:t>
            </w:r>
          </w:p>
        </w:tc>
        <w:tc>
          <w:tcPr>
            <w:tcW w:w="2274"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2461"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2459" w:type="dxa"/>
            <w:vMerge w:val="continue"/>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相较可比上市公司及新三板挂牌公司而言，申请人坏账政策较为谨慎，应收账款余额占总资产比在合理范围内。坏账计提谨慎充分。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（4）中介机构核查意见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主办券商及会计师认为，申请人报告期内重要客户较为稳定，信用政策和结算方式依据公司行业特性制定，应收账款余额形成原因及变动原因合理，坏账计提谨慎充分。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2、</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关于流动资金测算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审核中关注到，申请人测算流动资金需求时使用了其他应收款、应付职工薪酬、应交税费、其他应付款等科目。请申请人按照经营性应收（应收账款、预付账款及应收票据）、经营性应付（应付账款、预收账款及应付票据）及存货项目对流动资金的占用情况，补充披露本次补充流动资金的测算过程。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（1）补充流动资金测算过程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申请人采用可持续增长率来测算营业收入增长率。2014-2017年度申请人营业收入增长及盈利情况如下，其中2014-2017年度数据为经审计的财务数据：</w:t>
      </w:r>
    </w:p>
    <w:tbl>
      <w:tblPr>
        <w:tblW w:w="8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10"/>
        <w:gridCol w:w="1607"/>
        <w:gridCol w:w="1572"/>
        <w:gridCol w:w="1644"/>
        <w:gridCol w:w="1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4" w:hRule="atLeast"/>
          <w:jc w:val="center"/>
        </w:trPr>
        <w:tc>
          <w:tcPr>
            <w:tcW w:w="1710"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项目</w:t>
            </w:r>
          </w:p>
        </w:tc>
        <w:tc>
          <w:tcPr>
            <w:tcW w:w="1607"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w:t>
            </w:r>
          </w:p>
        </w:tc>
        <w:tc>
          <w:tcPr>
            <w:tcW w:w="157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w:t>
            </w:r>
          </w:p>
        </w:tc>
        <w:tc>
          <w:tcPr>
            <w:tcW w:w="1644"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2015年</w:t>
            </w:r>
          </w:p>
        </w:tc>
        <w:tc>
          <w:tcPr>
            <w:tcW w:w="1743"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4" w:hRule="atLeast"/>
          <w:jc w:val="center"/>
        </w:trPr>
        <w:tc>
          <w:tcPr>
            <w:tcW w:w="171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营业收入（元）</w:t>
            </w:r>
          </w:p>
        </w:tc>
        <w:tc>
          <w:tcPr>
            <w:tcW w:w="160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292,001,526.01</w:t>
            </w:r>
          </w:p>
        </w:tc>
        <w:tc>
          <w:tcPr>
            <w:tcW w:w="15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96,238,220.62</w:t>
            </w:r>
          </w:p>
        </w:tc>
        <w:tc>
          <w:tcPr>
            <w:tcW w:w="164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30,790,740.02</w:t>
            </w:r>
          </w:p>
        </w:tc>
        <w:tc>
          <w:tcPr>
            <w:tcW w:w="174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55,180,905.13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71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同期营业收入增长率（%）</w:t>
            </w:r>
          </w:p>
        </w:tc>
        <w:tc>
          <w:tcPr>
            <w:tcW w:w="160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203.42</w:t>
            </w:r>
          </w:p>
        </w:tc>
        <w:tc>
          <w:tcPr>
            <w:tcW w:w="157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212.556</w:t>
            </w:r>
          </w:p>
        </w:tc>
        <w:tc>
          <w:tcPr>
            <w:tcW w:w="164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-44.200</w:t>
            </w:r>
          </w:p>
        </w:tc>
        <w:tc>
          <w:tcPr>
            <w:tcW w:w="174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710"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净资产收益率（%）</w:t>
            </w:r>
          </w:p>
        </w:tc>
        <w:tc>
          <w:tcPr>
            <w:tcW w:w="1607"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5.73</w:t>
            </w:r>
          </w:p>
        </w:tc>
        <w:tc>
          <w:tcPr>
            <w:tcW w:w="157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2.87</w:t>
            </w:r>
          </w:p>
        </w:tc>
        <w:tc>
          <w:tcPr>
            <w:tcW w:w="164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0.14</w:t>
            </w:r>
          </w:p>
        </w:tc>
        <w:tc>
          <w:tcPr>
            <w:tcW w:w="1743"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21.60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可持续增长率=（权益回报率*利润留存率）/（1-权益回报率*利润留存率），因申请人不对2017年度进行权益分派，故利润留存率为100%。故2017年度预测可持续增长率计算如下表：</w:t>
      </w:r>
    </w:p>
    <w:tbl>
      <w:tblPr>
        <w:tblW w:w="8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598"/>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98"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财务指标</w:t>
            </w:r>
          </w:p>
        </w:tc>
        <w:tc>
          <w:tcPr>
            <w:tcW w:w="4678"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2017年度经审计财务数据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9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净利润（单位：元）</w:t>
            </w:r>
          </w:p>
        </w:tc>
        <w:tc>
          <w:tcPr>
            <w:tcW w:w="467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19,038,788.83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9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期末所有者权益（单位：元）</w:t>
            </w:r>
          </w:p>
        </w:tc>
        <w:tc>
          <w:tcPr>
            <w:tcW w:w="467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341,552,343.14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9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平均所有者权益（单位：元）</w:t>
            </w:r>
          </w:p>
        </w:tc>
        <w:tc>
          <w:tcPr>
            <w:tcW w:w="467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332,033,783.98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98"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平均净资产收益率</w:t>
            </w:r>
          </w:p>
        </w:tc>
        <w:tc>
          <w:tcPr>
            <w:tcW w:w="4678"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3598"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可持续增长率</w:t>
            </w:r>
          </w:p>
        </w:tc>
        <w:tc>
          <w:tcPr>
            <w:tcW w:w="4678"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6.08%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综合考虑申请人前两年的经营情况以及2017年平稳发展的态势、战略布局及行业前景，申请人采用预计的2017年度可持续增长率对未来收入进行预测。2018年-2020年营业收入预测值分别为309,755,218.79元、328,588,336.09元、348,566,506.93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假设各项经营流动资产和经营流动负债与销售额保持稳定的比例关系，以2017年度经审计数据为基期，采用销售百分比法测算2018年度、2019年度以及2020年度营运资金需求。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具体情况如下表：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96"/>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单位：元</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89"/>
        <w:gridCol w:w="1579"/>
        <w:gridCol w:w="1117"/>
        <w:gridCol w:w="1579"/>
        <w:gridCol w:w="1579"/>
        <w:gridCol w:w="1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12"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项目</w:t>
            </w:r>
          </w:p>
        </w:tc>
        <w:tc>
          <w:tcPr>
            <w:tcW w:w="1575"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2017年经审计财务数据</w:t>
            </w:r>
          </w:p>
        </w:tc>
        <w:tc>
          <w:tcPr>
            <w:tcW w:w="1123"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资产负债占收入比（%）</w:t>
            </w:r>
          </w:p>
        </w:tc>
        <w:tc>
          <w:tcPr>
            <w:tcW w:w="1575"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2018年/2018年12月31日（E）</w:t>
            </w:r>
          </w:p>
        </w:tc>
        <w:tc>
          <w:tcPr>
            <w:tcW w:w="1575" w:type="dxa"/>
            <w:tcBorders>
              <w:top w:val="single" w:color="auto" w:sz="12"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2019年/2019年12月31日（E）</w:t>
            </w:r>
          </w:p>
        </w:tc>
        <w:tc>
          <w:tcPr>
            <w:tcW w:w="1573" w:type="dxa"/>
            <w:tcBorders>
              <w:top w:val="single" w:color="auto" w:sz="12"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2020年/2020年12月31日（E）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营业收入</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292,001,526.01</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309,755,218.79</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328,588,336.09</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348,566,506.93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应收账款</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155,652,394.56</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53.31</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165,116,060.15</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175,155,116.61</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185,804,547.70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应收票据</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12,122,990.24</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4.15</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12,860,068.05</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13,641,960.18</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14,471,391.36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预付款项</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19,277,543.29</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6.60</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20,449,617.92</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21,692,954.69</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23,011,886.34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存货</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27,782,100.98</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9.51</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29,471,252.72</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31,263,104.88</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33,163,901.66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经营性流动资产合计</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214,835,029.07</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73.57</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227,896,998.84</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241,753,136.36</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256,451,727.06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应付账款</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31,965,259.81</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10.95</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33,908,747.61</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35,970,399.46</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38,157,399.75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预收账款</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1,631,459.86</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0.56</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1,730,652.62</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1,835,876.30</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1,947,497.58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应付票据</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　</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经营性流动负债合计</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33,596,719.67</w:t>
            </w:r>
          </w:p>
        </w:tc>
        <w:tc>
          <w:tcPr>
            <w:tcW w:w="1123"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11.51</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35,639,400.23</w:t>
            </w:r>
          </w:p>
        </w:tc>
        <w:tc>
          <w:tcPr>
            <w:tcW w:w="1575"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37,806,275.76</w:t>
            </w:r>
          </w:p>
        </w:tc>
        <w:tc>
          <w:tcPr>
            <w:tcW w:w="1573"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40,104,897.33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1101" w:type="dxa"/>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流动资金占用额</w:t>
            </w:r>
          </w:p>
        </w:tc>
        <w:tc>
          <w:tcPr>
            <w:tcW w:w="1575"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181,238,309.40</w:t>
            </w:r>
          </w:p>
        </w:tc>
        <w:tc>
          <w:tcPr>
            <w:tcW w:w="1123"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62.07</w:t>
            </w:r>
          </w:p>
        </w:tc>
        <w:tc>
          <w:tcPr>
            <w:tcW w:w="1575"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192,257,598.61</w:t>
            </w:r>
          </w:p>
        </w:tc>
        <w:tc>
          <w:tcPr>
            <w:tcW w:w="1575"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203,946,860.60</w:t>
            </w:r>
          </w:p>
        </w:tc>
        <w:tc>
          <w:tcPr>
            <w:tcW w:w="1573"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216,346,829.73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由上表可见，截止2020年12月31日，申请人经营性流动资金占用额为216,346,829.73元，较2017年年末余额新增35,108,520.33元。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（2）中介机构核查意见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主办券商及会计师认为，本次募集资金不超过3,300.00万元用于补充流动资金的安排具有必要性与可行性。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关于本次股票发行程序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关注到，主办券商未对申请人本次股票发行过程的规范性及结果的有效性发表明确意见。请主办券商按照《非上市公众公司信息披露内容与格式准则第3号——定向发行说明书和发行情况报告书》，对本次股票发行过程中，董事会、股东大会召开及表决程序是否符合有关法律、行政法规等规范性文件以及公司章程的规定，决议内容是否合法有效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主办券商认为申请人本次股票发行过程中的董事会、股东大会召开及表决程序符合《公司法》《公众公司办法》《全国中小企业股份转让系统业务规则（试行）》《全国中小企业股份转让系统股票发行业务细则（试行）》《武汉同济现代医药科技股份有限公司章程》等相关规定，决议内容合法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4、</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关于募集资金专户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审核中关注到，申请人未披露其是否已按规定为本次发行开立了募集资金专户。请申请人按照《挂牌公司股票发行常见问题解答（三）——募集资金管理、认购协议中特殊条款、特殊类型挂牌公司融资》的要求，开立本次发行的募集资金专项账户。请主办券商、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申请人于2018年10月10日开立了募集资金账户，并出具承诺函，承诺该账户仅用于本次发行股票认购缴款及使用。账户基本信息如下: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账 户 名：武汉同济现代医药科技股份有限公司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账　　号：15921312312323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开 户 行：平安银行武汉分行营业部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为符合三方监管协议对明确募集资金的签署要求，申请人将于本次股票发行认购结束后且验资前与主办券商、存放募集资金的商业银行签订三方监管协议，并向监管部门报备。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经核查，主办券商及律师认为，申请人已为本次股票发行开立募集资金专项账户，符合《挂牌公司股票发行常见问题解答（三）——募集资金管理、认购协议中特殊条款、特殊类型挂牌公司融资》关于募集资金管理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　　5、关于律师发表意见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审核中关注到，律师未就申请人资金占用、股权质押以及违规对外担保等问题发表明确意见。请律师核查并发表明确意见。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律师已对申请人资金占用、股权质押以及违规对外担保等情况进行了核查，并出具《北京大成（武汉）律师事务所关于武汉同济现代医药科技股份有限公司股票发行合法合规的补充法律意见书（一）》），认为报告期内申请人不存在控股股东、实际控制人及其关联方资金占用的情形，不存在违规对外担保情形。并就报告期内申请人股份质押情况进行了补充披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　　6、关于券商聘请第三方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审核中关注到，主办券商未披露在开展该项目过程中是否聘请第三方。请主办券商按照《关于加强证券公司在投资银行类业务中聘请第三方等廉洁从业风险防控的意见》(证监会公告[2018]22号)的要求，补充披露本项目开展过程中聘请第三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主办券商在推荐报告中补充说明：本次股票发行业务中不存在有偿聘请第三方的情形。申请人除聘请主办券商、律师事务所、会计师事务所等该类项目依法需聘请的证券服务机构外，不存在直接或间接有偿聘请其他第三方机构或个人的行为，符合《关于加强证券公司在投资银行类业务中聘请第三方等廉洁从业风险防控的意见》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表了明确的意见。据此，我会同意武汉同济现代医药科技股份有限公司向特定对象发行股票的申请。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06C12985"/>
    <w:rsid w:val="06C12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2022-09-05T08:54:00Z</dcterms:created>
  <dc:creator>程晋</dc:creator>
  <cp:lastModifiedBy>程晋</cp:lastModifiedBy>
  <dcterms:modified xsi:type="dcterms:W3CDTF">2022-09-05T08:54:27Z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9C082DC67C7540DD9EB368981BF14583</vt:lpwstr>
  </property>
</Properties>
</file>