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40" w:firstLineChars="700"/>
        <w:rPr>
          <w:rFonts w:ascii="Arial" w:hAnsi="Arial" w:cs="Arial"/>
          <w:lang w:eastAsia="zh-CN"/>
        </w:rPr>
      </w:pPr>
      <w:bookmarkStart w:id="10" w:name="_GoBack"/>
      <w:bookmarkEnd w:id="10"/>
      <w:r>
        <w:rPr>
          <w:lang w:val="en-US" w:eastAsia="zh-CN"/>
        </w:rPr>
        <w:drawing>
          <wp:anchor distT="0" distB="0" distL="114300" distR="114300" simplePos="0" relativeHeight="251660288" behindDoc="0" locked="0" layoutInCell="1" allowOverlap="1">
            <wp:simplePos x="0" y="0"/>
            <wp:positionH relativeFrom="column">
              <wp:posOffset>102870</wp:posOffset>
            </wp:positionH>
            <wp:positionV relativeFrom="paragraph">
              <wp:posOffset>-635</wp:posOffset>
            </wp:positionV>
            <wp:extent cx="567690" cy="593725"/>
            <wp:effectExtent l="0" t="0" r="3810" b="0"/>
            <wp:wrapSquare wrapText="bothSides"/>
            <wp:docPr id="1" name="图片 1" descr="\\X501-DELL960\xoc\02.来访\02常用模板\标签、桌签、桌卡\nsf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501-DELL960\xoc\02.来访\02常用模板\标签、桌签、桌卡\nsfclogo.png"/>
                    <pic:cNvPicPr>
                      <a:picLocks noChangeAspect="1" noChangeArrowheads="1"/>
                    </pic:cNvPicPr>
                  </pic:nvPicPr>
                  <pic:blipFill>
                    <a:blip r:embed="rId7" cstate="print"/>
                    <a:srcRect/>
                    <a:stretch>
                      <a:fillRect/>
                    </a:stretch>
                  </pic:blipFill>
                  <pic:spPr>
                    <a:xfrm>
                      <a:off x="0" y="0"/>
                      <a:ext cx="567690" cy="593725"/>
                    </a:xfrm>
                    <a:prstGeom prst="rect">
                      <a:avLst/>
                    </a:prstGeom>
                    <a:noFill/>
                    <a:ln w="9525">
                      <a:noFill/>
                      <a:miter lim="800000"/>
                      <a:headEnd/>
                      <a:tailEnd/>
                    </a:ln>
                  </pic:spPr>
                </pic:pic>
              </a:graphicData>
            </a:graphic>
          </wp:anchor>
        </w:drawing>
      </w:r>
      <w:r>
        <w:rPr>
          <w:rFonts w:ascii="Arial" w:hAnsi="Arial" w:cs="Arial"/>
          <w:lang w:val="en-US" w:eastAsia="zh-CN"/>
        </w:rPr>
        <w:drawing>
          <wp:inline distT="0" distB="0" distL="0" distR="0">
            <wp:extent cx="820420" cy="463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24721" cy="466323"/>
                    </a:xfrm>
                    <a:prstGeom prst="rect">
                      <a:avLst/>
                    </a:prstGeom>
                    <a:noFill/>
                  </pic:spPr>
                </pic:pic>
              </a:graphicData>
            </a:graphic>
          </wp:inline>
        </w:drawing>
      </w:r>
      <w:r>
        <w:rPr>
          <w:lang w:val="en-US" w:eastAsia="zh-CN"/>
        </w:rPr>
        <w:drawing>
          <wp:anchor distT="0" distB="0" distL="0" distR="0" simplePos="0" relativeHeight="251659264" behindDoc="0" locked="0" layoutInCell="1" allowOverlap="1">
            <wp:simplePos x="0" y="0"/>
            <wp:positionH relativeFrom="column">
              <wp:posOffset>3396615</wp:posOffset>
            </wp:positionH>
            <wp:positionV relativeFrom="paragraph">
              <wp:posOffset>100330</wp:posOffset>
            </wp:positionV>
            <wp:extent cx="1614170" cy="412115"/>
            <wp:effectExtent l="0" t="0" r="5080" b="6985"/>
            <wp:wrapSquare wrapText="largest"/>
            <wp:docPr id="1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6"/>
                    <pic:cNvPicPr>
                      <a:picLocks noChangeAspect="1" noChangeArrowheads="1"/>
                    </pic:cNvPicPr>
                  </pic:nvPicPr>
                  <pic:blipFill>
                    <a:blip r:embed="rId9">
                      <a:extLst>
                        <a:ext uri="{28A0092B-C50C-407E-A947-70E740481C1C}">
                          <a14:useLocalDpi xmlns:a14="http://schemas.microsoft.com/office/drawing/2010/main" val="0"/>
                        </a:ext>
                      </a:extLst>
                    </a:blip>
                    <a:srcRect l="23691"/>
                    <a:stretch>
                      <a:fillRect/>
                    </a:stretch>
                  </pic:blipFill>
                  <pic:spPr>
                    <a:xfrm>
                      <a:off x="0" y="0"/>
                      <a:ext cx="1614170" cy="412115"/>
                    </a:xfrm>
                    <a:prstGeom prst="rect">
                      <a:avLst/>
                    </a:prstGeom>
                    <a:solidFill>
                      <a:srgbClr val="FFFFFF"/>
                    </a:solidFill>
                    <a:ln>
                      <a:noFill/>
                    </a:ln>
                  </pic:spPr>
                </pic:pic>
              </a:graphicData>
            </a:graphic>
          </wp:anchor>
        </w:drawing>
      </w:r>
      <w:r>
        <w:rPr>
          <w:rFonts w:ascii="Arial" w:hAnsi="Arial" w:cs="Arial"/>
          <w:lang w:eastAsia="zh-CN"/>
        </w:rPr>
        <w:br w:type="textWrapping" w:clear="all"/>
      </w:r>
    </w:p>
    <w:p>
      <w:pPr>
        <w:spacing w:after="0"/>
        <w:rPr>
          <w:rFonts w:ascii="Arial" w:hAnsi="Arial" w:cs="Arial"/>
          <w:b/>
          <w:sz w:val="32"/>
        </w:rPr>
      </w:pPr>
    </w:p>
    <w:p>
      <w:pPr>
        <w:spacing w:after="0"/>
        <w:rPr>
          <w:rFonts w:ascii="Arial" w:hAnsi="Arial" w:cs="Arial"/>
          <w:b/>
          <w:sz w:val="32"/>
        </w:rPr>
      </w:pPr>
    </w:p>
    <w:p>
      <w:pPr>
        <w:spacing w:after="0"/>
        <w:jc w:val="center"/>
        <w:rPr>
          <w:rFonts w:ascii="Arial" w:hAnsi="Arial" w:cs="Arial"/>
          <w:b/>
          <w:sz w:val="32"/>
        </w:rPr>
      </w:pPr>
      <w:r>
        <w:rPr>
          <w:rFonts w:ascii="Arial" w:hAnsi="Arial" w:cs="Arial"/>
          <w:b/>
          <w:sz w:val="32"/>
        </w:rPr>
        <w:t>INTERNATIONAL CALL FOR COLLABORATIVE PROPOSALS IN COVID</w:t>
      </w:r>
      <w:r>
        <w:rPr>
          <w:rFonts w:hint="eastAsia" w:ascii="Arial" w:hAnsi="Arial" w:cs="Arial"/>
          <w:b/>
          <w:sz w:val="32"/>
          <w:lang w:eastAsia="zh-CN"/>
        </w:rPr>
        <w:t>-</w:t>
      </w:r>
      <w:r>
        <w:rPr>
          <w:rFonts w:ascii="Arial" w:hAnsi="Arial" w:cs="Arial"/>
          <w:b/>
          <w:sz w:val="32"/>
        </w:rPr>
        <w:t>19 RESEARCH</w:t>
      </w:r>
    </w:p>
    <w:p>
      <w:pPr>
        <w:spacing w:after="0"/>
        <w:jc w:val="both"/>
        <w:rPr>
          <w:rFonts w:ascii="Arial" w:hAnsi="Arial" w:cs="Arial"/>
          <w:b/>
          <w:sz w:val="28"/>
        </w:rPr>
      </w:pPr>
    </w:p>
    <w:p>
      <w:pPr>
        <w:spacing w:after="0"/>
        <w:jc w:val="center"/>
        <w:rPr>
          <w:rFonts w:ascii="Arial" w:hAnsi="Arial" w:cs="Arial"/>
          <w:b/>
          <w:sz w:val="32"/>
        </w:rPr>
      </w:pPr>
      <w:r>
        <w:rPr>
          <w:rFonts w:ascii="Arial" w:hAnsi="Arial" w:cs="Arial"/>
          <w:b/>
          <w:sz w:val="32"/>
        </w:rPr>
        <w:t>Guidance for Applicants</w:t>
      </w:r>
    </w:p>
    <w:p>
      <w:pPr>
        <w:spacing w:after="0"/>
        <w:jc w:val="both"/>
        <w:rPr>
          <w:rFonts w:ascii="Arial" w:hAnsi="Arial" w:cs="Arial"/>
          <w:b/>
        </w:rPr>
      </w:pPr>
    </w:p>
    <w:p>
      <w:pPr>
        <w:spacing w:after="0"/>
        <w:jc w:val="both"/>
        <w:rPr>
          <w:rFonts w:ascii="Arial" w:hAnsi="Arial" w:cs="Arial"/>
        </w:rPr>
      </w:pPr>
      <w:r>
        <w:rPr>
          <w:rFonts w:ascii="Arial" w:hAnsi="Arial" w:cs="Arial"/>
          <w:b/>
        </w:rPr>
        <w:t>Call status:</w:t>
      </w:r>
      <w:r>
        <w:rPr>
          <w:rFonts w:ascii="Arial" w:hAnsi="Arial" w:cs="Arial"/>
        </w:rPr>
        <w:t xml:space="preserve"> Open</w:t>
      </w:r>
    </w:p>
    <w:p>
      <w:pPr>
        <w:spacing w:after="0"/>
        <w:jc w:val="both"/>
        <w:rPr>
          <w:rFonts w:ascii="Arial" w:hAnsi="Arial" w:cs="Arial"/>
          <w:b/>
        </w:rPr>
      </w:pPr>
      <w:r>
        <w:rPr>
          <w:rFonts w:ascii="Arial" w:hAnsi="Arial" w:cs="Arial"/>
          <w:b/>
        </w:rPr>
        <w:t>Closing date for Applications:</w:t>
      </w:r>
      <w:r>
        <w:rPr>
          <w:rFonts w:hint="eastAsia" w:ascii="Arial" w:hAnsi="Arial" w:cs="Arial"/>
          <w:b/>
        </w:rPr>
        <w:t xml:space="preserve"> </w:t>
      </w:r>
    </w:p>
    <w:p>
      <w:pPr>
        <w:spacing w:after="0"/>
        <w:jc w:val="both"/>
        <w:rPr>
          <w:rFonts w:ascii="Arial" w:hAnsi="Arial" w:cs="Arial"/>
        </w:rPr>
      </w:pPr>
      <w:r>
        <w:rPr>
          <w:rFonts w:hint="eastAsia" w:ascii="Arial" w:hAnsi="Arial" w:cs="Arial"/>
        </w:rPr>
        <w:t>16:00 o</w:t>
      </w:r>
      <w:r>
        <w:rPr>
          <w:rFonts w:ascii="Arial" w:hAnsi="Arial" w:cs="Arial"/>
        </w:rPr>
        <w:t>’</w:t>
      </w:r>
      <w:r>
        <w:rPr>
          <w:rFonts w:hint="eastAsia" w:ascii="Arial" w:hAnsi="Arial" w:cs="Arial"/>
        </w:rPr>
        <w:t>clock Beijing Time, September 15, 2020</w:t>
      </w:r>
    </w:p>
    <w:p>
      <w:pPr>
        <w:spacing w:after="0"/>
        <w:jc w:val="both"/>
        <w:rPr>
          <w:rFonts w:ascii="Arial" w:hAnsi="Arial" w:cs="Arial"/>
        </w:rPr>
      </w:pPr>
      <w:r>
        <w:rPr>
          <w:rFonts w:ascii="Arial" w:hAnsi="Arial" w:cs="Arial"/>
        </w:rPr>
        <w:t>17:00 o'clock Sofia time</w:t>
      </w:r>
      <w:r>
        <w:rPr>
          <w:rFonts w:hint="eastAsia" w:ascii="Arial" w:hAnsi="Arial" w:cs="Arial"/>
        </w:rPr>
        <w:t>, September 15, 2020</w:t>
      </w:r>
    </w:p>
    <w:p>
      <w:pPr>
        <w:spacing w:after="0"/>
        <w:jc w:val="both"/>
        <w:rPr>
          <w:rFonts w:ascii="Arial" w:hAnsi="Arial" w:cs="Arial"/>
        </w:rPr>
      </w:pPr>
      <w:r>
        <w:rPr>
          <w:rFonts w:ascii="Arial" w:hAnsi="Arial" w:cs="Arial"/>
        </w:rPr>
        <w:t>17:00 o</w:t>
      </w:r>
      <w:r>
        <w:rPr>
          <w:rFonts w:hint="eastAsia" w:ascii="Arial" w:hAnsi="Arial" w:cs="Arial"/>
        </w:rPr>
        <w:t>'</w:t>
      </w:r>
      <w:r>
        <w:rPr>
          <w:rFonts w:ascii="Arial" w:hAnsi="Arial" w:cs="Arial"/>
        </w:rPr>
        <w:t>clock Minsk time</w:t>
      </w:r>
      <w:r>
        <w:rPr>
          <w:rFonts w:hint="eastAsia" w:ascii="Arial" w:hAnsi="Arial" w:cs="Arial"/>
        </w:rPr>
        <w:t>, September 15, 2020</w:t>
      </w:r>
    </w:p>
    <w:p>
      <w:pPr>
        <w:spacing w:after="0"/>
        <w:jc w:val="both"/>
        <w:rPr>
          <w:rFonts w:ascii="Arial" w:hAnsi="Arial" w:cs="Arial"/>
          <w:b/>
          <w:highlight w:val="yellow"/>
          <w:lang w:eastAsia="zh-CN"/>
        </w:rPr>
      </w:pPr>
    </w:p>
    <w:p>
      <w:pPr>
        <w:spacing w:after="0"/>
        <w:jc w:val="both"/>
        <w:rPr>
          <w:rFonts w:ascii="Arial" w:hAnsi="Arial" w:cs="Arial"/>
        </w:rPr>
      </w:pPr>
    </w:p>
    <w:p>
      <w:pPr>
        <w:pStyle w:val="28"/>
        <w:rPr>
          <w:color w:val="000000" w:themeColor="text1"/>
          <w14:textFill>
            <w14:solidFill>
              <w14:schemeClr w14:val="tx1"/>
            </w14:solidFill>
          </w14:textFill>
        </w:rPr>
      </w:pPr>
      <w:r>
        <w:rPr>
          <w:color w:val="000000" w:themeColor="text1"/>
          <w:lang w:eastAsia="zh-CN"/>
          <w14:textFill>
            <w14:solidFill>
              <w14:schemeClr w14:val="tx1"/>
            </w14:solidFill>
          </w14:textFill>
        </w:rPr>
        <w:t>Contents</w:t>
      </w:r>
    </w:p>
    <w:p>
      <w:pPr>
        <w:pStyle w:val="10"/>
        <w:rPr>
          <w:kern w:val="2"/>
          <w:sz w:val="21"/>
          <w:lang w:eastAsia="zh-CN"/>
        </w:rPr>
      </w:pPr>
      <w:r>
        <w:fldChar w:fldCharType="begin"/>
      </w:r>
      <w:r>
        <w:instrText xml:space="preserve"> TOC \o "1-3" \h \z \u </w:instrText>
      </w:r>
      <w:r>
        <w:fldChar w:fldCharType="separate"/>
      </w:r>
      <w:r>
        <w:fldChar w:fldCharType="begin"/>
      </w:r>
      <w:r>
        <w:instrText xml:space="preserve"> HYPERLINK \l "_Toc37927547" </w:instrText>
      </w:r>
      <w:r>
        <w:fldChar w:fldCharType="separate"/>
      </w:r>
      <w:r>
        <w:rPr>
          <w:rStyle w:val="19"/>
          <w:rFonts w:ascii="Arial" w:hAnsi="Arial" w:cs="Arial"/>
          <w:b/>
        </w:rPr>
        <w:t>I.</w:t>
      </w:r>
      <w:r>
        <w:rPr>
          <w:kern w:val="2"/>
          <w:sz w:val="21"/>
          <w:lang w:eastAsia="zh-CN"/>
        </w:rPr>
        <w:tab/>
      </w:r>
      <w:r>
        <w:rPr>
          <w:rStyle w:val="19"/>
          <w:rFonts w:ascii="Arial" w:hAnsi="Arial" w:cs="Arial"/>
          <w:b/>
        </w:rPr>
        <w:t>Summary</w:t>
      </w:r>
      <w:r>
        <w:tab/>
      </w:r>
      <w:r>
        <w:fldChar w:fldCharType="begin"/>
      </w:r>
      <w:r>
        <w:instrText xml:space="preserve"> PAGEREF _Toc37927547 \h </w:instrText>
      </w:r>
      <w:r>
        <w:fldChar w:fldCharType="separate"/>
      </w:r>
      <w:r>
        <w:t>2</w:t>
      </w:r>
      <w:r>
        <w:fldChar w:fldCharType="end"/>
      </w:r>
      <w:r>
        <w:fldChar w:fldCharType="end"/>
      </w:r>
    </w:p>
    <w:p>
      <w:pPr>
        <w:pStyle w:val="10"/>
        <w:rPr>
          <w:kern w:val="2"/>
          <w:sz w:val="21"/>
          <w:lang w:eastAsia="zh-CN"/>
        </w:rPr>
      </w:pPr>
      <w:r>
        <w:fldChar w:fldCharType="begin"/>
      </w:r>
      <w:r>
        <w:instrText xml:space="preserve"> HYPERLINK \l "_Toc37927548" </w:instrText>
      </w:r>
      <w:r>
        <w:fldChar w:fldCharType="separate"/>
      </w:r>
      <w:r>
        <w:rPr>
          <w:rStyle w:val="19"/>
          <w:rFonts w:ascii="Arial" w:hAnsi="Arial" w:cs="Arial"/>
          <w:b/>
        </w:rPr>
        <w:t>II.</w:t>
      </w:r>
      <w:r>
        <w:rPr>
          <w:kern w:val="2"/>
          <w:sz w:val="21"/>
          <w:lang w:eastAsia="zh-CN"/>
        </w:rPr>
        <w:tab/>
      </w:r>
      <w:r>
        <w:rPr>
          <w:rStyle w:val="19"/>
          <w:rFonts w:ascii="Arial" w:hAnsi="Arial" w:cs="Arial"/>
          <w:b/>
        </w:rPr>
        <w:t xml:space="preserve">Scope </w:t>
      </w:r>
      <w:r>
        <w:rPr>
          <w:rStyle w:val="19"/>
          <w:rFonts w:ascii="Arial" w:hAnsi="Arial" w:cs="Arial"/>
          <w:b/>
          <w:lang w:eastAsia="zh-CN"/>
        </w:rPr>
        <w:t>of</w:t>
      </w:r>
      <w:r>
        <w:rPr>
          <w:rStyle w:val="19"/>
          <w:rFonts w:ascii="Arial" w:hAnsi="Arial" w:cs="Arial"/>
          <w:b/>
        </w:rPr>
        <w:t xml:space="preserve"> the Call</w:t>
      </w:r>
      <w:r>
        <w:tab/>
      </w:r>
      <w:r>
        <w:fldChar w:fldCharType="begin"/>
      </w:r>
      <w:r>
        <w:instrText xml:space="preserve"> PAGEREF _Toc37927548 \h </w:instrText>
      </w:r>
      <w:r>
        <w:fldChar w:fldCharType="separate"/>
      </w:r>
      <w:r>
        <w:t>2</w:t>
      </w:r>
      <w:r>
        <w:fldChar w:fldCharType="end"/>
      </w:r>
      <w:r>
        <w:fldChar w:fldCharType="end"/>
      </w:r>
    </w:p>
    <w:p>
      <w:pPr>
        <w:pStyle w:val="10"/>
        <w:rPr>
          <w:kern w:val="2"/>
          <w:sz w:val="21"/>
          <w:lang w:eastAsia="zh-CN"/>
        </w:rPr>
      </w:pPr>
      <w:r>
        <w:fldChar w:fldCharType="begin"/>
      </w:r>
      <w:r>
        <w:instrText xml:space="preserve"> HYPERLINK \l "_Toc37927549" </w:instrText>
      </w:r>
      <w:r>
        <w:fldChar w:fldCharType="separate"/>
      </w:r>
      <w:r>
        <w:rPr>
          <w:rStyle w:val="19"/>
          <w:rFonts w:ascii="Arial" w:hAnsi="Arial" w:cs="Arial"/>
          <w:b/>
        </w:rPr>
        <w:t>III.</w:t>
      </w:r>
      <w:r>
        <w:rPr>
          <w:kern w:val="2"/>
          <w:sz w:val="21"/>
          <w:lang w:eastAsia="zh-CN"/>
        </w:rPr>
        <w:tab/>
      </w:r>
      <w:r>
        <w:rPr>
          <w:rStyle w:val="19"/>
          <w:rFonts w:ascii="Arial" w:hAnsi="Arial" w:cs="Arial"/>
          <w:b/>
          <w:lang w:eastAsia="zh-CN"/>
        </w:rPr>
        <w:t>Funding available</w:t>
      </w:r>
      <w:r>
        <w:tab/>
      </w:r>
      <w:r>
        <w:fldChar w:fldCharType="begin"/>
      </w:r>
      <w:r>
        <w:instrText xml:space="preserve"> PAGEREF _Toc37927549 \h </w:instrText>
      </w:r>
      <w:r>
        <w:fldChar w:fldCharType="separate"/>
      </w:r>
      <w:r>
        <w:t>3</w:t>
      </w:r>
      <w:r>
        <w:fldChar w:fldCharType="end"/>
      </w:r>
      <w:r>
        <w:fldChar w:fldCharType="end"/>
      </w:r>
    </w:p>
    <w:p>
      <w:pPr>
        <w:pStyle w:val="10"/>
        <w:rPr>
          <w:kern w:val="2"/>
          <w:sz w:val="21"/>
          <w:lang w:eastAsia="zh-CN"/>
        </w:rPr>
      </w:pPr>
      <w:r>
        <w:fldChar w:fldCharType="begin"/>
      </w:r>
      <w:r>
        <w:instrText xml:space="preserve"> HYPERLINK \l "_Toc37927550" </w:instrText>
      </w:r>
      <w:r>
        <w:fldChar w:fldCharType="separate"/>
      </w:r>
      <w:r>
        <w:rPr>
          <w:rStyle w:val="19"/>
          <w:rFonts w:ascii="Arial" w:hAnsi="Arial" w:cs="Arial"/>
          <w:b/>
        </w:rPr>
        <w:t>IV.</w:t>
      </w:r>
      <w:r>
        <w:rPr>
          <w:kern w:val="2"/>
          <w:sz w:val="21"/>
          <w:lang w:eastAsia="zh-CN"/>
        </w:rPr>
        <w:tab/>
      </w:r>
      <w:r>
        <w:rPr>
          <w:rStyle w:val="19"/>
          <w:rFonts w:ascii="Arial" w:hAnsi="Arial" w:cs="Arial"/>
          <w:b/>
        </w:rPr>
        <w:t>Eligibility</w:t>
      </w:r>
      <w:r>
        <w:tab/>
      </w:r>
      <w:r>
        <w:fldChar w:fldCharType="begin"/>
      </w:r>
      <w:r>
        <w:instrText xml:space="preserve"> PAGEREF _Toc37927550 \h </w:instrText>
      </w:r>
      <w:r>
        <w:fldChar w:fldCharType="separate"/>
      </w:r>
      <w:r>
        <w:t>3</w:t>
      </w:r>
      <w:r>
        <w:fldChar w:fldCharType="end"/>
      </w:r>
      <w:r>
        <w:fldChar w:fldCharType="end"/>
      </w:r>
    </w:p>
    <w:p>
      <w:pPr>
        <w:pStyle w:val="10"/>
        <w:rPr>
          <w:kern w:val="2"/>
          <w:sz w:val="21"/>
          <w:lang w:eastAsia="zh-CN"/>
        </w:rPr>
      </w:pPr>
      <w:r>
        <w:fldChar w:fldCharType="begin"/>
      </w:r>
      <w:r>
        <w:instrText xml:space="preserve"> HYPERLINK \l "_Toc37927551" </w:instrText>
      </w:r>
      <w:r>
        <w:fldChar w:fldCharType="separate"/>
      </w:r>
      <w:r>
        <w:rPr>
          <w:rStyle w:val="19"/>
          <w:rFonts w:ascii="Arial" w:hAnsi="Arial" w:cs="Arial"/>
          <w:b/>
        </w:rPr>
        <w:t>V.</w:t>
      </w:r>
      <w:r>
        <w:rPr>
          <w:kern w:val="2"/>
          <w:sz w:val="21"/>
          <w:lang w:eastAsia="zh-CN"/>
        </w:rPr>
        <w:tab/>
      </w:r>
      <w:r>
        <w:rPr>
          <w:rStyle w:val="19"/>
          <w:rFonts w:ascii="Arial" w:hAnsi="Arial" w:cs="Arial"/>
          <w:b/>
        </w:rPr>
        <w:t>Application</w:t>
      </w:r>
      <w:r>
        <w:tab/>
      </w:r>
      <w:r>
        <w:fldChar w:fldCharType="begin"/>
      </w:r>
      <w:r>
        <w:instrText xml:space="preserve"> PAGEREF _Toc37927551 \h </w:instrText>
      </w:r>
      <w:r>
        <w:fldChar w:fldCharType="separate"/>
      </w:r>
      <w:r>
        <w:t>3</w:t>
      </w:r>
      <w:r>
        <w:fldChar w:fldCharType="end"/>
      </w:r>
      <w:r>
        <w:fldChar w:fldCharType="end"/>
      </w:r>
    </w:p>
    <w:p>
      <w:pPr>
        <w:pStyle w:val="10"/>
        <w:rPr>
          <w:kern w:val="2"/>
          <w:sz w:val="21"/>
          <w:lang w:eastAsia="zh-CN"/>
        </w:rPr>
      </w:pPr>
      <w:r>
        <w:fldChar w:fldCharType="begin"/>
      </w:r>
      <w:r>
        <w:instrText xml:space="preserve"> HYPERLINK \l "_Toc37927552" </w:instrText>
      </w:r>
      <w:r>
        <w:fldChar w:fldCharType="separate"/>
      </w:r>
      <w:r>
        <w:rPr>
          <w:rStyle w:val="19"/>
          <w:rFonts w:ascii="Arial" w:hAnsi="Arial" w:cs="Arial"/>
          <w:b/>
        </w:rPr>
        <w:t>VI.</w:t>
      </w:r>
      <w:r>
        <w:rPr>
          <w:kern w:val="2"/>
          <w:sz w:val="21"/>
          <w:lang w:eastAsia="zh-CN"/>
        </w:rPr>
        <w:tab/>
      </w:r>
      <w:r>
        <w:rPr>
          <w:rStyle w:val="19"/>
          <w:rFonts w:ascii="Arial" w:hAnsi="Arial" w:cs="Arial"/>
          <w:b/>
          <w:lang w:eastAsia="zh-CN"/>
        </w:rPr>
        <w:t>Evaluation</w:t>
      </w:r>
      <w:r>
        <w:tab/>
      </w:r>
      <w:r>
        <w:fldChar w:fldCharType="begin"/>
      </w:r>
      <w:r>
        <w:instrText xml:space="preserve"> PAGEREF _Toc37927552 \h </w:instrText>
      </w:r>
      <w:r>
        <w:fldChar w:fldCharType="separate"/>
      </w:r>
      <w:r>
        <w:t>4</w:t>
      </w:r>
      <w:r>
        <w:fldChar w:fldCharType="end"/>
      </w:r>
      <w:r>
        <w:fldChar w:fldCharType="end"/>
      </w:r>
    </w:p>
    <w:p>
      <w:pPr>
        <w:pStyle w:val="10"/>
        <w:rPr>
          <w:kern w:val="2"/>
          <w:sz w:val="21"/>
          <w:lang w:eastAsia="zh-CN"/>
        </w:rPr>
      </w:pPr>
      <w:r>
        <w:fldChar w:fldCharType="begin"/>
      </w:r>
      <w:r>
        <w:instrText xml:space="preserve"> HYPERLINK \l "_Toc37927553" </w:instrText>
      </w:r>
      <w:r>
        <w:fldChar w:fldCharType="separate"/>
      </w:r>
      <w:r>
        <w:rPr>
          <w:rStyle w:val="19"/>
          <w:rFonts w:ascii="Arial" w:hAnsi="Arial" w:cs="Arial"/>
          <w:b/>
          <w:lang w:eastAsia="zh-CN"/>
        </w:rPr>
        <w:t>VII.</w:t>
      </w:r>
      <w:r>
        <w:rPr>
          <w:kern w:val="2"/>
          <w:sz w:val="21"/>
          <w:lang w:eastAsia="zh-CN"/>
        </w:rPr>
        <w:tab/>
      </w:r>
      <w:r>
        <w:rPr>
          <w:rStyle w:val="19"/>
          <w:rFonts w:ascii="Arial" w:hAnsi="Arial" w:cs="Arial"/>
          <w:b/>
          <w:lang w:eastAsia="zh-CN"/>
        </w:rPr>
        <w:t>Additional Considerations</w:t>
      </w:r>
      <w:r>
        <w:tab/>
      </w:r>
      <w:r>
        <w:fldChar w:fldCharType="begin"/>
      </w:r>
      <w:r>
        <w:instrText xml:space="preserve"> PAGEREF _Toc37927553 \h </w:instrText>
      </w:r>
      <w:r>
        <w:fldChar w:fldCharType="separate"/>
      </w:r>
      <w:r>
        <w:t>5</w:t>
      </w:r>
      <w:r>
        <w:fldChar w:fldCharType="end"/>
      </w:r>
      <w:r>
        <w:fldChar w:fldCharType="end"/>
      </w:r>
    </w:p>
    <w:p>
      <w:pPr>
        <w:pStyle w:val="10"/>
        <w:rPr>
          <w:kern w:val="2"/>
          <w:sz w:val="21"/>
          <w:lang w:eastAsia="zh-CN"/>
        </w:rPr>
      </w:pPr>
      <w:r>
        <w:fldChar w:fldCharType="begin"/>
      </w:r>
      <w:r>
        <w:instrText xml:space="preserve"> HYPERLINK \l "_Toc37927554" </w:instrText>
      </w:r>
      <w:r>
        <w:fldChar w:fldCharType="separate"/>
      </w:r>
      <w:r>
        <w:rPr>
          <w:rStyle w:val="19"/>
          <w:rFonts w:ascii="Arial" w:hAnsi="Arial" w:cs="Arial"/>
          <w:b/>
          <w:lang w:eastAsia="zh-CN"/>
        </w:rPr>
        <w:t>VIII.</w:t>
      </w:r>
      <w:r>
        <w:rPr>
          <w:kern w:val="2"/>
          <w:sz w:val="21"/>
          <w:lang w:eastAsia="zh-CN"/>
        </w:rPr>
        <w:tab/>
      </w:r>
      <w:r>
        <w:rPr>
          <w:rStyle w:val="19"/>
          <w:rFonts w:ascii="Arial" w:hAnsi="Arial" w:cs="Arial"/>
          <w:b/>
          <w:lang w:eastAsia="zh-CN"/>
        </w:rPr>
        <w:t>Reporting</w:t>
      </w:r>
      <w:r>
        <w:tab/>
      </w:r>
      <w:r>
        <w:fldChar w:fldCharType="begin"/>
      </w:r>
      <w:r>
        <w:instrText xml:space="preserve"> PAGEREF _Toc37927554 \h </w:instrText>
      </w:r>
      <w:r>
        <w:fldChar w:fldCharType="separate"/>
      </w:r>
      <w:r>
        <w:t>5</w:t>
      </w:r>
      <w:r>
        <w:fldChar w:fldCharType="end"/>
      </w:r>
      <w:r>
        <w:fldChar w:fldCharType="end"/>
      </w:r>
    </w:p>
    <w:p>
      <w:pPr>
        <w:pStyle w:val="10"/>
        <w:rPr>
          <w:kern w:val="2"/>
          <w:sz w:val="21"/>
          <w:lang w:eastAsia="zh-CN"/>
        </w:rPr>
      </w:pPr>
      <w:r>
        <w:fldChar w:fldCharType="begin"/>
      </w:r>
      <w:r>
        <w:instrText xml:space="preserve"> HYPERLINK \l "_Toc37927555" </w:instrText>
      </w:r>
      <w:r>
        <w:fldChar w:fldCharType="separate"/>
      </w:r>
      <w:r>
        <w:rPr>
          <w:rStyle w:val="19"/>
          <w:rFonts w:ascii="Arial" w:hAnsi="Arial" w:cs="Arial"/>
          <w:b/>
          <w:lang w:eastAsia="zh-CN"/>
        </w:rPr>
        <w:t>IX.</w:t>
      </w:r>
      <w:r>
        <w:rPr>
          <w:kern w:val="2"/>
          <w:sz w:val="21"/>
          <w:lang w:eastAsia="zh-CN"/>
        </w:rPr>
        <w:tab/>
      </w:r>
      <w:r>
        <w:rPr>
          <w:rStyle w:val="19"/>
          <w:rFonts w:ascii="Arial" w:hAnsi="Arial" w:cs="Arial"/>
          <w:b/>
          <w:lang w:eastAsia="zh-CN"/>
        </w:rPr>
        <w:t>Timetable</w:t>
      </w:r>
      <w:r>
        <w:tab/>
      </w:r>
      <w:r>
        <w:rPr>
          <w:rFonts w:hint="eastAsia"/>
          <w:lang w:eastAsia="zh-CN"/>
        </w:rPr>
        <w:t>5</w:t>
      </w:r>
      <w:r>
        <w:rPr>
          <w:rFonts w:hint="eastAsia"/>
          <w:lang w:eastAsia="zh-CN"/>
        </w:rPr>
        <w:fldChar w:fldCharType="end"/>
      </w:r>
    </w:p>
    <w:p>
      <w:pPr>
        <w:pStyle w:val="10"/>
        <w:rPr>
          <w:kern w:val="2"/>
          <w:sz w:val="21"/>
          <w:lang w:eastAsia="zh-CN"/>
        </w:rPr>
      </w:pPr>
      <w:r>
        <w:fldChar w:fldCharType="begin"/>
      </w:r>
      <w:r>
        <w:instrText xml:space="preserve"> HYPERLINK \l "_Toc37927556" </w:instrText>
      </w:r>
      <w:r>
        <w:fldChar w:fldCharType="separate"/>
      </w:r>
      <w:r>
        <w:rPr>
          <w:rStyle w:val="19"/>
          <w:rFonts w:ascii="Arial" w:hAnsi="Arial" w:cs="Arial"/>
          <w:b/>
          <w:lang w:eastAsia="zh-CN"/>
        </w:rPr>
        <w:t>X.</w:t>
      </w:r>
      <w:r>
        <w:rPr>
          <w:kern w:val="2"/>
          <w:sz w:val="21"/>
          <w:lang w:eastAsia="zh-CN"/>
        </w:rPr>
        <w:tab/>
      </w:r>
      <w:r>
        <w:rPr>
          <w:rStyle w:val="19"/>
          <w:rFonts w:ascii="Arial" w:hAnsi="Arial" w:cs="Arial"/>
          <w:b/>
          <w:lang w:eastAsia="zh-CN"/>
        </w:rPr>
        <w:t>Contacts</w:t>
      </w:r>
      <w:r>
        <w:tab/>
      </w:r>
      <w:r>
        <w:rPr>
          <w:rFonts w:hint="eastAsia"/>
          <w:lang w:eastAsia="zh-CN"/>
        </w:rPr>
        <w:t>6</w:t>
      </w:r>
      <w:r>
        <w:rPr>
          <w:rFonts w:hint="eastAsia"/>
          <w:lang w:eastAsia="zh-CN"/>
        </w:rPr>
        <w:fldChar w:fldCharType="end"/>
      </w:r>
    </w:p>
    <w:p>
      <w:r>
        <w:rPr>
          <w:b/>
          <w:bCs/>
          <w:lang w:val="zh-CN"/>
        </w:rPr>
        <w:fldChar w:fldCharType="end"/>
      </w:r>
    </w:p>
    <w:p>
      <w:pPr>
        <w:jc w:val="both"/>
        <w:rPr>
          <w:rFonts w:ascii="Arial" w:hAnsi="Arial" w:cs="Arial"/>
        </w:rPr>
      </w:pPr>
    </w:p>
    <w:p>
      <w:pPr>
        <w:rPr>
          <w:rFonts w:ascii="Arial" w:hAnsi="Arial" w:cs="Arial"/>
        </w:rPr>
        <w:sectPr>
          <w:pgSz w:w="11906" w:h="16838"/>
          <w:pgMar w:top="1440" w:right="1440" w:bottom="1440" w:left="1440" w:header="708" w:footer="708" w:gutter="0"/>
          <w:cols w:space="708" w:num="1"/>
          <w:docGrid w:linePitch="360" w:charSpace="0"/>
        </w:sectPr>
      </w:pPr>
    </w:p>
    <w:p>
      <w:pPr>
        <w:pStyle w:val="22"/>
        <w:numPr>
          <w:ilvl w:val="0"/>
          <w:numId w:val="1"/>
        </w:numPr>
        <w:spacing w:after="0"/>
        <w:jc w:val="both"/>
        <w:outlineLvl w:val="0"/>
        <w:rPr>
          <w:rFonts w:ascii="Arial" w:hAnsi="Arial" w:cs="Arial"/>
          <w:b/>
          <w:u w:val="single"/>
        </w:rPr>
      </w:pPr>
      <w:bookmarkStart w:id="0" w:name="_Toc37927547"/>
      <w:r>
        <w:rPr>
          <w:rFonts w:ascii="Arial" w:hAnsi="Arial" w:cs="Arial"/>
          <w:b/>
          <w:u w:val="single"/>
        </w:rPr>
        <w:t>Summary</w:t>
      </w:r>
      <w:bookmarkEnd w:id="0"/>
    </w:p>
    <w:p>
      <w:pPr>
        <w:spacing w:after="0"/>
        <w:jc w:val="both"/>
        <w:rPr>
          <w:rFonts w:ascii="Arial" w:hAnsi="Arial" w:cs="Arial"/>
          <w:b/>
        </w:rPr>
      </w:pPr>
    </w:p>
    <w:p>
      <w:pPr>
        <w:jc w:val="both"/>
        <w:rPr>
          <w:rFonts w:ascii="Arial" w:hAnsi="Arial" w:cs="Arial"/>
        </w:rPr>
      </w:pPr>
      <w:r>
        <w:rPr>
          <w:rFonts w:ascii="Arial" w:hAnsi="Arial" w:cs="Arial"/>
        </w:rPr>
        <w:t>On March 11, 2020, the coronavirus outbreak was declared a global pandemic by the WHO. The spread and potential lasting existence of the COVID-19 pose severe threats to the world. In face of the global challenge, joint efforts of science funding agencies, based on the principles of equality, openness and mutual benefits, are urgently needed to accelerate the R&amp;D activities against the novel coronavirus.</w:t>
      </w:r>
      <w:r>
        <w:rPr>
          <w:rFonts w:hint="eastAsia" w:ascii="Arial" w:hAnsi="Arial" w:cs="Arial"/>
          <w:lang w:eastAsia="zh-CN"/>
        </w:rPr>
        <w:t xml:space="preserve"> </w:t>
      </w:r>
      <w:r>
        <w:rPr>
          <w:rFonts w:ascii="Arial" w:hAnsi="Arial" w:cs="Arial"/>
        </w:rPr>
        <w:t xml:space="preserve">To mobilize scientific communities and facilitate research responses to COVID-19, National Natural Science Foundation of China (NSFC), </w:t>
      </w:r>
      <w:r>
        <w:rPr>
          <w:rFonts w:hint="eastAsia" w:ascii="Arial" w:hAnsi="Arial" w:cs="Arial"/>
          <w:lang w:eastAsia="zh-CN"/>
        </w:rPr>
        <w:t>B</w:t>
      </w:r>
      <w:r>
        <w:rPr>
          <w:rFonts w:ascii="Arial" w:hAnsi="Arial" w:cs="Arial"/>
        </w:rPr>
        <w:t>elarusian Republican Foundation for Fundamental Research</w:t>
      </w:r>
      <w:r>
        <w:rPr>
          <w:rFonts w:hint="eastAsia" w:ascii="Arial" w:hAnsi="Arial" w:cs="Arial"/>
          <w:lang w:eastAsia="zh-CN"/>
        </w:rPr>
        <w:t xml:space="preserve"> (BRFFR) and B</w:t>
      </w:r>
      <w:r>
        <w:rPr>
          <w:rFonts w:ascii="Arial" w:hAnsi="Arial" w:cs="Arial"/>
          <w:lang w:eastAsia="zh-CN"/>
        </w:rPr>
        <w:t>ulgarian Science Fund (BNSF)</w:t>
      </w:r>
      <w:r>
        <w:rPr>
          <w:rFonts w:hint="eastAsia" w:ascii="Arial" w:hAnsi="Arial" w:cs="Arial"/>
          <w:lang w:eastAsia="zh-CN"/>
        </w:rPr>
        <w:t xml:space="preserve"> a</w:t>
      </w:r>
      <w:r>
        <w:rPr>
          <w:rFonts w:ascii="Arial" w:hAnsi="Arial" w:cs="Arial"/>
        </w:rPr>
        <w:t>re</w:t>
      </w:r>
      <w:r>
        <w:rPr>
          <w:rFonts w:hint="eastAsia" w:ascii="Arial" w:hAnsi="Arial" w:cs="Arial"/>
          <w:lang w:eastAsia="zh-CN"/>
        </w:rPr>
        <w:t xml:space="preserve"> </w:t>
      </w:r>
      <w:r>
        <w:rPr>
          <w:rFonts w:ascii="Arial" w:hAnsi="Arial" w:cs="Arial"/>
        </w:rPr>
        <w:t xml:space="preserve">opening a call for collaborative proposals in COVID-19 research. </w:t>
      </w:r>
    </w:p>
    <w:p>
      <w:pPr>
        <w:spacing w:after="0"/>
        <w:jc w:val="both"/>
        <w:rPr>
          <w:rFonts w:ascii="Arial" w:hAnsi="Arial" w:cs="Arial"/>
        </w:rPr>
      </w:pPr>
    </w:p>
    <w:p>
      <w:pPr>
        <w:spacing w:after="0"/>
        <w:jc w:val="both"/>
        <w:rPr>
          <w:rFonts w:ascii="Arial" w:hAnsi="Arial" w:cs="Arial"/>
        </w:rPr>
      </w:pPr>
      <w:r>
        <w:rPr>
          <w:rFonts w:ascii="Arial" w:hAnsi="Arial" w:cs="Arial"/>
        </w:rPr>
        <w:t>The purpose of the call is to build on the combined strengths of academic research groups within China</w:t>
      </w:r>
      <w:r>
        <w:rPr>
          <w:rFonts w:hint="eastAsia" w:ascii="Arial" w:hAnsi="Arial" w:cs="Arial"/>
          <w:lang w:eastAsia="zh-CN"/>
        </w:rPr>
        <w:t>, Belarus and Bulgaria</w:t>
      </w:r>
      <w:r>
        <w:rPr>
          <w:rFonts w:ascii="Arial" w:hAnsi="Arial" w:cs="Arial"/>
        </w:rPr>
        <w:t xml:space="preserve"> to work together on collaborative research that will advance the understanding of the coronaviruses (SARS-CoV-2)</w:t>
      </w:r>
      <w:r>
        <w:rPr>
          <w:rFonts w:hint="eastAsia" w:ascii="Arial" w:hAnsi="Arial" w:cs="Arial"/>
          <w:lang w:eastAsia="zh-CN"/>
        </w:rPr>
        <w:t xml:space="preserve"> </w:t>
      </w:r>
      <w:r>
        <w:rPr>
          <w:rFonts w:ascii="Arial" w:hAnsi="Arial" w:cs="Arial"/>
        </w:rPr>
        <w:t xml:space="preserve">and the illness it causes (COVID-19), in order to </w:t>
      </w:r>
      <w:r>
        <w:rPr>
          <w:rFonts w:hint="eastAsia" w:ascii="Arial" w:hAnsi="Arial" w:cs="Arial"/>
        </w:rPr>
        <w:t>contribute to the global response to the COVID-19 outbreak</w:t>
      </w:r>
      <w:r>
        <w:rPr>
          <w:rFonts w:ascii="Arial" w:hAnsi="Arial" w:cs="Arial"/>
        </w:rPr>
        <w:t>.</w:t>
      </w:r>
    </w:p>
    <w:p>
      <w:pPr>
        <w:spacing w:after="0"/>
        <w:jc w:val="both"/>
        <w:rPr>
          <w:rFonts w:ascii="Arial" w:hAnsi="Arial" w:cs="Arial"/>
        </w:rPr>
      </w:pPr>
    </w:p>
    <w:p>
      <w:pPr>
        <w:spacing w:after="0"/>
        <w:jc w:val="both"/>
        <w:rPr>
          <w:rFonts w:ascii="Arial" w:hAnsi="Arial" w:cs="Arial"/>
        </w:rPr>
      </w:pPr>
      <w:r>
        <w:rPr>
          <w:rFonts w:ascii="Arial" w:hAnsi="Arial" w:cs="Arial"/>
        </w:rPr>
        <w:t xml:space="preserve">Applicants are invited to submit </w:t>
      </w:r>
      <w:r>
        <w:rPr>
          <w:rFonts w:ascii="Arial" w:hAnsi="Arial" w:cs="Arial"/>
          <w:b/>
          <w:bCs/>
        </w:rPr>
        <w:t xml:space="preserve">bilateral </w:t>
      </w:r>
      <w:r>
        <w:rPr>
          <w:rFonts w:ascii="Arial" w:hAnsi="Arial" w:cs="Arial"/>
        </w:rPr>
        <w:t>or</w:t>
      </w:r>
      <w:r>
        <w:rPr>
          <w:rFonts w:ascii="Arial" w:hAnsi="Arial" w:cs="Arial"/>
          <w:b/>
          <w:bCs/>
        </w:rPr>
        <w:t xml:space="preserve"> multilateral</w:t>
      </w:r>
      <w:r>
        <w:rPr>
          <w:rFonts w:ascii="Arial" w:hAnsi="Arial" w:cs="Arial"/>
        </w:rPr>
        <w:t xml:space="preserve"> collaborative research proposals comprising eligible researchers from China, Belarus and Bulgaria. All proposals will be required to have a Chinese Principal Investigator, in addition to a Principal Investigator from one or more of the partner countries. This call for proposals will require applicants to work together in partnership within transnational teams on research projects where</w:t>
      </w:r>
      <w:r>
        <w:rPr>
          <w:rFonts w:hint="eastAsia" w:ascii="Arial" w:hAnsi="Arial" w:cs="Arial"/>
          <w:lang w:eastAsia="zh-CN"/>
        </w:rPr>
        <w:t xml:space="preserve"> </w:t>
      </w:r>
      <w:r>
        <w:rPr>
          <w:rFonts w:ascii="Arial" w:hAnsi="Arial" w:cs="Arial"/>
        </w:rPr>
        <w:t xml:space="preserve">each country’s component is funded by participating </w:t>
      </w:r>
      <w:r>
        <w:rPr>
          <w:rFonts w:hint="eastAsia" w:ascii="Arial" w:hAnsi="Arial" w:cs="Arial"/>
          <w:lang w:eastAsia="zh-CN"/>
        </w:rPr>
        <w:t xml:space="preserve">funding </w:t>
      </w:r>
      <w:r>
        <w:rPr>
          <w:rFonts w:ascii="Arial" w:hAnsi="Arial" w:cs="Arial"/>
        </w:rPr>
        <w:t>agencies in their</w:t>
      </w:r>
      <w:r>
        <w:rPr>
          <w:rFonts w:hint="eastAsia" w:ascii="Arial" w:hAnsi="Arial" w:cs="Arial"/>
          <w:lang w:eastAsia="zh-CN"/>
        </w:rPr>
        <w:t xml:space="preserve"> respective</w:t>
      </w:r>
      <w:r>
        <w:rPr>
          <w:rFonts w:ascii="Arial" w:hAnsi="Arial" w:cs="Arial"/>
        </w:rPr>
        <w:t xml:space="preserve"> countr</w:t>
      </w:r>
      <w:r>
        <w:rPr>
          <w:rFonts w:hint="eastAsia" w:ascii="Arial" w:hAnsi="Arial" w:cs="Arial"/>
          <w:lang w:eastAsia="zh-CN"/>
        </w:rPr>
        <w:t>ies</w:t>
      </w:r>
      <w:r>
        <w:rPr>
          <w:rFonts w:ascii="Arial" w:hAnsi="Arial" w:cs="Arial"/>
        </w:rPr>
        <w:t xml:space="preserve">. Eligibility to apply is determined by each agency’s eligibility rules and the nature of the resources requested must also adhere to each agency’s guidelines. Further information is presented below and within </w:t>
      </w:r>
      <w:r>
        <w:rPr>
          <w:rFonts w:ascii="Arial" w:hAnsi="Arial" w:cs="Arial"/>
          <w:b/>
        </w:rPr>
        <w:t>Annexes</w:t>
      </w:r>
      <w:r>
        <w:rPr>
          <w:rFonts w:ascii="Arial" w:hAnsi="Arial" w:cs="Arial"/>
        </w:rPr>
        <w:t>.</w:t>
      </w:r>
      <w:r>
        <w:rPr>
          <w:rFonts w:hint="eastAsia" w:ascii="Arial" w:hAnsi="Arial" w:cs="Arial"/>
          <w:lang w:eastAsia="zh-CN"/>
        </w:rPr>
        <w:t xml:space="preserve"> </w:t>
      </w:r>
      <w:r>
        <w:rPr>
          <w:rFonts w:ascii="Arial" w:hAnsi="Arial" w:cs="Arial"/>
        </w:rPr>
        <w:t xml:space="preserve">Applicants wishing to apply to the call must use the specific </w:t>
      </w:r>
      <w:r>
        <w:rPr>
          <w:rFonts w:ascii="Arial" w:hAnsi="Arial" w:cs="Arial"/>
          <w:b/>
        </w:rPr>
        <w:t>Joint Project Description (JPD) Template</w:t>
      </w:r>
      <w:r>
        <w:rPr>
          <w:rFonts w:ascii="Arial" w:hAnsi="Arial" w:cs="Arial"/>
        </w:rPr>
        <w:t xml:space="preserve"> associated with this call (Annex </w:t>
      </w:r>
      <w:r>
        <w:rPr>
          <w:rFonts w:hint="eastAsia" w:ascii="Arial" w:hAnsi="Arial" w:cs="Arial"/>
          <w:lang w:eastAsia="zh-CN"/>
        </w:rPr>
        <w:t>2</w:t>
      </w:r>
      <w:r>
        <w:rPr>
          <w:rFonts w:ascii="Arial" w:hAnsi="Arial" w:cs="Arial"/>
        </w:rPr>
        <w:t>).</w:t>
      </w:r>
    </w:p>
    <w:p>
      <w:pPr>
        <w:spacing w:after="0"/>
        <w:jc w:val="both"/>
        <w:rPr>
          <w:rFonts w:ascii="Arial" w:hAnsi="Arial" w:cs="Arial"/>
        </w:rPr>
      </w:pPr>
    </w:p>
    <w:p>
      <w:pPr>
        <w:spacing w:after="0"/>
        <w:jc w:val="both"/>
        <w:rPr>
          <w:rFonts w:ascii="Arial" w:hAnsi="Arial" w:cs="Arial"/>
        </w:rPr>
      </w:pPr>
      <w:r>
        <w:rPr>
          <w:rFonts w:ascii="Arial" w:hAnsi="Arial" w:cs="Arial"/>
        </w:rPr>
        <w:t>Project duration i</w:t>
      </w:r>
      <w:r>
        <w:rPr>
          <w:rFonts w:hint="eastAsia" w:ascii="Arial" w:hAnsi="Arial" w:cs="Arial"/>
          <w:lang w:eastAsia="zh-CN"/>
        </w:rPr>
        <w:t xml:space="preserve">s 2 years. </w:t>
      </w:r>
    </w:p>
    <w:p>
      <w:pPr>
        <w:spacing w:after="0"/>
        <w:jc w:val="both"/>
        <w:rPr>
          <w:rFonts w:ascii="Arial" w:hAnsi="Arial" w:cs="Arial"/>
          <w:lang w:eastAsia="zh-CN"/>
        </w:rPr>
      </w:pPr>
    </w:p>
    <w:p>
      <w:pPr>
        <w:spacing w:after="0"/>
        <w:jc w:val="both"/>
        <w:rPr>
          <w:rFonts w:ascii="Arial" w:hAnsi="Arial" w:cs="Arial"/>
        </w:rPr>
      </w:pPr>
      <w:r>
        <w:rPr>
          <w:rFonts w:ascii="Arial" w:hAnsi="Arial" w:cs="Arial"/>
        </w:rPr>
        <w:t>We envisage funding a number of projects with each funding partner</w:t>
      </w:r>
      <w:r>
        <w:rPr>
          <w:rFonts w:hint="eastAsia" w:ascii="Arial" w:hAnsi="Arial" w:cs="Arial"/>
          <w:lang w:eastAsia="zh-CN"/>
        </w:rPr>
        <w:t xml:space="preserve"> </w:t>
      </w:r>
      <w:r>
        <w:rPr>
          <w:rFonts w:ascii="Arial" w:hAnsi="Arial" w:cs="Arial"/>
        </w:rPr>
        <w:t xml:space="preserve">under this call. </w:t>
      </w:r>
    </w:p>
    <w:p>
      <w:pPr>
        <w:spacing w:after="0"/>
        <w:jc w:val="both"/>
        <w:rPr>
          <w:rFonts w:ascii="Arial" w:hAnsi="Arial" w:cs="Arial"/>
        </w:rPr>
      </w:pPr>
    </w:p>
    <w:p>
      <w:pPr>
        <w:spacing w:after="0"/>
        <w:jc w:val="both"/>
        <w:rPr>
          <w:rFonts w:ascii="Arial" w:hAnsi="Arial" w:cs="Arial"/>
          <w:b/>
        </w:rPr>
      </w:pPr>
      <w:r>
        <w:rPr>
          <w:rFonts w:ascii="Arial" w:hAnsi="Arial" w:cs="Arial"/>
          <w:b/>
        </w:rPr>
        <w:t>The deadline for receipt of</w:t>
      </w:r>
      <w:r>
        <w:rPr>
          <w:rFonts w:ascii="Arial" w:hAnsi="Arial" w:cs="Arial"/>
          <w:b/>
          <w:lang w:eastAsia="zh-CN"/>
        </w:rPr>
        <w:t xml:space="preserve"> </w:t>
      </w:r>
      <w:r>
        <w:rPr>
          <w:rFonts w:ascii="Arial" w:hAnsi="Arial" w:cs="Arial"/>
          <w:b/>
        </w:rPr>
        <w:t>proposals is:</w:t>
      </w:r>
      <w:r>
        <w:rPr>
          <w:rFonts w:ascii="Arial" w:hAnsi="Arial" w:cs="Arial"/>
          <w:b/>
          <w:lang w:eastAsia="zh-CN"/>
        </w:rPr>
        <w:t xml:space="preserve">  September</w:t>
      </w:r>
      <w:r>
        <w:rPr>
          <w:rFonts w:hint="eastAsia" w:ascii="Arial" w:hAnsi="Arial" w:cs="Arial"/>
          <w:b/>
          <w:lang w:eastAsia="zh-CN"/>
        </w:rPr>
        <w:t xml:space="preserve"> 15</w:t>
      </w:r>
      <w:r>
        <w:rPr>
          <w:rFonts w:ascii="Arial" w:hAnsi="Arial" w:cs="Arial"/>
          <w:b/>
        </w:rPr>
        <w:t>, 2020 for applicants.</w:t>
      </w:r>
    </w:p>
    <w:p>
      <w:pPr>
        <w:spacing w:after="0"/>
        <w:jc w:val="both"/>
        <w:rPr>
          <w:rFonts w:ascii="Arial" w:hAnsi="Arial" w:cs="Arial"/>
          <w:b/>
        </w:rPr>
      </w:pPr>
    </w:p>
    <w:p>
      <w:pPr>
        <w:pStyle w:val="22"/>
        <w:numPr>
          <w:ilvl w:val="0"/>
          <w:numId w:val="1"/>
        </w:numPr>
        <w:spacing w:after="0"/>
        <w:jc w:val="both"/>
        <w:outlineLvl w:val="0"/>
        <w:rPr>
          <w:rFonts w:ascii="Arial" w:hAnsi="Arial" w:cs="Arial"/>
          <w:b/>
          <w:u w:val="single"/>
        </w:rPr>
      </w:pPr>
      <w:bookmarkStart w:id="1" w:name="_Toc37927548"/>
      <w:r>
        <w:rPr>
          <w:rFonts w:ascii="Arial" w:hAnsi="Arial" w:cs="Arial"/>
          <w:b/>
          <w:u w:val="single"/>
        </w:rPr>
        <w:t>Scope</w:t>
      </w:r>
      <w:r>
        <w:rPr>
          <w:rFonts w:hint="eastAsia" w:ascii="Arial" w:hAnsi="Arial" w:cs="Arial"/>
          <w:b/>
          <w:u w:val="single"/>
          <w:lang w:eastAsia="zh-CN"/>
        </w:rPr>
        <w:t xml:space="preserve"> </w:t>
      </w:r>
      <w:r>
        <w:rPr>
          <w:rFonts w:ascii="Arial" w:hAnsi="Arial" w:cs="Arial"/>
          <w:b/>
          <w:u w:val="single"/>
          <w:lang w:eastAsia="zh-CN"/>
        </w:rPr>
        <w:t>of</w:t>
      </w:r>
      <w:r>
        <w:rPr>
          <w:rFonts w:ascii="Arial" w:hAnsi="Arial" w:cs="Arial"/>
          <w:b/>
          <w:u w:val="single"/>
        </w:rPr>
        <w:t xml:space="preserve"> the Call</w:t>
      </w:r>
      <w:bookmarkEnd w:id="1"/>
    </w:p>
    <w:p>
      <w:pPr>
        <w:spacing w:after="0"/>
        <w:jc w:val="both"/>
        <w:rPr>
          <w:rFonts w:ascii="Arial" w:hAnsi="Arial" w:cs="Arial"/>
          <w:lang w:eastAsia="zh-CN"/>
        </w:rPr>
      </w:pPr>
      <w:r>
        <w:rPr>
          <w:rFonts w:ascii="Arial" w:hAnsi="Arial" w:cs="Arial"/>
        </w:rPr>
        <w:t>Based on the</w:t>
      </w:r>
      <w:r>
        <w:rPr>
          <w:rFonts w:hint="eastAsia" w:ascii="Arial" w:hAnsi="Arial" w:cs="Arial"/>
          <w:lang w:eastAsia="zh-CN"/>
        </w:rPr>
        <w:t xml:space="preserve"> </w:t>
      </w:r>
      <w:r>
        <w:rPr>
          <w:rFonts w:ascii="Arial" w:hAnsi="Arial" w:cs="Arial"/>
        </w:rPr>
        <w:t>research agenda defined by the WHO</w:t>
      </w:r>
      <w:r>
        <w:rPr>
          <w:rStyle w:val="21"/>
          <w:rFonts w:ascii="Arial" w:hAnsi="Arial" w:cs="Arial"/>
        </w:rPr>
        <w:footnoteReference w:id="0"/>
      </w:r>
      <w:r>
        <w:rPr>
          <w:rFonts w:ascii="Arial" w:hAnsi="Arial" w:cs="Arial"/>
        </w:rPr>
        <w:t>, the priorities identified by the participating funding agencies, as well as the research capacity in China, Belarus and Bulgaria</w:t>
      </w:r>
      <w:r>
        <w:rPr>
          <w:rFonts w:hint="eastAsia" w:ascii="Arial" w:hAnsi="Arial" w:cs="Arial"/>
          <w:lang w:eastAsia="zh-CN"/>
        </w:rPr>
        <w:t>, t</w:t>
      </w:r>
      <w:r>
        <w:rPr>
          <w:rFonts w:ascii="Arial" w:hAnsi="Arial" w:cs="Arial"/>
        </w:rPr>
        <w:t>he scope of</w:t>
      </w:r>
      <w:r>
        <w:rPr>
          <w:rFonts w:hint="eastAsia" w:ascii="Arial" w:hAnsi="Arial" w:cs="Arial"/>
          <w:lang w:eastAsia="zh-CN"/>
        </w:rPr>
        <w:t xml:space="preserve"> </w:t>
      </w:r>
      <w:r>
        <w:rPr>
          <w:rFonts w:ascii="Arial" w:hAnsi="Arial" w:cs="Arial"/>
        </w:rPr>
        <w:t xml:space="preserve">bilateral or multilateral collaborative research between researchers from China, Belarus and Bulgaria </w:t>
      </w:r>
      <w:r>
        <w:rPr>
          <w:rFonts w:hint="eastAsia" w:ascii="Arial" w:hAnsi="Arial" w:cs="Arial"/>
          <w:lang w:eastAsia="zh-CN"/>
        </w:rPr>
        <w:t>will</w:t>
      </w:r>
      <w:r>
        <w:rPr>
          <w:rFonts w:ascii="Arial" w:hAnsi="Arial" w:cs="Arial"/>
        </w:rPr>
        <w:t xml:space="preserve"> include:</w:t>
      </w:r>
    </w:p>
    <w:p>
      <w:pPr>
        <w:spacing w:after="0"/>
        <w:jc w:val="both"/>
        <w:rPr>
          <w:rFonts w:ascii="Arial" w:hAnsi="Arial" w:cs="Arial"/>
          <w:lang w:eastAsia="zh-CN"/>
        </w:rPr>
      </w:pPr>
    </w:p>
    <w:p>
      <w:pPr>
        <w:spacing w:after="0"/>
        <w:jc w:val="both"/>
        <w:rPr>
          <w:rFonts w:ascii="Arial" w:hAnsi="Arial" w:cs="Arial"/>
          <w:lang w:eastAsia="zh-CN"/>
        </w:rPr>
      </w:pPr>
      <w:r>
        <w:rPr>
          <w:rFonts w:hint="eastAsia" w:ascii="Arial" w:hAnsi="Arial" w:cs="Arial"/>
          <w:lang w:eastAsia="zh-CN"/>
        </w:rPr>
        <w:t>•</w:t>
      </w:r>
      <w:r>
        <w:rPr>
          <w:rFonts w:ascii="Arial" w:hAnsi="Arial" w:cs="Arial"/>
          <w:lang w:eastAsia="zh-CN"/>
        </w:rPr>
        <w:t xml:space="preserve"> Screening and development of broad-spectrum anti-coronavirus drugs;</w:t>
      </w:r>
    </w:p>
    <w:p>
      <w:pPr>
        <w:spacing w:after="0"/>
        <w:jc w:val="both"/>
        <w:rPr>
          <w:rFonts w:ascii="Arial" w:hAnsi="Arial" w:cs="Arial"/>
          <w:lang w:eastAsia="zh-CN"/>
        </w:rPr>
      </w:pPr>
      <w:r>
        <w:rPr>
          <w:rFonts w:hint="eastAsia" w:ascii="Arial" w:hAnsi="Arial" w:cs="Arial"/>
          <w:lang w:eastAsia="zh-CN"/>
        </w:rPr>
        <w:t>•</w:t>
      </w:r>
      <w:r>
        <w:rPr>
          <w:rFonts w:ascii="Arial" w:hAnsi="Arial" w:cs="Arial"/>
          <w:lang w:eastAsia="zh-CN"/>
        </w:rPr>
        <w:t xml:space="preserve"> Research and development of anti-coronavirus vaccine;</w:t>
      </w:r>
    </w:p>
    <w:p>
      <w:pPr>
        <w:spacing w:after="0"/>
        <w:jc w:val="both"/>
        <w:rPr>
          <w:rFonts w:ascii="Arial" w:hAnsi="Arial" w:cs="Arial"/>
          <w:lang w:eastAsia="zh-CN"/>
        </w:rPr>
      </w:pPr>
      <w:r>
        <w:rPr>
          <w:rFonts w:hint="eastAsia" w:ascii="Arial" w:hAnsi="Arial" w:cs="Arial"/>
          <w:lang w:eastAsia="zh-CN"/>
        </w:rPr>
        <w:t>•</w:t>
      </w:r>
      <w:r>
        <w:rPr>
          <w:rFonts w:ascii="Arial" w:hAnsi="Arial" w:cs="Arial"/>
          <w:lang w:eastAsia="zh-CN"/>
        </w:rPr>
        <w:t xml:space="preserve"> Etiology and pathogenic mechanisms of action of animal-derived viruses and protective immune mechanisms against virus;</w:t>
      </w:r>
    </w:p>
    <w:p>
      <w:pPr>
        <w:jc w:val="both"/>
        <w:rPr>
          <w:rFonts w:ascii="Arial" w:hAnsi="Arial" w:cs="Arial"/>
          <w:highlight w:val="yellow"/>
          <w:lang w:eastAsia="zh-CN"/>
        </w:rPr>
      </w:pPr>
      <w:r>
        <w:rPr>
          <w:rFonts w:hint="eastAsia" w:ascii="Arial" w:hAnsi="Arial" w:cs="Arial"/>
          <w:lang w:eastAsia="zh-CN"/>
        </w:rPr>
        <w:t>•</w:t>
      </w:r>
      <w:r>
        <w:rPr>
          <w:rFonts w:ascii="Arial" w:hAnsi="Arial" w:cs="Arial"/>
          <w:lang w:eastAsia="zh-CN"/>
        </w:rPr>
        <w:t xml:space="preserve"> New technologies for rapid and precise diagnosis of coronavirus</w:t>
      </w:r>
    </w:p>
    <w:p>
      <w:pPr>
        <w:jc w:val="both"/>
        <w:rPr>
          <w:rFonts w:ascii="Arial" w:hAnsi="Arial" w:cs="Arial"/>
        </w:rPr>
      </w:pPr>
      <w:r>
        <w:rPr>
          <w:rFonts w:ascii="Arial" w:hAnsi="Arial" w:cs="Arial"/>
        </w:rPr>
        <w:t>The funding agencies wish to develop and strengthen transnational collaborations across the countries involved and to support collaborations which will have a real impact in this field.</w:t>
      </w:r>
      <w:r>
        <w:rPr>
          <w:rFonts w:hint="eastAsia" w:ascii="Arial" w:hAnsi="Arial" w:cs="Arial"/>
          <w:lang w:eastAsia="zh-CN"/>
        </w:rPr>
        <w:t xml:space="preserve"> </w:t>
      </w:r>
      <w:r>
        <w:rPr>
          <w:rFonts w:ascii="Arial" w:hAnsi="Arial" w:cs="Arial"/>
        </w:rPr>
        <w:t>Applicants must successfully demonstrate the sustainability of the collaboration and the potential impact of the activities proposed.</w:t>
      </w:r>
    </w:p>
    <w:p>
      <w:pPr>
        <w:jc w:val="both"/>
        <w:rPr>
          <w:rFonts w:ascii="Arial" w:hAnsi="Arial" w:cs="Arial"/>
        </w:rPr>
      </w:pPr>
    </w:p>
    <w:p>
      <w:pPr>
        <w:pStyle w:val="22"/>
        <w:numPr>
          <w:ilvl w:val="0"/>
          <w:numId w:val="1"/>
        </w:numPr>
        <w:spacing w:after="0"/>
        <w:jc w:val="both"/>
        <w:outlineLvl w:val="0"/>
        <w:rPr>
          <w:rFonts w:ascii="Arial" w:hAnsi="Arial" w:cs="Arial"/>
          <w:b/>
          <w:u w:val="single"/>
        </w:rPr>
      </w:pPr>
      <w:bookmarkStart w:id="2" w:name="_Toc37927549"/>
      <w:r>
        <w:rPr>
          <w:rFonts w:ascii="Arial" w:hAnsi="Arial" w:cs="Arial"/>
          <w:b/>
          <w:u w:val="single"/>
          <w:lang w:eastAsia="zh-CN"/>
        </w:rPr>
        <w:t>Funding available</w:t>
      </w:r>
      <w:bookmarkEnd w:id="2"/>
    </w:p>
    <w:p>
      <w:pPr>
        <w:jc w:val="both"/>
        <w:rPr>
          <w:rFonts w:ascii="Arial" w:hAnsi="Arial" w:cs="Arial"/>
        </w:rPr>
      </w:pPr>
      <w:r>
        <w:rPr>
          <w:rFonts w:ascii="Arial" w:hAnsi="Arial" w:cs="Arial"/>
        </w:rPr>
        <w:t>The applicants</w:t>
      </w:r>
      <w:r>
        <w:rPr>
          <w:rFonts w:ascii="Arial" w:hAnsi="Arial" w:cs="Arial"/>
          <w:lang w:eastAsia="zh-CN"/>
        </w:rPr>
        <w:t xml:space="preserve"> from the above-mentioned countries</w:t>
      </w:r>
      <w:r>
        <w:rPr>
          <w:rFonts w:hint="eastAsia" w:ascii="Arial" w:hAnsi="Arial" w:cs="Arial"/>
          <w:lang w:eastAsia="zh-CN"/>
        </w:rPr>
        <w:t xml:space="preserve"> </w:t>
      </w:r>
      <w:r>
        <w:rPr>
          <w:rFonts w:ascii="Arial" w:hAnsi="Arial" w:cs="Arial"/>
        </w:rPr>
        <w:t>will be funded by the</w:t>
      </w:r>
      <w:r>
        <w:rPr>
          <w:rFonts w:ascii="Arial" w:hAnsi="Arial" w:cs="Arial"/>
          <w:lang w:eastAsia="zh-CN"/>
        </w:rPr>
        <w:t>ir</w:t>
      </w:r>
      <w:r>
        <w:rPr>
          <w:rFonts w:ascii="Arial" w:hAnsi="Arial" w:cs="Arial"/>
        </w:rPr>
        <w:t xml:space="preserve"> respective funding agencies (</w:t>
      </w:r>
      <w:r>
        <w:rPr>
          <w:rFonts w:ascii="Arial" w:hAnsi="Arial" w:cs="Arial"/>
          <w:b/>
        </w:rPr>
        <w:t xml:space="preserve">NSFC, </w:t>
      </w:r>
      <w:r>
        <w:rPr>
          <w:rFonts w:hint="eastAsia" w:ascii="Arial" w:hAnsi="Arial" w:cs="Arial"/>
          <w:b/>
          <w:lang w:eastAsia="zh-CN"/>
        </w:rPr>
        <w:t>BRFFR</w:t>
      </w:r>
      <w:r>
        <w:rPr>
          <w:rFonts w:ascii="Arial" w:hAnsi="Arial" w:cs="Arial"/>
          <w:b/>
        </w:rPr>
        <w:t xml:space="preserve"> and </w:t>
      </w:r>
      <w:r>
        <w:rPr>
          <w:rFonts w:hint="eastAsia" w:ascii="Arial" w:hAnsi="Arial" w:cs="Arial"/>
          <w:b/>
          <w:lang w:eastAsia="zh-CN"/>
        </w:rPr>
        <w:t>BNSF</w:t>
      </w:r>
      <w:r>
        <w:rPr>
          <w:rFonts w:ascii="Arial" w:hAnsi="Arial" w:cs="Arial"/>
        </w:rPr>
        <w:t xml:space="preserve">). The projects will be supported with grants in accordance with the respective national funding regulations. Details are set out in the relevant country annexes. </w:t>
      </w:r>
    </w:p>
    <w:p>
      <w:pPr>
        <w:jc w:val="both"/>
        <w:rPr>
          <w:rFonts w:ascii="Arial" w:hAnsi="Arial" w:cs="Arial"/>
          <w:lang w:eastAsia="zh-CN"/>
        </w:rPr>
      </w:pPr>
      <w:r>
        <w:rPr>
          <w:rFonts w:ascii="Arial" w:hAnsi="Arial" w:cs="Arial"/>
          <w:b/>
        </w:rPr>
        <w:t>NSFC:</w:t>
      </w:r>
      <w:r>
        <w:rPr>
          <w:rFonts w:hint="eastAsia" w:ascii="Arial" w:hAnsi="Arial" w:cs="Arial"/>
          <w:b/>
          <w:lang w:eastAsia="zh-CN"/>
        </w:rPr>
        <w:t xml:space="preserve"> </w:t>
      </w:r>
      <w:r>
        <w:rPr>
          <w:rFonts w:ascii="Arial" w:hAnsi="Arial" w:cs="Arial"/>
          <w:lang w:eastAsia="zh-CN"/>
        </w:rPr>
        <w:t xml:space="preserve">Chinese </w:t>
      </w:r>
      <w:r>
        <w:rPr>
          <w:rFonts w:hint="eastAsia" w:ascii="Arial" w:hAnsi="Arial" w:cs="Arial"/>
          <w:lang w:eastAsia="zh-CN"/>
        </w:rPr>
        <w:t xml:space="preserve">teams </w:t>
      </w:r>
      <w:r>
        <w:rPr>
          <w:rFonts w:ascii="Arial" w:hAnsi="Arial" w:cs="Arial"/>
          <w:lang w:eastAsia="zh-CN"/>
        </w:rPr>
        <w:t>can receive up</w:t>
      </w:r>
      <w:r>
        <w:rPr>
          <w:rFonts w:ascii="Arial" w:hAnsi="Arial" w:cs="Arial"/>
        </w:rPr>
        <w:t xml:space="preserve"> to </w:t>
      </w:r>
      <w:r>
        <w:rPr>
          <w:rFonts w:hint="eastAsia" w:ascii="Arial" w:hAnsi="Arial" w:cs="Arial"/>
          <w:lang w:eastAsia="zh-CN"/>
        </w:rPr>
        <w:t>1,500,000 RMB</w:t>
      </w:r>
      <w:r>
        <w:rPr>
          <w:rFonts w:ascii="Arial" w:hAnsi="Arial" w:cs="Arial"/>
          <w:lang w:eastAsia="zh-CN"/>
        </w:rPr>
        <w:t xml:space="preserve"> for </w:t>
      </w:r>
      <w:r>
        <w:rPr>
          <w:rFonts w:hint="eastAsia" w:ascii="Arial" w:hAnsi="Arial" w:cs="Arial"/>
          <w:lang w:eastAsia="zh-CN"/>
        </w:rPr>
        <w:t>each project</w:t>
      </w:r>
      <w:r>
        <w:rPr>
          <w:rFonts w:ascii="Arial" w:hAnsi="Arial" w:cs="Arial"/>
          <w:lang w:eastAsia="zh-CN"/>
        </w:rPr>
        <w:t>. NSFC-funded costs of each grant will be issued and managed by NSFC according to its funding guidelines and procedures.</w:t>
      </w:r>
      <w:r>
        <w:rPr>
          <w:rFonts w:hint="eastAsia" w:ascii="Arial" w:hAnsi="Arial" w:cs="Arial"/>
          <w:lang w:eastAsia="zh-CN"/>
        </w:rPr>
        <w:t xml:space="preserve"> </w:t>
      </w:r>
    </w:p>
    <w:p>
      <w:pPr>
        <w:jc w:val="both"/>
        <w:rPr>
          <w:rFonts w:ascii="Arial" w:hAnsi="Arial" w:cs="Arial"/>
          <w:lang w:eastAsia="zh-CN"/>
        </w:rPr>
      </w:pPr>
      <w:r>
        <w:rPr>
          <w:rFonts w:hint="eastAsia" w:ascii="Arial" w:hAnsi="Arial" w:cs="Arial"/>
          <w:b/>
          <w:lang w:eastAsia="zh-CN"/>
        </w:rPr>
        <w:t>BRFFR：</w:t>
      </w:r>
      <w:r>
        <w:rPr>
          <w:rFonts w:hint="eastAsia" w:ascii="Arial" w:hAnsi="Arial" w:cs="Arial"/>
          <w:lang w:eastAsia="zh-CN"/>
        </w:rPr>
        <w:t xml:space="preserve">Belarusian teams can receive up to </w:t>
      </w:r>
      <w:r>
        <w:rPr>
          <w:rFonts w:ascii="Arial" w:hAnsi="Arial" w:cs="Arial"/>
          <w:lang w:eastAsia="zh-CN"/>
        </w:rPr>
        <w:t>120,000 - 240,000</w:t>
      </w:r>
      <w:r>
        <w:rPr>
          <w:rFonts w:hint="eastAsia" w:ascii="Arial" w:hAnsi="Arial" w:cs="Arial"/>
          <w:lang w:eastAsia="zh-CN"/>
        </w:rPr>
        <w:t xml:space="preserve"> </w:t>
      </w:r>
      <w:r>
        <w:rPr>
          <w:rFonts w:ascii="Arial" w:hAnsi="Arial" w:cs="Arial"/>
          <w:lang w:eastAsia="zh-CN"/>
        </w:rPr>
        <w:t>Belarusian rubles/project</w:t>
      </w:r>
      <w:r>
        <w:rPr>
          <w:rFonts w:hint="eastAsia" w:ascii="Arial" w:hAnsi="Arial" w:cs="Arial"/>
          <w:lang w:eastAsia="zh-CN"/>
        </w:rPr>
        <w:t>.</w:t>
      </w:r>
    </w:p>
    <w:p>
      <w:pPr>
        <w:jc w:val="both"/>
        <w:rPr>
          <w:rFonts w:ascii="Arial" w:hAnsi="Arial" w:cs="Arial"/>
          <w:lang w:eastAsia="zh-CN"/>
        </w:rPr>
      </w:pPr>
      <w:r>
        <w:rPr>
          <w:rFonts w:ascii="Arial" w:hAnsi="Arial" w:cs="Arial"/>
          <w:b/>
          <w:lang w:eastAsia="zh-CN"/>
        </w:rPr>
        <w:t>BNSF:</w:t>
      </w:r>
      <w:r>
        <w:rPr>
          <w:rFonts w:ascii="Arial" w:hAnsi="Arial" w:cs="Arial"/>
          <w:lang w:eastAsia="zh-CN"/>
        </w:rPr>
        <w:t xml:space="preserve"> Bulgarian teams can receive up</w:t>
      </w:r>
      <w:r>
        <w:rPr>
          <w:rFonts w:ascii="Arial" w:hAnsi="Arial" w:cs="Arial"/>
        </w:rPr>
        <w:t xml:space="preserve"> to 200 000 BGN</w:t>
      </w:r>
      <w:r>
        <w:rPr>
          <w:rFonts w:ascii="Arial" w:hAnsi="Arial" w:cs="Arial"/>
          <w:lang w:eastAsia="zh-CN"/>
        </w:rPr>
        <w:t xml:space="preserve"> for each project. </w:t>
      </w:r>
    </w:p>
    <w:p>
      <w:pPr>
        <w:pStyle w:val="22"/>
        <w:jc w:val="both"/>
        <w:rPr>
          <w:rFonts w:ascii="Arial" w:hAnsi="Arial" w:cs="Arial"/>
          <w:b/>
          <w:lang w:eastAsia="zh-CN"/>
        </w:rPr>
      </w:pPr>
    </w:p>
    <w:p>
      <w:pPr>
        <w:pStyle w:val="22"/>
        <w:jc w:val="both"/>
        <w:rPr>
          <w:rFonts w:ascii="Arial" w:hAnsi="Arial" w:cs="Arial"/>
        </w:rPr>
      </w:pPr>
    </w:p>
    <w:p>
      <w:pPr>
        <w:pStyle w:val="22"/>
        <w:numPr>
          <w:ilvl w:val="0"/>
          <w:numId w:val="1"/>
        </w:numPr>
        <w:spacing w:after="0"/>
        <w:jc w:val="both"/>
        <w:outlineLvl w:val="0"/>
        <w:rPr>
          <w:rFonts w:ascii="Arial" w:hAnsi="Arial" w:cs="Arial"/>
          <w:b/>
          <w:u w:val="single"/>
        </w:rPr>
      </w:pPr>
      <w:bookmarkStart w:id="3" w:name="_Toc37927550"/>
      <w:r>
        <w:rPr>
          <w:rFonts w:ascii="Arial" w:hAnsi="Arial" w:cs="Arial"/>
          <w:b/>
          <w:u w:val="single"/>
        </w:rPr>
        <w:t>Eligibility</w:t>
      </w:r>
      <w:bookmarkEnd w:id="3"/>
    </w:p>
    <w:p>
      <w:pPr>
        <w:spacing w:after="0"/>
        <w:jc w:val="both"/>
        <w:rPr>
          <w:rFonts w:ascii="Arial" w:hAnsi="Arial" w:cs="Arial"/>
          <w:b/>
          <w:u w:val="single"/>
        </w:rPr>
      </w:pPr>
    </w:p>
    <w:p>
      <w:pPr>
        <w:spacing w:after="0"/>
        <w:jc w:val="both"/>
        <w:rPr>
          <w:rFonts w:ascii="Arial" w:hAnsi="Arial" w:cs="Arial"/>
          <w:lang w:eastAsia="zh-CN"/>
        </w:rPr>
      </w:pPr>
      <w:r>
        <w:rPr>
          <w:rFonts w:ascii="Arial" w:hAnsi="Arial" w:cs="Arial"/>
        </w:rPr>
        <w:t xml:space="preserve">Each collaborative research proposal must involve at a minimum one eligible Principal Investigator based in the China and one eligible Principal Investigator based in </w:t>
      </w:r>
      <w:r>
        <w:rPr>
          <w:rFonts w:ascii="Arial" w:hAnsi="Arial" w:cs="Arial"/>
          <w:lang w:eastAsia="zh-CN"/>
        </w:rPr>
        <w:t>Belarus and</w:t>
      </w:r>
      <w:r>
        <w:rPr>
          <w:rFonts w:hint="eastAsia" w:ascii="Arial" w:hAnsi="Arial" w:cs="Arial"/>
          <w:lang w:eastAsia="zh-CN"/>
        </w:rPr>
        <w:t>/or</w:t>
      </w:r>
      <w:r>
        <w:rPr>
          <w:rFonts w:ascii="Arial" w:hAnsi="Arial" w:cs="Arial"/>
          <w:lang w:eastAsia="zh-CN"/>
        </w:rPr>
        <w:t xml:space="preserve"> Bulgaria.</w:t>
      </w:r>
    </w:p>
    <w:p>
      <w:pPr>
        <w:spacing w:after="0"/>
        <w:jc w:val="both"/>
        <w:rPr>
          <w:rFonts w:ascii="Arial" w:hAnsi="Arial" w:cs="Arial"/>
        </w:rPr>
      </w:pPr>
    </w:p>
    <w:p>
      <w:pPr>
        <w:spacing w:after="0"/>
        <w:jc w:val="both"/>
        <w:rPr>
          <w:rFonts w:ascii="Arial" w:hAnsi="Arial" w:cs="Arial"/>
          <w:lang w:eastAsia="zh-CN"/>
        </w:rPr>
      </w:pPr>
      <w:r>
        <w:rPr>
          <w:rFonts w:ascii="Arial" w:hAnsi="Arial" w:cs="Arial"/>
        </w:rPr>
        <w:t xml:space="preserve">All applicants must adhere to national eligibility rules for research proposals as set out in the relevant country annexes and national call guidelines. Any queries concerning eligibility should be addressed to the contact persons of the respective funding agencies. </w:t>
      </w:r>
    </w:p>
    <w:p>
      <w:pPr>
        <w:spacing w:after="0"/>
        <w:jc w:val="both"/>
        <w:rPr>
          <w:rFonts w:ascii="Arial" w:hAnsi="Arial" w:cs="Arial"/>
          <w:lang w:eastAsia="zh-CN"/>
        </w:rPr>
      </w:pPr>
    </w:p>
    <w:p>
      <w:pPr>
        <w:spacing w:after="0"/>
        <w:jc w:val="both"/>
        <w:rPr>
          <w:rFonts w:ascii="Arial" w:hAnsi="Arial" w:cs="Arial"/>
          <w:b/>
        </w:rPr>
      </w:pPr>
      <w:r>
        <w:rPr>
          <w:rFonts w:ascii="Arial" w:hAnsi="Arial" w:cs="Arial"/>
        </w:rPr>
        <w:t xml:space="preserve">Principal Investigators </w:t>
      </w:r>
      <w:r>
        <w:rPr>
          <w:rFonts w:ascii="Arial" w:hAnsi="Arial" w:cs="Arial"/>
          <w:lang w:eastAsia="zh-CN"/>
        </w:rPr>
        <w:t>need to</w:t>
      </w:r>
      <w:r>
        <w:rPr>
          <w:rFonts w:ascii="Arial" w:hAnsi="Arial" w:cs="Arial"/>
        </w:rPr>
        <w:t xml:space="preserve"> ensur</w:t>
      </w:r>
      <w:r>
        <w:rPr>
          <w:rFonts w:ascii="Arial" w:hAnsi="Arial" w:cs="Arial"/>
          <w:lang w:eastAsia="zh-CN"/>
        </w:rPr>
        <w:t>e</w:t>
      </w:r>
      <w:r>
        <w:rPr>
          <w:rFonts w:ascii="Arial" w:hAnsi="Arial" w:cs="Arial"/>
        </w:rPr>
        <w:t xml:space="preserve"> that they, and any Co-Investigators included on the application are eligible. </w:t>
      </w:r>
      <w:r>
        <w:rPr>
          <w:rFonts w:ascii="Arial" w:hAnsi="Arial" w:cs="Arial"/>
          <w:b/>
        </w:rPr>
        <w:t>Applications involving any ineligible applicants</w:t>
      </w:r>
      <w:r>
        <w:rPr>
          <w:rFonts w:ascii="Arial" w:hAnsi="Arial" w:cs="Arial"/>
        </w:rPr>
        <w:t xml:space="preserve"> (from China, </w:t>
      </w:r>
      <w:r>
        <w:rPr>
          <w:rFonts w:ascii="Arial" w:hAnsi="Arial" w:cs="Arial"/>
          <w:lang w:eastAsia="zh-CN"/>
        </w:rPr>
        <w:t xml:space="preserve">Belarus </w:t>
      </w:r>
      <w:r>
        <w:rPr>
          <w:rFonts w:hint="eastAsia" w:ascii="Arial" w:hAnsi="Arial" w:cs="Arial"/>
          <w:lang w:eastAsia="zh-CN"/>
        </w:rPr>
        <w:t>or</w:t>
      </w:r>
      <w:r>
        <w:rPr>
          <w:rFonts w:ascii="Arial" w:hAnsi="Arial" w:cs="Arial"/>
          <w:lang w:eastAsia="zh-CN"/>
        </w:rPr>
        <w:t xml:space="preserve"> Bulgaria</w:t>
      </w:r>
      <w:r>
        <w:rPr>
          <w:rFonts w:ascii="Arial" w:hAnsi="Arial" w:cs="Arial"/>
        </w:rPr>
        <w:t xml:space="preserve">) </w:t>
      </w:r>
      <w:r>
        <w:rPr>
          <w:rFonts w:ascii="Arial" w:hAnsi="Arial" w:cs="Arial"/>
          <w:b/>
        </w:rPr>
        <w:t xml:space="preserve">will result in the whole application being rejected. </w:t>
      </w:r>
    </w:p>
    <w:p>
      <w:pPr>
        <w:spacing w:after="0"/>
        <w:jc w:val="both"/>
        <w:rPr>
          <w:rFonts w:ascii="Arial" w:hAnsi="Arial" w:cs="Arial"/>
          <w:b/>
        </w:rPr>
      </w:pPr>
    </w:p>
    <w:p>
      <w:pPr>
        <w:spacing w:after="0"/>
        <w:jc w:val="both"/>
        <w:rPr>
          <w:rFonts w:ascii="Arial" w:hAnsi="Arial" w:cs="Arial"/>
        </w:rPr>
      </w:pPr>
    </w:p>
    <w:p>
      <w:pPr>
        <w:pStyle w:val="22"/>
        <w:numPr>
          <w:ilvl w:val="0"/>
          <w:numId w:val="1"/>
        </w:numPr>
        <w:spacing w:after="0"/>
        <w:jc w:val="both"/>
        <w:outlineLvl w:val="0"/>
        <w:rPr>
          <w:rFonts w:ascii="Arial" w:hAnsi="Arial" w:cs="Arial"/>
          <w:b/>
          <w:u w:val="single"/>
        </w:rPr>
      </w:pPr>
      <w:bookmarkStart w:id="4" w:name="_Toc37927551"/>
      <w:r>
        <w:rPr>
          <w:rFonts w:ascii="Arial" w:hAnsi="Arial" w:cs="Arial"/>
          <w:b/>
          <w:u w:val="single"/>
        </w:rPr>
        <w:t>Application</w:t>
      </w:r>
      <w:bookmarkEnd w:id="4"/>
    </w:p>
    <w:p>
      <w:pPr>
        <w:spacing w:after="0"/>
        <w:jc w:val="both"/>
        <w:rPr>
          <w:rFonts w:ascii="Arial" w:hAnsi="Arial" w:cs="Arial"/>
          <w:b/>
        </w:rPr>
      </w:pPr>
    </w:p>
    <w:p>
      <w:pPr>
        <w:spacing w:after="0"/>
        <w:jc w:val="both"/>
        <w:rPr>
          <w:rFonts w:ascii="Arial" w:hAnsi="Arial" w:cs="Arial"/>
          <w:lang w:eastAsia="zh-CN"/>
        </w:rPr>
      </w:pPr>
      <w:r>
        <w:rPr>
          <w:rFonts w:ascii="Arial" w:hAnsi="Arial" w:cs="Arial"/>
        </w:rPr>
        <w:t>For each proposal, the Chinese</w:t>
      </w:r>
      <w:r>
        <w:rPr>
          <w:rFonts w:hint="eastAsia" w:ascii="Arial" w:hAnsi="Arial" w:cs="Arial"/>
          <w:lang w:eastAsia="zh-CN"/>
        </w:rPr>
        <w:t xml:space="preserve"> </w:t>
      </w:r>
      <w:r>
        <w:rPr>
          <w:rFonts w:ascii="Arial" w:hAnsi="Arial" w:cs="Arial"/>
          <w:lang w:eastAsia="zh-CN"/>
        </w:rPr>
        <w:t>PI</w:t>
      </w:r>
      <w:r>
        <w:rPr>
          <w:rFonts w:ascii="Arial" w:hAnsi="Arial" w:cs="Arial"/>
        </w:rPr>
        <w:t xml:space="preserve"> must apply using NSFC’s ISISN system (http://isisn.nsfc.gov.cn/egrantweb/) by completing a standard NSFC grant application along with the</w:t>
      </w:r>
      <w:r>
        <w:rPr>
          <w:rFonts w:hint="eastAsia" w:ascii="Arial" w:hAnsi="Arial" w:cs="Arial"/>
          <w:lang w:eastAsia="zh-CN"/>
        </w:rPr>
        <w:t xml:space="preserve"> </w:t>
      </w:r>
      <w:r>
        <w:rPr>
          <w:rFonts w:ascii="Arial" w:hAnsi="Arial" w:cs="Arial"/>
          <w:lang w:eastAsia="zh-CN"/>
        </w:rPr>
        <w:t>JPD</w:t>
      </w:r>
      <w:r>
        <w:rPr>
          <w:rFonts w:hint="eastAsia" w:ascii="Arial" w:hAnsi="Arial" w:cs="Arial"/>
          <w:lang w:eastAsia="zh-CN"/>
        </w:rPr>
        <w:t xml:space="preserve"> </w:t>
      </w:r>
      <w:r>
        <w:rPr>
          <w:rFonts w:ascii="Arial" w:hAnsi="Arial" w:cs="Arial"/>
          <w:lang w:eastAsia="zh-CN"/>
        </w:rPr>
        <w:t>in English.</w:t>
      </w:r>
      <w:r>
        <w:rPr>
          <w:rFonts w:hint="eastAsia" w:ascii="Arial" w:hAnsi="Arial" w:cs="Arial"/>
          <w:lang w:eastAsia="zh-CN"/>
        </w:rPr>
        <w:t xml:space="preserve"> </w:t>
      </w:r>
      <w:r>
        <w:rPr>
          <w:rFonts w:ascii="Arial" w:hAnsi="Arial" w:cs="Arial"/>
        </w:rPr>
        <w:t>The applicant(s) from other countries must apply to their country’s funder respectively.</w:t>
      </w:r>
      <w:r>
        <w:rPr>
          <w:rFonts w:hint="eastAsia" w:ascii="Arial" w:hAnsi="Arial" w:cs="Arial"/>
          <w:lang w:eastAsia="zh-CN"/>
        </w:rPr>
        <w:t xml:space="preserve"> </w:t>
      </w:r>
      <w:r>
        <w:rPr>
          <w:rFonts w:ascii="Arial" w:hAnsi="Arial" w:cs="Arial"/>
        </w:rPr>
        <w:t>Details are set out in the relevant country annexes.</w:t>
      </w:r>
    </w:p>
    <w:p>
      <w:pPr>
        <w:spacing w:after="0"/>
        <w:jc w:val="both"/>
        <w:rPr>
          <w:rFonts w:ascii="Arial" w:hAnsi="Arial" w:cs="Arial"/>
          <w:lang w:eastAsia="zh-CN"/>
        </w:rPr>
      </w:pPr>
    </w:p>
    <w:p>
      <w:pPr>
        <w:spacing w:after="0"/>
        <w:jc w:val="both"/>
        <w:rPr>
          <w:rFonts w:ascii="Arial" w:hAnsi="Arial" w:cs="Arial"/>
        </w:rPr>
      </w:pPr>
      <w:r>
        <w:rPr>
          <w:rFonts w:hint="eastAsia" w:ascii="Arial" w:hAnsi="Arial" w:cs="Arial"/>
          <w:lang w:eastAsia="zh-CN"/>
        </w:rPr>
        <w:t>Please note the JPD must be jointly composed by all the consortia. The applicants must submit the JPD to their country</w:t>
      </w:r>
      <w:r>
        <w:rPr>
          <w:rFonts w:ascii="Arial" w:hAnsi="Arial" w:cs="Arial"/>
          <w:lang w:eastAsia="zh-CN"/>
        </w:rPr>
        <w:t>’</w:t>
      </w:r>
      <w:r>
        <w:rPr>
          <w:rFonts w:hint="eastAsia" w:ascii="Arial" w:hAnsi="Arial" w:cs="Arial"/>
          <w:lang w:eastAsia="zh-CN"/>
        </w:rPr>
        <w:t xml:space="preserve">s funder </w:t>
      </w:r>
      <w:r>
        <w:rPr>
          <w:rFonts w:ascii="Arial" w:hAnsi="Arial" w:cs="Arial"/>
          <w:lang w:eastAsia="zh-CN"/>
        </w:rPr>
        <w:t>respectively</w:t>
      </w:r>
      <w:r>
        <w:rPr>
          <w:rFonts w:hint="eastAsia" w:ascii="Arial" w:hAnsi="Arial" w:cs="Arial"/>
          <w:lang w:eastAsia="zh-CN"/>
        </w:rPr>
        <w:t xml:space="preserve">. The JPD will be the most important material for evaluation. A template of the JPD is presented at </w:t>
      </w:r>
      <w:r>
        <w:rPr>
          <w:rFonts w:ascii="Arial" w:hAnsi="Arial" w:cs="Arial"/>
          <w:b/>
          <w:lang w:eastAsia="zh-CN"/>
        </w:rPr>
        <w:t xml:space="preserve">ANNEX </w:t>
      </w:r>
      <w:r>
        <w:rPr>
          <w:rFonts w:hint="eastAsia" w:ascii="Arial" w:hAnsi="Arial" w:cs="Arial"/>
          <w:b/>
          <w:lang w:eastAsia="zh-CN"/>
        </w:rPr>
        <w:t>2</w:t>
      </w:r>
      <w:r>
        <w:rPr>
          <w:rFonts w:hint="eastAsia" w:ascii="Arial" w:hAnsi="Arial" w:cs="Arial"/>
          <w:lang w:eastAsia="zh-CN"/>
        </w:rPr>
        <w:t>.</w:t>
      </w:r>
    </w:p>
    <w:p>
      <w:pPr>
        <w:pStyle w:val="22"/>
        <w:spacing w:after="0"/>
        <w:jc w:val="both"/>
        <w:rPr>
          <w:rFonts w:ascii="Arial" w:hAnsi="Arial" w:cs="Arial"/>
          <w:b/>
        </w:rPr>
      </w:pPr>
    </w:p>
    <w:p>
      <w:pPr>
        <w:spacing w:after="0"/>
        <w:jc w:val="both"/>
        <w:rPr>
          <w:rFonts w:ascii="Arial" w:hAnsi="Arial" w:cs="Arial"/>
          <w:b/>
        </w:rPr>
      </w:pPr>
      <w:r>
        <w:rPr>
          <w:rFonts w:ascii="Arial" w:hAnsi="Arial" w:cs="Arial"/>
          <w:b/>
        </w:rPr>
        <w:t xml:space="preserve">Additional specific instructions for </w:t>
      </w:r>
      <w:r>
        <w:rPr>
          <w:rFonts w:hint="eastAsia" w:ascii="Arial" w:hAnsi="Arial" w:cs="Arial"/>
          <w:b/>
          <w:lang w:eastAsia="zh-CN"/>
        </w:rPr>
        <w:t>collaboration among</w:t>
      </w:r>
      <w:r>
        <w:rPr>
          <w:rFonts w:ascii="Arial" w:hAnsi="Arial" w:cs="Arial"/>
          <w:b/>
        </w:rPr>
        <w:t xml:space="preserve"> </w:t>
      </w:r>
      <w:r>
        <w:rPr>
          <w:rFonts w:ascii="Arial" w:hAnsi="Arial" w:cs="Arial"/>
        </w:rPr>
        <w:t>China, Belarus and Bulgaria</w:t>
      </w:r>
      <w:r>
        <w:rPr>
          <w:rFonts w:ascii="Arial" w:hAnsi="Arial" w:cs="Arial"/>
          <w:b/>
        </w:rPr>
        <w:t xml:space="preserve"> are provided in the individual Annex for each country. Please ensure you read the annex</w:t>
      </w:r>
      <w:r>
        <w:rPr>
          <w:rFonts w:ascii="Arial" w:hAnsi="Arial" w:cs="Arial"/>
          <w:b/>
          <w:lang w:eastAsia="zh-CN"/>
        </w:rPr>
        <w:t>es</w:t>
      </w:r>
      <w:r>
        <w:rPr>
          <w:rFonts w:ascii="Arial" w:hAnsi="Arial" w:cs="Arial"/>
          <w:b/>
        </w:rPr>
        <w:t xml:space="preserve"> of the countr</w:t>
      </w:r>
      <w:r>
        <w:rPr>
          <w:rFonts w:ascii="Arial" w:hAnsi="Arial" w:cs="Arial"/>
          <w:b/>
          <w:lang w:eastAsia="zh-CN"/>
        </w:rPr>
        <w:t>ies</w:t>
      </w:r>
      <w:r>
        <w:rPr>
          <w:rFonts w:hint="eastAsia" w:ascii="Arial" w:hAnsi="Arial" w:cs="Arial"/>
          <w:b/>
          <w:lang w:eastAsia="zh-CN"/>
        </w:rPr>
        <w:t xml:space="preserve"> </w:t>
      </w:r>
      <w:r>
        <w:rPr>
          <w:rFonts w:ascii="Arial" w:hAnsi="Arial" w:cs="Arial"/>
          <w:b/>
          <w:lang w:eastAsia="zh-CN"/>
        </w:rPr>
        <w:t>concerned</w:t>
      </w:r>
      <w:r>
        <w:rPr>
          <w:rFonts w:ascii="Arial" w:hAnsi="Arial" w:cs="Arial"/>
          <w:b/>
        </w:rPr>
        <w:t>.</w:t>
      </w:r>
    </w:p>
    <w:p>
      <w:pPr>
        <w:spacing w:after="0"/>
        <w:jc w:val="both"/>
        <w:rPr>
          <w:rFonts w:ascii="Arial" w:hAnsi="Arial" w:cs="Arial"/>
          <w:b/>
        </w:rPr>
      </w:pPr>
    </w:p>
    <w:p>
      <w:pPr>
        <w:spacing w:after="0"/>
        <w:jc w:val="both"/>
        <w:rPr>
          <w:rFonts w:ascii="Arial" w:hAnsi="Arial" w:cs="Arial"/>
          <w:b/>
          <w:i/>
          <w:u w:val="single"/>
        </w:rPr>
      </w:pPr>
      <w:r>
        <w:rPr>
          <w:rFonts w:ascii="Arial" w:hAnsi="Arial" w:cs="Arial"/>
          <w:b/>
          <w:i/>
          <w:u w:val="single"/>
        </w:rPr>
        <w:t>Collaboration Agreement</w:t>
      </w:r>
    </w:p>
    <w:p>
      <w:pPr>
        <w:spacing w:after="0"/>
        <w:jc w:val="both"/>
        <w:rPr>
          <w:rFonts w:ascii="Arial" w:hAnsi="Arial" w:cs="Arial"/>
        </w:rPr>
      </w:pPr>
      <w:r>
        <w:rPr>
          <w:rFonts w:ascii="Arial" w:hAnsi="Arial" w:cs="Arial"/>
        </w:rPr>
        <w:t>As the research projects will be carried out by multiple project partners, the basis of collaboration between the project partners, including ownership of intellectual property (IP) generated during the project and rights to exploitation, and IP management</w:t>
      </w:r>
      <w:r>
        <w:rPr>
          <w:rFonts w:hint="eastAsia" w:ascii="Arial" w:hAnsi="Arial" w:cs="Arial"/>
          <w:lang w:eastAsia="zh-CN"/>
        </w:rPr>
        <w:t xml:space="preserve"> </w:t>
      </w:r>
      <w:r>
        <w:rPr>
          <w:rFonts w:ascii="Arial" w:hAnsi="Arial" w:cs="Arial"/>
        </w:rPr>
        <w:t xml:space="preserve">is expected to be set out in a collaboration agreement between the </w:t>
      </w:r>
      <w:r>
        <w:rPr>
          <w:rFonts w:ascii="Arial" w:hAnsi="Arial" w:cs="Arial"/>
          <w:lang w:eastAsia="zh-CN"/>
        </w:rPr>
        <w:t>Principal Investigators</w:t>
      </w:r>
      <w:r>
        <w:rPr>
          <w:rFonts w:ascii="Arial" w:hAnsi="Arial" w:cs="Arial"/>
        </w:rPr>
        <w:t xml:space="preserve"> involved. It is the responsibility of the Principal Investigators to put such an agreement in place </w:t>
      </w:r>
      <w:r>
        <w:rPr>
          <w:rFonts w:ascii="Arial" w:hAnsi="Arial" w:cs="Arial"/>
          <w:b/>
        </w:rPr>
        <w:t>before the research begins</w:t>
      </w:r>
      <w:r>
        <w:rPr>
          <w:rFonts w:ascii="Arial" w:hAnsi="Arial" w:cs="Arial"/>
        </w:rPr>
        <w:t>. The terms of collaboration must not conflict with the funding agencies terms and conditions and national law.</w:t>
      </w:r>
    </w:p>
    <w:p>
      <w:pPr>
        <w:spacing w:after="0"/>
        <w:jc w:val="both"/>
        <w:rPr>
          <w:rFonts w:ascii="Arial" w:hAnsi="Arial" w:cs="Arial"/>
        </w:rPr>
      </w:pPr>
    </w:p>
    <w:p>
      <w:pPr>
        <w:spacing w:after="0"/>
        <w:jc w:val="both"/>
        <w:rPr>
          <w:rFonts w:ascii="Arial" w:hAnsi="Arial" w:cs="Arial"/>
        </w:rPr>
      </w:pPr>
      <w:r>
        <w:rPr>
          <w:rFonts w:ascii="Arial" w:hAnsi="Arial" w:cs="Arial"/>
        </w:rPr>
        <w:t xml:space="preserve">Arrangements for collaboration and/or exploitation must not prevent the future progression of academic research and the dissemination of research results in accordance with academic custom and practise and the requirements of the funding bodies. </w:t>
      </w:r>
    </w:p>
    <w:p>
      <w:pPr>
        <w:spacing w:after="0"/>
        <w:jc w:val="both"/>
        <w:rPr>
          <w:rFonts w:ascii="Arial" w:hAnsi="Arial" w:cs="Arial"/>
        </w:rPr>
      </w:pPr>
    </w:p>
    <w:p>
      <w:pPr>
        <w:spacing w:after="0"/>
        <w:jc w:val="both"/>
        <w:rPr>
          <w:rFonts w:ascii="Arial" w:hAnsi="Arial" w:cs="Arial"/>
        </w:rPr>
      </w:pPr>
      <w:r>
        <w:rPr>
          <w:rFonts w:ascii="Arial" w:hAnsi="Arial" w:cs="Arial"/>
        </w:rPr>
        <w:t xml:space="preserve">Details of key issues included in the Collaboration Agreement, for example management of IP, should be </w:t>
      </w:r>
      <w:r>
        <w:rPr>
          <w:rFonts w:ascii="Arial" w:hAnsi="Arial" w:cs="Arial"/>
          <w:lang w:eastAsia="zh-CN"/>
        </w:rPr>
        <w:t>described</w:t>
      </w:r>
      <w:r>
        <w:rPr>
          <w:rFonts w:hint="eastAsia" w:ascii="Arial" w:hAnsi="Arial" w:cs="Arial"/>
          <w:lang w:eastAsia="zh-CN"/>
        </w:rPr>
        <w:t xml:space="preserve"> </w:t>
      </w:r>
      <w:r>
        <w:rPr>
          <w:rFonts w:ascii="Arial" w:hAnsi="Arial" w:cs="Arial"/>
        </w:rPr>
        <w:t>in JPD. The full Collaboration Agreement must</w:t>
      </w:r>
      <w:r>
        <w:rPr>
          <w:rFonts w:hint="eastAsia" w:ascii="Arial" w:hAnsi="Arial" w:cs="Arial"/>
          <w:lang w:eastAsia="zh-CN"/>
        </w:rPr>
        <w:t xml:space="preserve"> </w:t>
      </w:r>
      <w:r>
        <w:rPr>
          <w:rFonts w:ascii="Arial" w:hAnsi="Arial" w:cs="Arial"/>
        </w:rPr>
        <w:t>be</w:t>
      </w:r>
      <w:r>
        <w:rPr>
          <w:rFonts w:hint="eastAsia" w:ascii="Arial" w:hAnsi="Arial" w:cs="Arial"/>
          <w:lang w:eastAsia="zh-CN"/>
        </w:rPr>
        <w:t xml:space="preserve"> </w:t>
      </w:r>
      <w:r>
        <w:rPr>
          <w:rFonts w:ascii="Arial" w:hAnsi="Arial" w:cs="Arial"/>
        </w:rPr>
        <w:t xml:space="preserve">available to be shared with the funders </w:t>
      </w:r>
      <w:r>
        <w:rPr>
          <w:rFonts w:ascii="Arial" w:hAnsi="Arial" w:cs="Arial"/>
          <w:lang w:eastAsia="zh-CN"/>
        </w:rPr>
        <w:t>once the project is approved</w:t>
      </w:r>
      <w:r>
        <w:rPr>
          <w:rFonts w:ascii="Arial" w:hAnsi="Arial" w:cs="Arial"/>
        </w:rPr>
        <w:t>.</w:t>
      </w:r>
    </w:p>
    <w:p>
      <w:pPr>
        <w:spacing w:after="0"/>
        <w:jc w:val="both"/>
        <w:rPr>
          <w:rFonts w:ascii="Arial" w:hAnsi="Arial" w:cs="Arial"/>
          <w:b/>
        </w:rPr>
      </w:pPr>
    </w:p>
    <w:p>
      <w:pPr>
        <w:pStyle w:val="22"/>
        <w:numPr>
          <w:ilvl w:val="0"/>
          <w:numId w:val="1"/>
        </w:numPr>
        <w:spacing w:after="0"/>
        <w:jc w:val="both"/>
        <w:outlineLvl w:val="0"/>
        <w:rPr>
          <w:rFonts w:ascii="Arial" w:hAnsi="Arial" w:cs="Arial"/>
          <w:b/>
          <w:u w:val="single"/>
        </w:rPr>
      </w:pPr>
      <w:bookmarkStart w:id="5" w:name="_Toc37927552"/>
      <w:r>
        <w:rPr>
          <w:rFonts w:ascii="Arial" w:hAnsi="Arial" w:cs="Arial"/>
          <w:b/>
          <w:u w:val="single"/>
          <w:lang w:eastAsia="zh-CN"/>
        </w:rPr>
        <w:t>Evaluation</w:t>
      </w:r>
      <w:bookmarkEnd w:id="5"/>
    </w:p>
    <w:p>
      <w:pPr>
        <w:spacing w:after="0"/>
        <w:jc w:val="both"/>
        <w:rPr>
          <w:rFonts w:ascii="Arial" w:hAnsi="Arial" w:cs="Arial"/>
        </w:rPr>
      </w:pPr>
    </w:p>
    <w:p>
      <w:pPr>
        <w:spacing w:after="0"/>
        <w:jc w:val="both"/>
        <w:rPr>
          <w:rFonts w:ascii="Arial" w:hAnsi="Arial" w:cs="Arial"/>
        </w:rPr>
      </w:pPr>
      <w:r>
        <w:rPr>
          <w:rFonts w:ascii="Arial" w:hAnsi="Arial" w:cs="Arial"/>
        </w:rPr>
        <w:t>Each funding agency will carry out eligibility and internal checks and agree which proposals will go forward for assessment. Only proposals that fit to the call topics mentioned in Part II of this call will be evaluated and funded.</w:t>
      </w:r>
    </w:p>
    <w:p>
      <w:pPr>
        <w:spacing w:after="0"/>
        <w:jc w:val="both"/>
        <w:rPr>
          <w:rFonts w:ascii="Arial" w:hAnsi="Arial" w:cs="Arial"/>
        </w:rPr>
      </w:pPr>
    </w:p>
    <w:p>
      <w:pPr>
        <w:spacing w:after="0"/>
        <w:jc w:val="both"/>
        <w:rPr>
          <w:rFonts w:ascii="Arial" w:hAnsi="Arial" w:cs="Arial"/>
        </w:rPr>
      </w:pPr>
      <w:r>
        <w:rPr>
          <w:rFonts w:ascii="Arial" w:hAnsi="Arial" w:cs="Arial"/>
        </w:rPr>
        <w:t>Eligible proposals will be</w:t>
      </w:r>
      <w:r>
        <w:rPr>
          <w:rFonts w:ascii="Arial" w:hAnsi="Arial" w:cs="Arial"/>
          <w:lang w:eastAsia="zh-CN"/>
        </w:rPr>
        <w:t xml:space="preserve"> subject to the</w:t>
      </w:r>
      <w:r>
        <w:rPr>
          <w:rFonts w:hint="eastAsia" w:ascii="Arial" w:hAnsi="Arial" w:cs="Arial"/>
          <w:lang w:eastAsia="zh-CN"/>
        </w:rPr>
        <w:t xml:space="preserve"> </w:t>
      </w:r>
      <w:r>
        <w:rPr>
          <w:rFonts w:ascii="Arial" w:hAnsi="Arial" w:cs="Arial"/>
          <w:lang w:eastAsia="zh-CN"/>
        </w:rPr>
        <w:t xml:space="preserve">independent </w:t>
      </w:r>
      <w:r>
        <w:rPr>
          <w:rFonts w:ascii="Arial" w:hAnsi="Arial" w:cs="Arial"/>
        </w:rPr>
        <w:t>evaluat</w:t>
      </w:r>
      <w:r>
        <w:rPr>
          <w:rFonts w:ascii="Arial" w:hAnsi="Arial" w:cs="Arial"/>
          <w:lang w:eastAsia="zh-CN"/>
        </w:rPr>
        <w:t>ion</w:t>
      </w:r>
      <w:r>
        <w:rPr>
          <w:rFonts w:hint="eastAsia" w:ascii="Arial" w:hAnsi="Arial" w:cs="Arial"/>
          <w:lang w:eastAsia="zh-CN"/>
        </w:rPr>
        <w:t xml:space="preserve"> </w:t>
      </w:r>
      <w:r>
        <w:rPr>
          <w:rFonts w:ascii="Arial" w:hAnsi="Arial" w:cs="Arial"/>
          <w:lang w:eastAsia="zh-CN"/>
        </w:rPr>
        <w:t>by the</w:t>
      </w:r>
      <w:r>
        <w:rPr>
          <w:rFonts w:ascii="Arial" w:hAnsi="Arial" w:cs="Arial"/>
        </w:rPr>
        <w:t xml:space="preserve"> funding agencies</w:t>
      </w:r>
      <w:r>
        <w:rPr>
          <w:rFonts w:hint="eastAsia" w:ascii="Arial" w:hAnsi="Arial" w:cs="Arial"/>
          <w:lang w:eastAsia="zh-CN"/>
        </w:rPr>
        <w:t xml:space="preserve"> </w:t>
      </w:r>
      <w:r>
        <w:rPr>
          <w:rFonts w:ascii="Arial" w:hAnsi="Arial" w:cs="Arial"/>
          <w:lang w:eastAsia="zh-CN"/>
        </w:rPr>
        <w:t>to which the proposals are submitted</w:t>
      </w:r>
      <w:r>
        <w:rPr>
          <w:rFonts w:ascii="Arial" w:hAnsi="Arial" w:cs="Arial"/>
        </w:rPr>
        <w:t>. Each funding agency will first establish its respective ranking list of proposals</w:t>
      </w:r>
      <w:r>
        <w:rPr>
          <w:rFonts w:ascii="Arial" w:hAnsi="Arial" w:cs="Arial"/>
          <w:lang w:eastAsia="zh-CN"/>
        </w:rPr>
        <w:t xml:space="preserve"> according to the evaluation result</w:t>
      </w:r>
      <w:r>
        <w:rPr>
          <w:rFonts w:ascii="Arial" w:hAnsi="Arial" w:cs="Arial"/>
        </w:rPr>
        <w:t xml:space="preserve">. Then a common ranking list will be developed based on </w:t>
      </w:r>
      <w:r>
        <w:rPr>
          <w:rFonts w:ascii="Arial" w:hAnsi="Arial" w:cs="Arial"/>
          <w:lang w:eastAsia="zh-CN"/>
        </w:rPr>
        <w:t>a joint panel meeting organized by NSFC with panellists recommended by funding agencies involved</w:t>
      </w:r>
      <w:r>
        <w:rPr>
          <w:rFonts w:ascii="Arial" w:hAnsi="Arial" w:cs="Arial"/>
        </w:rPr>
        <w:t xml:space="preserve">. The final decision on projects to be funded will be made based on the common ranking list and within available budget of respective funding agencies. Each funding agency will have one administrative panel member and </w:t>
      </w:r>
      <w:r>
        <w:rPr>
          <w:rFonts w:hint="eastAsia" w:ascii="Arial" w:hAnsi="Arial" w:cs="Arial"/>
        </w:rPr>
        <w:t xml:space="preserve">a certain number of </w:t>
      </w:r>
      <w:r>
        <w:rPr>
          <w:rFonts w:ascii="Arial" w:hAnsi="Arial" w:cs="Arial"/>
        </w:rPr>
        <w:t xml:space="preserve">panel members experts in the call thematic areas. The number of experts from each country will be determined by the funding agencies depending on the number of proposals </w:t>
      </w:r>
    </w:p>
    <w:p>
      <w:pPr>
        <w:spacing w:after="0"/>
        <w:jc w:val="both"/>
        <w:rPr>
          <w:rFonts w:ascii="Arial" w:hAnsi="Arial" w:cs="Arial"/>
          <w:b/>
          <w:u w:val="single"/>
        </w:rPr>
      </w:pPr>
    </w:p>
    <w:p>
      <w:pPr>
        <w:spacing w:after="0"/>
        <w:jc w:val="both"/>
        <w:rPr>
          <w:rFonts w:ascii="Arial" w:hAnsi="Arial" w:cs="Arial"/>
          <w:b/>
          <w:u w:val="single"/>
        </w:rPr>
      </w:pPr>
      <w:r>
        <w:rPr>
          <w:rFonts w:ascii="Arial" w:hAnsi="Arial" w:cs="Arial"/>
          <w:b/>
          <w:u w:val="single"/>
        </w:rPr>
        <w:t xml:space="preserve">Assessment Criteria </w:t>
      </w:r>
    </w:p>
    <w:p>
      <w:pPr>
        <w:spacing w:after="0"/>
        <w:jc w:val="both"/>
        <w:rPr>
          <w:rFonts w:ascii="Arial" w:hAnsi="Arial" w:cs="Arial"/>
          <w:lang w:eastAsia="zh-CN"/>
        </w:rPr>
      </w:pPr>
      <w:r>
        <w:rPr>
          <w:rFonts w:ascii="Arial" w:hAnsi="Arial" w:cs="Arial"/>
        </w:rPr>
        <w:t>To be funded, proposals must be internationally competitive and at a standard equivalent to that normally expected to be supported by each funding organisation.</w:t>
      </w:r>
    </w:p>
    <w:p>
      <w:pPr>
        <w:spacing w:after="0"/>
        <w:jc w:val="both"/>
        <w:rPr>
          <w:rFonts w:ascii="Arial" w:hAnsi="Arial" w:cs="Arial"/>
        </w:rPr>
      </w:pPr>
    </w:p>
    <w:p>
      <w:pPr>
        <w:spacing w:after="0"/>
        <w:jc w:val="both"/>
        <w:rPr>
          <w:rFonts w:ascii="Arial" w:hAnsi="Arial" w:cs="Arial"/>
          <w:iCs/>
          <w:lang w:val="en-US" w:eastAsia="zh-CN"/>
        </w:rPr>
      </w:pPr>
    </w:p>
    <w:p>
      <w:pPr>
        <w:spacing w:after="0"/>
        <w:jc w:val="both"/>
        <w:rPr>
          <w:rFonts w:ascii="Arial" w:hAnsi="Arial" w:cs="Arial"/>
          <w:iCs/>
          <w:lang w:val="en-US" w:eastAsia="zh-CN"/>
        </w:rPr>
      </w:pPr>
    </w:p>
    <w:p>
      <w:pPr>
        <w:spacing w:after="0"/>
        <w:jc w:val="both"/>
        <w:rPr>
          <w:rFonts w:ascii="Arial" w:hAnsi="Arial" w:cs="Arial"/>
        </w:rPr>
      </w:pPr>
      <w:r>
        <w:rPr>
          <w:rFonts w:ascii="Arial" w:hAnsi="Arial" w:cs="Arial"/>
        </w:rPr>
        <w:t>For further information about the assessment process, please refer to Annexes</w:t>
      </w:r>
      <w:r>
        <w:rPr>
          <w:rFonts w:hint="eastAsia" w:ascii="Arial" w:hAnsi="Arial" w:cs="Arial"/>
          <w:lang w:eastAsia="zh-CN"/>
        </w:rPr>
        <w:t>.</w:t>
      </w:r>
      <w:r>
        <w:rPr>
          <w:rFonts w:ascii="Arial" w:hAnsi="Arial" w:cs="Arial"/>
        </w:rPr>
        <w:t xml:space="preserve"> </w:t>
      </w:r>
    </w:p>
    <w:p>
      <w:pPr>
        <w:spacing w:after="0"/>
        <w:jc w:val="both"/>
        <w:rPr>
          <w:rFonts w:ascii="Arial" w:hAnsi="Arial" w:cs="Arial"/>
        </w:rPr>
      </w:pPr>
    </w:p>
    <w:p>
      <w:pPr>
        <w:spacing w:after="0"/>
        <w:jc w:val="both"/>
        <w:rPr>
          <w:rFonts w:ascii="Arial" w:hAnsi="Arial" w:cs="Arial"/>
          <w:lang w:eastAsia="zh-CN"/>
        </w:rPr>
      </w:pPr>
      <w:r>
        <w:rPr>
          <w:rFonts w:ascii="Arial" w:hAnsi="Arial" w:cs="Arial"/>
        </w:rPr>
        <w:t>In addition to the assessment criteria, applicants should carefully demonstrate within the JP</w:t>
      </w:r>
      <w:r>
        <w:rPr>
          <w:rFonts w:ascii="Arial" w:hAnsi="Arial" w:cs="Arial"/>
          <w:lang w:eastAsia="zh-CN"/>
        </w:rPr>
        <w:t>D</w:t>
      </w:r>
      <w:r>
        <w:rPr>
          <w:rFonts w:ascii="Arial" w:hAnsi="Arial" w:cs="Arial"/>
        </w:rPr>
        <w:t xml:space="preserve"> that their projects:</w:t>
      </w:r>
    </w:p>
    <w:p>
      <w:pPr>
        <w:spacing w:after="0"/>
        <w:jc w:val="both"/>
        <w:rPr>
          <w:rFonts w:ascii="Arial" w:hAnsi="Arial" w:cs="Arial"/>
        </w:rPr>
      </w:pPr>
    </w:p>
    <w:p>
      <w:pPr>
        <w:pStyle w:val="22"/>
        <w:numPr>
          <w:ilvl w:val="0"/>
          <w:numId w:val="2"/>
        </w:numPr>
        <w:spacing w:after="0"/>
        <w:jc w:val="both"/>
        <w:rPr>
          <w:rFonts w:ascii="Arial" w:hAnsi="Arial" w:cs="Arial"/>
        </w:rPr>
      </w:pPr>
      <w:r>
        <w:rPr>
          <w:rFonts w:ascii="Arial" w:hAnsi="Arial" w:cs="Arial"/>
        </w:rPr>
        <w:t>Represent true collaborative partnerships between transnational research teams; the added value of such collaborations should be clearly highlighted within the proposals.</w:t>
      </w:r>
    </w:p>
    <w:p>
      <w:pPr>
        <w:pStyle w:val="22"/>
        <w:numPr>
          <w:ilvl w:val="0"/>
          <w:numId w:val="2"/>
        </w:numPr>
        <w:spacing w:after="0"/>
        <w:jc w:val="both"/>
        <w:rPr>
          <w:rFonts w:ascii="Arial" w:hAnsi="Arial" w:cs="Arial"/>
        </w:rPr>
      </w:pPr>
      <w:r>
        <w:rPr>
          <w:rFonts w:ascii="Arial" w:hAnsi="Arial" w:cs="Arial"/>
        </w:rPr>
        <w:t>Contain an integrated work plan and an equal commitment to the project (in terms of hours dedicated to the project rather than project costs). Projects that appear to be working in parallel with little interaction between countries will not be supported.</w:t>
      </w:r>
    </w:p>
    <w:p>
      <w:pPr>
        <w:spacing w:after="0"/>
        <w:jc w:val="both"/>
        <w:rPr>
          <w:rFonts w:ascii="Arial" w:hAnsi="Arial" w:cs="Arial"/>
        </w:rPr>
      </w:pPr>
    </w:p>
    <w:p>
      <w:pPr>
        <w:spacing w:after="0"/>
        <w:jc w:val="both"/>
        <w:rPr>
          <w:rFonts w:ascii="Arial" w:hAnsi="Arial" w:cs="Arial"/>
        </w:rPr>
      </w:pPr>
      <w:r>
        <w:rPr>
          <w:rFonts w:ascii="Arial" w:hAnsi="Arial" w:cs="Arial"/>
        </w:rPr>
        <w:t>Applicants who receive funding from this call must be prepared to contribute to workshops and/or other networking activities associated with this call.</w:t>
      </w:r>
    </w:p>
    <w:p>
      <w:pPr>
        <w:spacing w:after="0"/>
        <w:jc w:val="both"/>
        <w:rPr>
          <w:rFonts w:ascii="Arial" w:hAnsi="Arial" w:cs="Arial"/>
        </w:rPr>
      </w:pPr>
    </w:p>
    <w:p>
      <w:pPr>
        <w:pStyle w:val="22"/>
        <w:numPr>
          <w:ilvl w:val="0"/>
          <w:numId w:val="1"/>
        </w:numPr>
        <w:spacing w:after="0"/>
        <w:jc w:val="both"/>
        <w:outlineLvl w:val="0"/>
        <w:rPr>
          <w:rFonts w:ascii="Arial" w:hAnsi="Arial" w:cs="Arial"/>
          <w:b/>
          <w:u w:val="single"/>
          <w:lang w:eastAsia="zh-CN"/>
        </w:rPr>
      </w:pPr>
      <w:bookmarkStart w:id="6" w:name="_Toc37927553"/>
      <w:r>
        <w:rPr>
          <w:rFonts w:ascii="Arial" w:hAnsi="Arial" w:cs="Arial"/>
          <w:b/>
          <w:u w:val="single"/>
          <w:lang w:eastAsia="zh-CN"/>
        </w:rPr>
        <w:t>Additional Considerations</w:t>
      </w:r>
      <w:bookmarkEnd w:id="6"/>
    </w:p>
    <w:p>
      <w:pPr>
        <w:spacing w:after="0"/>
        <w:jc w:val="both"/>
        <w:rPr>
          <w:rFonts w:ascii="Arial" w:hAnsi="Arial" w:cs="Arial"/>
          <w:b/>
          <w:i/>
          <w:u w:val="single"/>
        </w:rPr>
      </w:pPr>
      <w:r>
        <w:rPr>
          <w:rFonts w:ascii="Arial" w:hAnsi="Arial" w:cs="Arial"/>
          <w:b/>
          <w:i/>
          <w:u w:val="single"/>
        </w:rPr>
        <w:t>Ethical issues</w:t>
      </w:r>
    </w:p>
    <w:p>
      <w:pPr>
        <w:spacing w:after="0"/>
        <w:jc w:val="both"/>
        <w:rPr>
          <w:rFonts w:ascii="Arial" w:hAnsi="Arial" w:cs="Arial"/>
          <w:lang w:eastAsia="zh-CN"/>
        </w:rPr>
      </w:pPr>
      <w:r>
        <w:rPr>
          <w:rFonts w:ascii="Arial" w:hAnsi="Arial" w:cs="Arial"/>
        </w:rPr>
        <w:t xml:space="preserve">Proposals that involve </w:t>
      </w:r>
      <w:r>
        <w:rPr>
          <w:rFonts w:ascii="Arial" w:hAnsi="Arial" w:cs="Arial"/>
          <w:lang w:eastAsia="zh-CN"/>
        </w:rPr>
        <w:t xml:space="preserve">experiments on </w:t>
      </w:r>
      <w:r>
        <w:rPr>
          <w:rFonts w:ascii="Arial" w:hAnsi="Arial" w:cs="Arial"/>
        </w:rPr>
        <w:t>animals and</w:t>
      </w:r>
      <w:r>
        <w:rPr>
          <w:rFonts w:ascii="Arial" w:hAnsi="Arial" w:cs="Arial"/>
          <w:lang w:eastAsia="zh-CN"/>
        </w:rPr>
        <w:t>/or</w:t>
      </w:r>
      <w:r>
        <w:rPr>
          <w:rFonts w:ascii="Arial" w:hAnsi="Arial" w:cs="Arial"/>
        </w:rPr>
        <w:t xml:space="preserve"> human must be conducted in such a way that is in accordance with the laws and regulations that is applicable in each country.</w:t>
      </w:r>
    </w:p>
    <w:p>
      <w:pPr>
        <w:spacing w:after="0"/>
        <w:jc w:val="both"/>
        <w:rPr>
          <w:rFonts w:ascii="Arial" w:hAnsi="Arial" w:cs="Arial"/>
        </w:rPr>
      </w:pPr>
      <w:r>
        <w:rPr>
          <w:rFonts w:ascii="Arial" w:hAnsi="Arial" w:cs="Arial"/>
        </w:rPr>
        <w:t xml:space="preserve"> All countries where research will be undertaken should be identified.</w:t>
      </w:r>
      <w:r>
        <w:rPr>
          <w:rFonts w:hint="eastAsia" w:ascii="Arial" w:hAnsi="Arial" w:cs="Arial"/>
          <w:lang w:eastAsia="zh-CN"/>
        </w:rPr>
        <w:t xml:space="preserve"> </w:t>
      </w:r>
      <w:r>
        <w:rPr>
          <w:rFonts w:ascii="Arial" w:hAnsi="Arial" w:cs="Arial"/>
        </w:rPr>
        <w:t>The following special issues should be taken into account:</w:t>
      </w:r>
    </w:p>
    <w:p>
      <w:pPr>
        <w:pStyle w:val="22"/>
        <w:numPr>
          <w:ilvl w:val="0"/>
          <w:numId w:val="2"/>
        </w:numPr>
        <w:spacing w:after="0"/>
        <w:jc w:val="both"/>
        <w:rPr>
          <w:rFonts w:ascii="Arial" w:hAnsi="Arial" w:cs="Arial"/>
        </w:rPr>
      </w:pPr>
      <w:r>
        <w:rPr>
          <w:rFonts w:ascii="Arial" w:hAnsi="Arial" w:cs="Arial"/>
        </w:rPr>
        <w:t xml:space="preserve">If </w:t>
      </w:r>
      <w:r>
        <w:rPr>
          <w:rFonts w:hint="eastAsia" w:ascii="Arial" w:hAnsi="Arial" w:cs="Arial"/>
          <w:lang w:eastAsia="zh-CN"/>
        </w:rPr>
        <w:t xml:space="preserve">the project involves </w:t>
      </w:r>
      <w:r>
        <w:rPr>
          <w:rFonts w:ascii="Arial" w:hAnsi="Arial" w:cs="Arial"/>
        </w:rPr>
        <w:t xml:space="preserve">ethical content, </w:t>
      </w:r>
      <w:r>
        <w:rPr>
          <w:rFonts w:hint="eastAsia" w:ascii="Arial" w:hAnsi="Arial" w:cs="Arial"/>
          <w:lang w:eastAsia="zh-CN"/>
        </w:rPr>
        <w:t>the applicant</w:t>
      </w:r>
      <w:r>
        <w:rPr>
          <w:rFonts w:ascii="Arial" w:hAnsi="Arial" w:cs="Arial"/>
        </w:rPr>
        <w:t xml:space="preserve"> must provide the Ethical Approval from Ethics Committees of their own or relevant authorit</w:t>
      </w:r>
      <w:r>
        <w:rPr>
          <w:rFonts w:hint="eastAsia" w:ascii="Arial" w:hAnsi="Arial" w:cs="Arial"/>
          <w:lang w:eastAsia="zh-CN"/>
        </w:rPr>
        <w:t>y</w:t>
      </w:r>
      <w:r>
        <w:rPr>
          <w:rFonts w:ascii="Arial" w:hAnsi="Arial" w:cs="Arial"/>
        </w:rPr>
        <w:t xml:space="preserve"> as the attachment to the proposal.</w:t>
      </w:r>
    </w:p>
    <w:p>
      <w:pPr>
        <w:pStyle w:val="22"/>
        <w:numPr>
          <w:ilvl w:val="0"/>
          <w:numId w:val="2"/>
        </w:numPr>
        <w:spacing w:after="0"/>
        <w:jc w:val="both"/>
        <w:rPr>
          <w:rFonts w:ascii="Arial" w:hAnsi="Arial" w:cs="Arial"/>
        </w:rPr>
      </w:pPr>
      <w:r>
        <w:rPr>
          <w:rFonts w:ascii="Arial" w:hAnsi="Arial" w:cs="Arial"/>
        </w:rPr>
        <w:t xml:space="preserve">If </w:t>
      </w:r>
      <w:r>
        <w:rPr>
          <w:rFonts w:hint="eastAsia" w:ascii="Arial" w:hAnsi="Arial" w:cs="Arial"/>
          <w:lang w:eastAsia="zh-CN"/>
        </w:rPr>
        <w:t xml:space="preserve">the project </w:t>
      </w:r>
      <w:r>
        <w:rPr>
          <w:rFonts w:ascii="Arial" w:hAnsi="Arial" w:cs="Arial"/>
          <w:lang w:eastAsia="zh-CN"/>
        </w:rPr>
        <w:t>involves</w:t>
      </w:r>
      <w:r>
        <w:rPr>
          <w:rFonts w:hint="eastAsia" w:ascii="Arial" w:hAnsi="Arial" w:cs="Arial"/>
          <w:lang w:eastAsia="zh-CN"/>
        </w:rPr>
        <w:t xml:space="preserve"> </w:t>
      </w:r>
      <w:r>
        <w:rPr>
          <w:rFonts w:ascii="Arial" w:hAnsi="Arial" w:cs="Arial"/>
        </w:rPr>
        <w:t xml:space="preserve">Informed Consent Form, </w:t>
      </w:r>
      <w:r>
        <w:rPr>
          <w:rFonts w:hint="eastAsia" w:ascii="Arial" w:hAnsi="Arial" w:cs="Arial"/>
          <w:lang w:eastAsia="zh-CN"/>
        </w:rPr>
        <w:t xml:space="preserve">the relevant regulations must be followed.  </w:t>
      </w:r>
    </w:p>
    <w:p>
      <w:pPr>
        <w:spacing w:after="0"/>
        <w:jc w:val="both"/>
        <w:rPr>
          <w:rFonts w:ascii="Arial" w:hAnsi="Arial" w:cs="Arial"/>
          <w:b/>
          <w:i/>
          <w:lang w:eastAsia="zh-CN"/>
        </w:rPr>
      </w:pPr>
    </w:p>
    <w:p>
      <w:pPr>
        <w:spacing w:after="0"/>
        <w:jc w:val="both"/>
        <w:rPr>
          <w:rFonts w:ascii="Arial" w:hAnsi="Arial" w:cs="Arial"/>
          <w:b/>
          <w:i/>
          <w:u w:val="single"/>
          <w:lang w:eastAsia="zh-CN"/>
        </w:rPr>
      </w:pPr>
      <w:r>
        <w:rPr>
          <w:rFonts w:ascii="Arial" w:hAnsi="Arial" w:cs="Arial"/>
          <w:b/>
          <w:i/>
          <w:u w:val="single"/>
        </w:rPr>
        <w:t xml:space="preserve">Data management </w:t>
      </w:r>
      <w:r>
        <w:rPr>
          <w:rFonts w:ascii="Arial" w:hAnsi="Arial" w:cs="Arial"/>
          <w:b/>
          <w:i/>
          <w:u w:val="single"/>
          <w:lang w:eastAsia="zh-CN"/>
        </w:rPr>
        <w:t xml:space="preserve">and transfer of materials </w:t>
      </w:r>
    </w:p>
    <w:p>
      <w:pPr>
        <w:spacing w:after="0"/>
        <w:jc w:val="both"/>
        <w:rPr>
          <w:rFonts w:ascii="Arial" w:hAnsi="Arial" w:cs="Arial"/>
        </w:rPr>
      </w:pPr>
      <w:r>
        <w:rPr>
          <w:rFonts w:ascii="Arial" w:hAnsi="Arial" w:cs="Arial"/>
        </w:rPr>
        <w:t>Collection and exchange of data and materials</w:t>
      </w:r>
      <w:r>
        <w:rPr>
          <w:rFonts w:hint="eastAsia" w:ascii="Arial" w:hAnsi="Arial" w:cs="Arial"/>
          <w:lang w:eastAsia="zh-CN"/>
        </w:rPr>
        <w:t xml:space="preserve"> </w:t>
      </w:r>
      <w:r>
        <w:rPr>
          <w:rFonts w:ascii="Arial" w:hAnsi="Arial" w:cs="Arial"/>
        </w:rPr>
        <w:t>must be in strict compliance with the funding agencies terms</w:t>
      </w:r>
      <w:r>
        <w:rPr>
          <w:rFonts w:hint="eastAsia" w:ascii="Arial" w:hAnsi="Arial" w:cs="Arial"/>
          <w:lang w:eastAsia="zh-CN"/>
        </w:rPr>
        <w:t xml:space="preserve"> </w:t>
      </w:r>
      <w:r>
        <w:rPr>
          <w:rFonts w:ascii="Arial" w:hAnsi="Arial" w:cs="Arial"/>
        </w:rPr>
        <w:t>and the legislation in effect in the respective countries.</w:t>
      </w:r>
    </w:p>
    <w:p>
      <w:pPr>
        <w:spacing w:after="0"/>
        <w:jc w:val="both"/>
        <w:rPr>
          <w:rFonts w:ascii="Arial" w:hAnsi="Arial" w:cs="Arial"/>
          <w:b/>
        </w:rPr>
      </w:pPr>
    </w:p>
    <w:p>
      <w:pPr>
        <w:spacing w:after="0"/>
        <w:jc w:val="both"/>
        <w:rPr>
          <w:rFonts w:ascii="Arial" w:hAnsi="Arial" w:cs="Arial"/>
          <w:b/>
        </w:rPr>
      </w:pPr>
    </w:p>
    <w:p>
      <w:pPr>
        <w:pStyle w:val="22"/>
        <w:numPr>
          <w:ilvl w:val="0"/>
          <w:numId w:val="1"/>
        </w:numPr>
        <w:spacing w:after="0"/>
        <w:jc w:val="both"/>
        <w:outlineLvl w:val="0"/>
        <w:rPr>
          <w:rFonts w:ascii="Arial" w:hAnsi="Arial" w:cs="Arial"/>
          <w:b/>
          <w:u w:val="single"/>
          <w:lang w:eastAsia="zh-CN"/>
        </w:rPr>
      </w:pPr>
      <w:bookmarkStart w:id="7" w:name="_Toc37927554"/>
      <w:r>
        <w:rPr>
          <w:rFonts w:ascii="Arial" w:hAnsi="Arial" w:cs="Arial"/>
          <w:b/>
          <w:u w:val="single"/>
          <w:lang w:eastAsia="zh-CN"/>
        </w:rPr>
        <w:t>Reporting</w:t>
      </w:r>
      <w:bookmarkEnd w:id="7"/>
    </w:p>
    <w:p>
      <w:pPr>
        <w:spacing w:after="0"/>
        <w:jc w:val="both"/>
        <w:rPr>
          <w:rFonts w:ascii="Arial" w:hAnsi="Arial" w:cs="Arial"/>
          <w:lang w:eastAsia="zh-CN"/>
        </w:rPr>
      </w:pPr>
      <w:r>
        <w:rPr>
          <w:rFonts w:ascii="Arial" w:hAnsi="Arial" w:cs="Arial"/>
        </w:rPr>
        <w:t>The projects will be monitored through progress reports and the final report by respective funding agencies for its content and progress.</w:t>
      </w:r>
    </w:p>
    <w:p>
      <w:pPr>
        <w:spacing w:after="0"/>
        <w:jc w:val="both"/>
        <w:rPr>
          <w:rFonts w:ascii="Arial" w:hAnsi="Arial" w:cs="Arial"/>
          <w:lang w:eastAsia="zh-CN"/>
        </w:rPr>
      </w:pPr>
    </w:p>
    <w:p>
      <w:pPr>
        <w:spacing w:after="0"/>
        <w:jc w:val="both"/>
        <w:rPr>
          <w:rFonts w:ascii="Arial" w:hAnsi="Arial" w:cs="Arial"/>
        </w:rPr>
      </w:pPr>
      <w:r>
        <w:rPr>
          <w:rFonts w:ascii="Arial" w:hAnsi="Arial" w:cs="Arial"/>
        </w:rPr>
        <w:t xml:space="preserve">Interim and final general seminars for the call will be organized in the beginning of 2022 and 2023 where all supported projects will be required to report their results to representatives of all funding agencies and possible interaction between different project teams will be discussed. The seminar will be organized either remotely or onsite depending on the situation. </w:t>
      </w:r>
    </w:p>
    <w:p>
      <w:pPr>
        <w:pStyle w:val="22"/>
        <w:spacing w:after="0"/>
        <w:jc w:val="both"/>
        <w:outlineLvl w:val="0"/>
        <w:rPr>
          <w:rFonts w:ascii="Arial" w:hAnsi="Arial" w:cs="Arial"/>
          <w:b/>
          <w:u w:val="single"/>
          <w:lang w:eastAsia="zh-CN"/>
        </w:rPr>
      </w:pPr>
    </w:p>
    <w:p>
      <w:pPr>
        <w:pStyle w:val="22"/>
        <w:spacing w:after="0"/>
        <w:jc w:val="both"/>
        <w:outlineLvl w:val="0"/>
        <w:rPr>
          <w:rFonts w:ascii="Arial" w:hAnsi="Arial" w:cs="Arial"/>
          <w:b/>
          <w:u w:val="single"/>
          <w:lang w:eastAsia="zh-CN"/>
        </w:rPr>
      </w:pPr>
    </w:p>
    <w:p>
      <w:pPr>
        <w:pStyle w:val="22"/>
        <w:numPr>
          <w:ilvl w:val="0"/>
          <w:numId w:val="1"/>
        </w:numPr>
        <w:spacing w:after="0"/>
        <w:jc w:val="both"/>
        <w:outlineLvl w:val="0"/>
        <w:rPr>
          <w:rFonts w:ascii="Arial" w:hAnsi="Arial" w:cs="Arial"/>
          <w:b/>
          <w:u w:val="single"/>
          <w:lang w:eastAsia="zh-CN"/>
        </w:rPr>
      </w:pPr>
      <w:bookmarkStart w:id="8" w:name="_Toc37927555"/>
      <w:r>
        <w:rPr>
          <w:rFonts w:ascii="Arial" w:hAnsi="Arial" w:cs="Arial"/>
          <w:b/>
          <w:u w:val="single"/>
          <w:lang w:eastAsia="zh-CN"/>
        </w:rPr>
        <w:t>Timetable</w:t>
      </w:r>
      <w:bookmarkEnd w:id="8"/>
    </w:p>
    <w:p>
      <w:pPr>
        <w:spacing w:after="0"/>
        <w:jc w:val="both"/>
        <w:rPr>
          <w:rFonts w:ascii="Arial" w:hAnsi="Arial" w:cs="Arial"/>
          <w:b/>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18" w:type="dxa"/>
          </w:tcPr>
          <w:p>
            <w:pPr>
              <w:spacing w:after="200" w:line="276" w:lineRule="auto"/>
              <w:rPr>
                <w:rFonts w:ascii="Arial" w:hAnsi="Arial" w:cs="Arial"/>
              </w:rPr>
            </w:pPr>
            <w:r>
              <w:rPr>
                <w:rFonts w:ascii="Arial" w:hAnsi="Arial" w:cs="Arial"/>
              </w:rPr>
              <w:t>Call Opens</w:t>
            </w:r>
          </w:p>
        </w:tc>
        <w:tc>
          <w:tcPr>
            <w:tcW w:w="3236" w:type="dxa"/>
          </w:tcPr>
          <w:p>
            <w:pPr>
              <w:spacing w:after="200" w:line="276" w:lineRule="auto"/>
              <w:ind w:firstLine="110" w:firstLineChars="50"/>
              <w:rPr>
                <w:rFonts w:ascii="Arial" w:hAnsi="Arial" w:cs="Arial"/>
                <w:lang w:eastAsia="zh-CN"/>
              </w:rPr>
            </w:pPr>
            <w:r>
              <w:rPr>
                <w:rFonts w:hint="eastAsia" w:ascii="Arial" w:hAnsi="Arial" w:cs="Arial"/>
                <w:lang w:eastAsia="zh-CN"/>
              </w:rPr>
              <w:t>July 30,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418" w:type="dxa"/>
          </w:tcPr>
          <w:p>
            <w:pPr>
              <w:spacing w:after="200" w:line="276" w:lineRule="auto"/>
              <w:jc w:val="both"/>
              <w:rPr>
                <w:rFonts w:ascii="Arial" w:hAnsi="Arial" w:cs="Arial"/>
              </w:rPr>
            </w:pPr>
            <w:r>
              <w:rPr>
                <w:rFonts w:ascii="Arial" w:hAnsi="Arial" w:cs="Arial"/>
              </w:rPr>
              <w:t>Call Closes</w:t>
            </w:r>
          </w:p>
        </w:tc>
        <w:tc>
          <w:tcPr>
            <w:tcW w:w="3236" w:type="dxa"/>
          </w:tcPr>
          <w:p>
            <w:pPr>
              <w:spacing w:after="200" w:line="276" w:lineRule="auto"/>
              <w:ind w:firstLine="110" w:firstLineChars="50"/>
              <w:rPr>
                <w:rFonts w:ascii="Arial" w:hAnsi="Arial" w:cs="Arial"/>
                <w:lang w:eastAsia="zh-CN"/>
              </w:rPr>
            </w:pPr>
            <w:r>
              <w:rPr>
                <w:rFonts w:hint="eastAsia" w:ascii="Arial" w:hAnsi="Arial" w:cs="Arial"/>
                <w:lang w:eastAsia="zh-CN"/>
              </w:rPr>
              <w:t>September 15,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18" w:type="dxa"/>
          </w:tcPr>
          <w:p>
            <w:pPr>
              <w:spacing w:after="200" w:line="276" w:lineRule="auto"/>
              <w:jc w:val="both"/>
              <w:rPr>
                <w:rFonts w:ascii="Arial" w:hAnsi="Arial" w:cs="Arial"/>
              </w:rPr>
            </w:pPr>
            <w:r>
              <w:rPr>
                <w:rFonts w:ascii="Arial" w:hAnsi="Arial" w:cs="Arial"/>
              </w:rPr>
              <w:t>Grants start</w:t>
            </w:r>
          </w:p>
        </w:tc>
        <w:tc>
          <w:tcPr>
            <w:tcW w:w="3236" w:type="dxa"/>
          </w:tcPr>
          <w:p>
            <w:pPr>
              <w:spacing w:after="200" w:line="276" w:lineRule="auto"/>
              <w:ind w:firstLine="110" w:firstLineChars="50"/>
              <w:rPr>
                <w:rFonts w:ascii="Arial" w:hAnsi="Arial" w:cs="Arial"/>
              </w:rPr>
            </w:pPr>
            <w:r>
              <w:rPr>
                <w:rFonts w:ascii="Arial" w:hAnsi="Arial" w:cs="Arial"/>
              </w:rPr>
              <w:t>January</w:t>
            </w:r>
            <w:r>
              <w:rPr>
                <w:rFonts w:hint="eastAsia" w:ascii="Arial" w:hAnsi="Arial" w:cs="Arial"/>
                <w:lang w:eastAsia="zh-CN"/>
              </w:rPr>
              <w:t xml:space="preserve"> 1</w:t>
            </w:r>
            <w:r>
              <w:rPr>
                <w:rFonts w:ascii="Arial" w:hAnsi="Arial" w:cs="Arial"/>
              </w:rPr>
              <w:t xml:space="preserve">, 2021  </w:t>
            </w:r>
          </w:p>
        </w:tc>
      </w:tr>
    </w:tbl>
    <w:p>
      <w:pPr>
        <w:spacing w:after="0"/>
        <w:jc w:val="center"/>
        <w:rPr>
          <w:rFonts w:ascii="Arial" w:hAnsi="Arial" w:cs="Arial"/>
        </w:rPr>
      </w:pPr>
    </w:p>
    <w:p>
      <w:pPr>
        <w:pStyle w:val="22"/>
        <w:numPr>
          <w:ilvl w:val="0"/>
          <w:numId w:val="1"/>
        </w:numPr>
        <w:spacing w:after="0"/>
        <w:jc w:val="both"/>
        <w:outlineLvl w:val="0"/>
        <w:rPr>
          <w:rFonts w:ascii="Arial" w:hAnsi="Arial" w:cs="Arial"/>
          <w:b/>
          <w:u w:val="single"/>
          <w:lang w:eastAsia="zh-CN"/>
        </w:rPr>
      </w:pPr>
      <w:bookmarkStart w:id="9" w:name="_Toc37927556"/>
      <w:r>
        <w:rPr>
          <w:rFonts w:ascii="Arial" w:hAnsi="Arial" w:cs="Arial"/>
          <w:b/>
          <w:u w:val="single"/>
          <w:lang w:eastAsia="zh-CN"/>
        </w:rPr>
        <w:t>Contacts</w:t>
      </w:r>
      <w:bookmarkEnd w:id="9"/>
    </w:p>
    <w:p>
      <w:pPr>
        <w:spacing w:after="0"/>
        <w:jc w:val="both"/>
        <w:rPr>
          <w:rFonts w:ascii="Arial" w:hAnsi="Arial" w:cs="Arial"/>
          <w:b/>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200" w:line="276" w:lineRule="auto"/>
              <w:rPr>
                <w:rFonts w:ascii="Arial" w:hAnsi="Arial" w:cs="Arial"/>
                <w:b/>
                <w:lang w:eastAsia="zh-CN"/>
              </w:rPr>
            </w:pPr>
            <w:r>
              <w:rPr>
                <w:rFonts w:ascii="Arial" w:hAnsi="Arial" w:cs="Arial"/>
                <w:b/>
                <w:lang w:eastAsia="zh-CN"/>
              </w:rPr>
              <w:t>Funding Agency</w:t>
            </w:r>
          </w:p>
        </w:tc>
        <w:tc>
          <w:tcPr>
            <w:tcW w:w="6299" w:type="dxa"/>
          </w:tcPr>
          <w:p>
            <w:pPr>
              <w:spacing w:after="200" w:line="276" w:lineRule="auto"/>
              <w:jc w:val="both"/>
              <w:rPr>
                <w:rFonts w:ascii="Arial" w:hAnsi="Arial" w:cs="Arial"/>
                <w:b/>
              </w:rPr>
            </w:pPr>
            <w:r>
              <w:rPr>
                <w:rFonts w:ascii="Arial" w:hAnsi="Arial" w:cs="Arial"/>
                <w:b/>
              </w:rPr>
              <w:t>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200" w:line="276" w:lineRule="auto"/>
              <w:rPr>
                <w:rFonts w:ascii="Arial" w:hAnsi="Arial" w:cs="Arial"/>
                <w:lang w:eastAsia="zh-CN"/>
              </w:rPr>
            </w:pPr>
            <w:r>
              <w:rPr>
                <w:rFonts w:ascii="Arial" w:hAnsi="Arial" w:cs="Arial"/>
                <w:lang w:eastAsia="zh-CN"/>
              </w:rPr>
              <w:t xml:space="preserve">NSFC </w:t>
            </w:r>
          </w:p>
        </w:tc>
        <w:tc>
          <w:tcPr>
            <w:tcW w:w="6299" w:type="dxa"/>
          </w:tcPr>
          <w:p>
            <w:pPr>
              <w:spacing w:after="200" w:line="276" w:lineRule="auto"/>
              <w:jc w:val="both"/>
              <w:rPr>
                <w:rFonts w:ascii="Arial" w:hAnsi="Arial" w:cs="Arial"/>
                <w:lang w:eastAsia="zh-CN"/>
              </w:rPr>
            </w:pPr>
            <w:r>
              <w:rPr>
                <w:rFonts w:ascii="Arial" w:hAnsi="Arial" w:cs="Arial"/>
                <w:lang w:eastAsia="zh-CN"/>
              </w:rPr>
              <w:t xml:space="preserve">Mr. </w:t>
            </w:r>
            <w:r>
              <w:rPr>
                <w:rFonts w:hint="eastAsia" w:ascii="Arial" w:hAnsi="Arial" w:cs="Arial"/>
                <w:lang w:eastAsia="zh-CN"/>
              </w:rPr>
              <w:t>ZHONG Qi</w:t>
            </w:r>
          </w:p>
          <w:p>
            <w:pPr>
              <w:spacing w:after="200" w:line="276" w:lineRule="auto"/>
              <w:jc w:val="both"/>
              <w:rPr>
                <w:rFonts w:ascii="Arial" w:hAnsi="Arial" w:cs="Arial"/>
                <w:lang w:eastAsia="zh-CN"/>
              </w:rPr>
            </w:pPr>
            <w:r>
              <w:rPr>
                <w:rFonts w:ascii="Arial" w:hAnsi="Arial" w:cs="Arial"/>
                <w:lang w:eastAsia="zh-CN"/>
              </w:rPr>
              <w:t xml:space="preserve">Email: </w:t>
            </w:r>
            <w:r>
              <w:fldChar w:fldCharType="begin"/>
            </w:r>
            <w:r>
              <w:instrText xml:space="preserve"> HYPERLINK "mailto:xujin@nsfc.gov.cn" </w:instrText>
            </w:r>
            <w:r>
              <w:fldChar w:fldCharType="separate"/>
            </w:r>
            <w:r>
              <w:rPr>
                <w:rFonts w:hint="eastAsia" w:ascii="Arial" w:hAnsi="Arial" w:cs="Arial"/>
                <w:lang w:eastAsia="zh-CN"/>
              </w:rPr>
              <w:t>zhongqi</w:t>
            </w:r>
            <w:r>
              <w:rPr>
                <w:rFonts w:ascii="Arial" w:hAnsi="Arial" w:cs="Arial"/>
                <w:lang w:eastAsia="zh-CN"/>
              </w:rPr>
              <w:t>@nsfc.gov.cn</w:t>
            </w:r>
            <w:r>
              <w:rPr>
                <w:rFonts w:ascii="Arial" w:hAnsi="Arial" w:cs="Arial"/>
                <w:lang w:eastAsia="zh-CN"/>
              </w:rPr>
              <w:fldChar w:fldCharType="end"/>
            </w:r>
          </w:p>
          <w:p>
            <w:pPr>
              <w:spacing w:after="200" w:line="276" w:lineRule="auto"/>
              <w:jc w:val="both"/>
              <w:rPr>
                <w:rFonts w:ascii="Arial" w:hAnsi="Arial" w:cs="Arial"/>
                <w:lang w:eastAsia="zh-CN"/>
              </w:rPr>
            </w:pPr>
            <w:r>
              <w:rPr>
                <w:rFonts w:ascii="Arial" w:hAnsi="Arial" w:cs="Arial"/>
                <w:lang w:eastAsia="zh-CN"/>
              </w:rPr>
              <w:t xml:space="preserve">Telephone: +86 10 6232 </w:t>
            </w:r>
            <w:r>
              <w:rPr>
                <w:rFonts w:hint="eastAsia" w:ascii="Arial" w:hAnsi="Arial" w:cs="Arial"/>
                <w:lang w:eastAsia="zh-CN"/>
              </w:rPr>
              <w:t>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200" w:line="276" w:lineRule="auto"/>
              <w:rPr>
                <w:rFonts w:ascii="Arial" w:hAnsi="Arial" w:cs="Arial"/>
                <w:lang w:eastAsia="zh-CN"/>
              </w:rPr>
            </w:pPr>
            <w:r>
              <w:rPr>
                <w:rFonts w:hint="eastAsia" w:ascii="Arial" w:hAnsi="Arial" w:cs="Arial"/>
                <w:lang w:eastAsia="zh-CN"/>
              </w:rPr>
              <w:t>BRFFR</w:t>
            </w:r>
          </w:p>
        </w:tc>
        <w:tc>
          <w:tcPr>
            <w:tcW w:w="6299" w:type="dxa"/>
          </w:tcPr>
          <w:p>
            <w:pPr>
              <w:spacing w:after="200" w:line="276" w:lineRule="auto"/>
              <w:jc w:val="both"/>
              <w:rPr>
                <w:rFonts w:ascii="Arial" w:hAnsi="Arial" w:cs="Arial"/>
                <w:lang w:eastAsia="zh-CN"/>
              </w:rPr>
            </w:pPr>
            <w:r>
              <w:rPr>
                <w:rFonts w:ascii="Arial" w:hAnsi="Arial" w:cs="Arial"/>
                <w:lang w:eastAsia="zh-CN"/>
              </w:rPr>
              <w:t>Katerina Grigorieva (Ms)</w:t>
            </w:r>
          </w:p>
          <w:p>
            <w:pPr>
              <w:spacing w:after="200" w:line="276" w:lineRule="auto"/>
              <w:jc w:val="both"/>
              <w:rPr>
                <w:rFonts w:ascii="Arial" w:hAnsi="Arial" w:cs="Arial"/>
                <w:lang w:eastAsia="zh-CN"/>
              </w:rPr>
            </w:pPr>
            <w:r>
              <w:rPr>
                <w:rFonts w:ascii="Arial" w:hAnsi="Arial" w:cs="Arial"/>
                <w:lang w:eastAsia="zh-CN"/>
              </w:rPr>
              <w:t>Email: </w:t>
            </w:r>
            <w:r>
              <w:fldChar w:fldCharType="begin"/>
            </w:r>
            <w:r>
              <w:instrText xml:space="preserve"> HYPERLINK "mailto:fond@it.org.by" </w:instrText>
            </w:r>
            <w:r>
              <w:fldChar w:fldCharType="separate"/>
            </w:r>
            <w:r>
              <w:rPr>
                <w:rFonts w:ascii="Arial" w:hAnsi="Arial" w:cs="Arial"/>
                <w:lang w:eastAsia="zh-CN"/>
              </w:rPr>
              <w:t>fond@it.org.by</w:t>
            </w:r>
            <w:r>
              <w:rPr>
                <w:rFonts w:ascii="Arial" w:hAnsi="Arial" w:cs="Arial"/>
                <w:lang w:eastAsia="zh-CN"/>
              </w:rPr>
              <w:fldChar w:fldCharType="end"/>
            </w:r>
          </w:p>
          <w:p>
            <w:pPr>
              <w:spacing w:after="200" w:line="276" w:lineRule="auto"/>
              <w:jc w:val="both"/>
              <w:rPr>
                <w:rFonts w:ascii="Arial" w:hAnsi="Arial" w:cs="Arial"/>
                <w:lang w:eastAsia="zh-CN"/>
              </w:rPr>
            </w:pPr>
            <w:r>
              <w:rPr>
                <w:rFonts w:ascii="Arial" w:hAnsi="Arial" w:cs="Arial"/>
                <w:lang w:eastAsia="zh-CN"/>
              </w:rPr>
              <w:t>Telephone</w:t>
            </w:r>
            <w:r>
              <w:rPr>
                <w:rFonts w:hint="eastAsia" w:ascii="Arial" w:hAnsi="Arial" w:cs="Arial"/>
                <w:lang w:eastAsia="zh-CN"/>
              </w:rPr>
              <w:t>:</w:t>
            </w:r>
            <w:r>
              <w:rPr>
                <w:rFonts w:ascii="Arial" w:hAnsi="Arial" w:cs="Arial"/>
                <w:lang w:eastAsia="zh-CN"/>
              </w:rPr>
              <w:t>  +375 17 284 09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0" w:line="240" w:lineRule="auto"/>
              <w:rPr>
                <w:rFonts w:ascii="Arial" w:hAnsi="Arial" w:cs="Arial"/>
                <w:lang w:eastAsia="zh-CN"/>
              </w:rPr>
            </w:pPr>
            <w:r>
              <w:rPr>
                <w:rFonts w:hint="eastAsia" w:ascii="Arial" w:hAnsi="Arial" w:cs="Arial"/>
                <w:lang w:eastAsia="zh-CN"/>
              </w:rPr>
              <w:t>BNSF</w:t>
            </w:r>
          </w:p>
        </w:tc>
        <w:tc>
          <w:tcPr>
            <w:tcW w:w="6299" w:type="dxa"/>
          </w:tcPr>
          <w:p>
            <w:pPr>
              <w:spacing w:after="200" w:line="276" w:lineRule="auto"/>
              <w:jc w:val="both"/>
              <w:rPr>
                <w:rFonts w:ascii="Arial" w:hAnsi="Arial" w:cs="Arial"/>
                <w:lang w:eastAsia="zh-CN"/>
              </w:rPr>
            </w:pPr>
            <w:r>
              <w:rPr>
                <w:rFonts w:ascii="Arial" w:hAnsi="Arial" w:cs="Arial"/>
                <w:lang w:eastAsia="zh-CN"/>
              </w:rPr>
              <w:t>Mrs. Lyubomira Hristova</w:t>
            </w:r>
          </w:p>
          <w:p>
            <w:pPr>
              <w:spacing w:after="200" w:line="276" w:lineRule="auto"/>
              <w:jc w:val="both"/>
              <w:rPr>
                <w:rFonts w:ascii="Arial" w:hAnsi="Arial" w:cs="Arial"/>
                <w:lang w:eastAsia="zh-CN"/>
              </w:rPr>
            </w:pPr>
            <w:r>
              <w:rPr>
                <w:rFonts w:ascii="Arial" w:hAnsi="Arial" w:cs="Arial"/>
                <w:lang w:eastAsia="zh-CN"/>
              </w:rPr>
              <w:t>Email: l.gyneva@mon.bg</w:t>
            </w:r>
          </w:p>
          <w:p>
            <w:pPr>
              <w:spacing w:after="200" w:line="276" w:lineRule="auto"/>
              <w:jc w:val="both"/>
              <w:rPr>
                <w:rFonts w:ascii="Arial" w:hAnsi="Arial" w:cs="Arial"/>
                <w:lang w:eastAsia="zh-CN"/>
              </w:rPr>
            </w:pPr>
            <w:r>
              <w:rPr>
                <w:rFonts w:ascii="Arial" w:hAnsi="Arial" w:cs="Arial"/>
                <w:lang w:eastAsia="zh-CN"/>
              </w:rPr>
              <w:t xml:space="preserve">Telephone: +359 884 222 393 </w:t>
            </w:r>
          </w:p>
        </w:tc>
      </w:tr>
    </w:tbl>
    <w:p>
      <w:pPr>
        <w:rPr>
          <w:rFonts w:ascii="Arial" w:hAnsi="Arial" w:cs="Arial"/>
          <w:b/>
          <w:lang w:eastAsia="zh-CN"/>
        </w:rPr>
      </w:pPr>
    </w:p>
    <w:p>
      <w:pPr>
        <w:rPr>
          <w:rFonts w:ascii="Arial" w:hAnsi="Arial" w:cs="Arial"/>
          <w:b/>
          <w:lang w:eastAsia="zh-CN"/>
        </w:rPr>
      </w:pPr>
      <w:r>
        <w:rPr>
          <w:rFonts w:ascii="Arial" w:hAnsi="Arial" w:cs="Arial"/>
          <w:b/>
          <w:lang w:eastAsia="zh-CN"/>
        </w:rPr>
        <w:br w:type="page"/>
      </w:r>
    </w:p>
    <w:p>
      <w:pPr>
        <w:spacing w:line="240" w:lineRule="auto"/>
        <w:rPr>
          <w:rFonts w:hint="eastAsia" w:ascii="Arial" w:hAnsi="Arial" w:cs="Arial"/>
          <w:b/>
          <w:lang w:eastAsia="zh-CN"/>
        </w:rPr>
      </w:pPr>
      <w:r>
        <w:rPr>
          <w:rFonts w:ascii="Arial" w:hAnsi="Arial" w:cs="Arial"/>
          <w:b/>
        </w:rPr>
        <w:t>Annex</w:t>
      </w:r>
      <w:r>
        <w:rPr>
          <w:rFonts w:hint="eastAsia" w:ascii="Arial" w:hAnsi="Arial" w:cs="Arial"/>
          <w:b/>
          <w:lang w:eastAsia="zh-CN"/>
        </w:rPr>
        <w:t xml:space="preserve">                    </w:t>
      </w:r>
    </w:p>
    <w:p>
      <w:pPr>
        <w:spacing w:line="240" w:lineRule="auto"/>
        <w:jc w:val="center"/>
        <w:rPr>
          <w:rFonts w:ascii="Arial" w:hAnsi="Arial" w:cs="Arial"/>
          <w:b/>
        </w:rPr>
      </w:pPr>
      <w:r>
        <w:rPr>
          <w:rFonts w:ascii="Arial" w:hAnsi="Arial" w:cs="Arial"/>
          <w:b/>
        </w:rPr>
        <w:t>Additional guidance for Chinese applicants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Funding Agency</w:t>
            </w:r>
          </w:p>
        </w:tc>
        <w:tc>
          <w:tcPr>
            <w:tcW w:w="6866" w:type="dxa"/>
          </w:tcPr>
          <w:p>
            <w:pPr>
              <w:spacing w:after="0" w:line="240" w:lineRule="auto"/>
              <w:jc w:val="both"/>
              <w:rPr>
                <w:rFonts w:ascii="Arial" w:hAnsi="Arial" w:cs="Arial"/>
                <w:sz w:val="21"/>
                <w:szCs w:val="21"/>
              </w:rPr>
            </w:pPr>
            <w:r>
              <w:rPr>
                <w:rFonts w:ascii="Arial" w:hAnsi="Arial" w:cs="Arial"/>
                <w:sz w:val="21"/>
                <w:szCs w:val="21"/>
              </w:rPr>
              <w:t>National Natural Science Foundation of China (NSFC)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Eligibility</w:t>
            </w:r>
          </w:p>
        </w:tc>
        <w:tc>
          <w:tcPr>
            <w:tcW w:w="6866" w:type="dxa"/>
          </w:tcPr>
          <w:p>
            <w:pPr>
              <w:spacing w:after="0" w:line="240" w:lineRule="auto"/>
              <w:jc w:val="both"/>
              <w:rPr>
                <w:rFonts w:ascii="Arial" w:hAnsi="Arial" w:cs="Arial"/>
                <w:sz w:val="21"/>
                <w:szCs w:val="21"/>
              </w:rPr>
            </w:pPr>
            <w:r>
              <w:rPr>
                <w:rFonts w:ascii="Arial" w:hAnsi="Arial" w:cs="Arial"/>
                <w:sz w:val="21"/>
                <w:szCs w:val="21"/>
              </w:rPr>
              <w:t>Standard NSFC eligibility conditions apply to this call.</w:t>
            </w:r>
          </w:p>
          <w:p>
            <w:pPr>
              <w:numPr>
                <w:ilvl w:val="0"/>
                <w:numId w:val="3"/>
              </w:numPr>
              <w:spacing w:after="0" w:line="240" w:lineRule="auto"/>
              <w:contextualSpacing/>
              <w:rPr>
                <w:rFonts w:ascii="Arial" w:hAnsi="Arial" w:cs="Arial" w:eastAsiaTheme="majorEastAsia"/>
                <w:bCs/>
                <w:sz w:val="21"/>
                <w:szCs w:val="21"/>
              </w:rPr>
            </w:pPr>
            <w:r>
              <w:rPr>
                <w:rFonts w:ascii="Arial" w:hAnsi="Arial" w:cs="Arial" w:eastAsiaTheme="majorEastAsia"/>
                <w:bCs/>
                <w:sz w:val="21"/>
                <w:szCs w:val="21"/>
              </w:rPr>
              <w:t>Have a senior academic rank (title)</w:t>
            </w:r>
          </w:p>
          <w:p>
            <w:pPr>
              <w:numPr>
                <w:ilvl w:val="0"/>
                <w:numId w:val="3"/>
              </w:numPr>
              <w:spacing w:after="0" w:line="240" w:lineRule="auto"/>
              <w:contextualSpacing/>
              <w:rPr>
                <w:rFonts w:ascii="Arial" w:hAnsi="Arial" w:cs="Arial" w:eastAsiaTheme="majorEastAsia"/>
                <w:bCs/>
                <w:sz w:val="21"/>
                <w:szCs w:val="21"/>
              </w:rPr>
            </w:pPr>
            <w:r>
              <w:rPr>
                <w:rFonts w:ascii="Arial" w:hAnsi="Arial" w:cs="Arial" w:eastAsiaTheme="majorEastAsia"/>
                <w:bCs/>
                <w:sz w:val="21"/>
                <w:szCs w:val="21"/>
              </w:rPr>
              <w:t>Have/had been the Principle Investigator of on-going or completed NSFC research project with the duration of no less than 3 years</w:t>
            </w:r>
          </w:p>
          <w:p>
            <w:pPr>
              <w:numPr>
                <w:ilvl w:val="0"/>
                <w:numId w:val="3"/>
              </w:numPr>
              <w:spacing w:after="0" w:line="240" w:lineRule="auto"/>
              <w:contextualSpacing/>
              <w:rPr>
                <w:rFonts w:ascii="Arial" w:hAnsi="Arial" w:cs="Arial" w:eastAsiaTheme="majorEastAsia"/>
                <w:bCs/>
                <w:sz w:val="21"/>
                <w:szCs w:val="21"/>
              </w:rPr>
            </w:pPr>
            <w:r>
              <w:rPr>
                <w:rFonts w:ascii="Arial" w:hAnsi="Arial" w:cs="Arial" w:eastAsiaTheme="majorEastAsia"/>
                <w:bCs/>
                <w:sz w:val="21"/>
                <w:szCs w:val="21"/>
              </w:rPr>
              <w:t xml:space="preserve">One application per year: Applicants (as the Principle Investigator) shall only apply for one International (Regional) Joint Research Program in a year. </w:t>
            </w:r>
          </w:p>
          <w:p>
            <w:pPr>
              <w:numPr>
                <w:ilvl w:val="0"/>
                <w:numId w:val="3"/>
              </w:numPr>
              <w:autoSpaceDE w:val="0"/>
              <w:autoSpaceDN w:val="0"/>
              <w:adjustRightInd w:val="0"/>
              <w:spacing w:after="0" w:line="240" w:lineRule="auto"/>
              <w:contextualSpacing/>
              <w:rPr>
                <w:rFonts w:ascii="Arial" w:hAnsi="Arial" w:cs="Arial" w:eastAsiaTheme="majorEastAsia"/>
                <w:bCs/>
                <w:sz w:val="21"/>
                <w:szCs w:val="21"/>
              </w:rPr>
            </w:pPr>
            <w:r>
              <w:rPr>
                <w:rFonts w:ascii="Arial" w:hAnsi="Arial" w:cs="Arial" w:eastAsiaTheme="majorEastAsia"/>
                <w:bCs/>
                <w:sz w:val="21"/>
                <w:szCs w:val="21"/>
              </w:rPr>
              <w:t>Principle Investigator of a running NSFC-funded international joint research project shall not apply for one new international joint research project.</w:t>
            </w:r>
          </w:p>
          <w:p>
            <w:pPr>
              <w:numPr>
                <w:ilvl w:val="0"/>
                <w:numId w:val="3"/>
              </w:numPr>
              <w:spacing w:after="0" w:line="240" w:lineRule="auto"/>
              <w:contextualSpacing/>
              <w:rPr>
                <w:rFonts w:ascii="Arial" w:hAnsi="Arial" w:cs="Arial" w:eastAsiaTheme="majorEastAsia"/>
                <w:bCs/>
                <w:sz w:val="21"/>
                <w:szCs w:val="21"/>
              </w:rPr>
            </w:pPr>
            <w:r>
              <w:rPr>
                <w:rFonts w:ascii="Arial" w:hAnsi="Arial" w:cs="Arial" w:eastAsiaTheme="majorEastAsia"/>
                <w:bCs/>
                <w:sz w:val="21"/>
                <w:szCs w:val="21"/>
              </w:rPr>
              <w:t>Have a supporting institution: The Chinese applicant should submit the application through the supporting institution</w:t>
            </w:r>
          </w:p>
          <w:p>
            <w:pPr>
              <w:pStyle w:val="22"/>
              <w:numPr>
                <w:ilvl w:val="0"/>
                <w:numId w:val="3"/>
              </w:numPr>
              <w:spacing w:after="0" w:line="240" w:lineRule="auto"/>
              <w:jc w:val="both"/>
              <w:rPr>
                <w:rFonts w:ascii="Arial" w:hAnsi="Arial" w:cs="Arial"/>
                <w:b/>
                <w:bCs/>
                <w:sz w:val="21"/>
                <w:szCs w:val="21"/>
              </w:rPr>
            </w:pPr>
            <w:r>
              <w:rPr>
                <w:rFonts w:ascii="Arial" w:hAnsi="Arial" w:cs="Arial"/>
                <w:sz w:val="21"/>
                <w:szCs w:val="21"/>
              </w:rPr>
              <w:t>Other restrictions in the 2020 Guide to 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376" w:type="dxa"/>
          </w:tcPr>
          <w:p>
            <w:pPr>
              <w:spacing w:after="0" w:line="240" w:lineRule="auto"/>
              <w:jc w:val="both"/>
              <w:rPr>
                <w:rFonts w:ascii="Arial" w:hAnsi="Arial" w:cs="Arial"/>
                <w:b/>
                <w:sz w:val="21"/>
                <w:szCs w:val="21"/>
              </w:rPr>
            </w:pPr>
            <w:r>
              <w:rPr>
                <w:rFonts w:ascii="Arial" w:hAnsi="Arial" w:cs="Arial"/>
                <w:b/>
                <w:sz w:val="21"/>
                <w:szCs w:val="21"/>
              </w:rPr>
              <w:t>Budget</w:t>
            </w:r>
          </w:p>
        </w:tc>
        <w:tc>
          <w:tcPr>
            <w:tcW w:w="6866" w:type="dxa"/>
          </w:tcPr>
          <w:p>
            <w:pPr>
              <w:spacing w:after="0" w:line="240" w:lineRule="auto"/>
              <w:jc w:val="both"/>
              <w:rPr>
                <w:rFonts w:ascii="Arial" w:hAnsi="Arial" w:cs="Arial"/>
                <w:sz w:val="21"/>
                <w:szCs w:val="21"/>
              </w:rPr>
            </w:pPr>
            <w:r>
              <w:rPr>
                <w:rFonts w:ascii="Arial" w:hAnsi="Arial" w:cs="Arial"/>
                <w:lang w:eastAsia="zh-CN"/>
              </w:rPr>
              <w:t>Chinese partners that are eligible for funding can receive up</w:t>
            </w:r>
            <w:r>
              <w:rPr>
                <w:rFonts w:ascii="Arial" w:hAnsi="Arial" w:cs="Arial"/>
              </w:rPr>
              <w:t xml:space="preserve"> to </w:t>
            </w:r>
            <w:r>
              <w:rPr>
                <w:rFonts w:hint="eastAsia" w:ascii="Arial" w:hAnsi="Arial" w:cs="Arial"/>
                <w:lang w:eastAsia="zh-CN"/>
              </w:rPr>
              <w:t>￥1.5 million</w:t>
            </w:r>
            <w:r>
              <w:rPr>
                <w:rFonts w:ascii="Arial" w:hAnsi="Arial" w:cs="Arial"/>
                <w:lang w:eastAsia="zh-CN"/>
              </w:rPr>
              <w:t xml:space="preserve"> for projects of 24 months. NSFC-funded costs of each grant will be issued and managed by NSFC according to its funding guidelines and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376" w:type="dxa"/>
          </w:tcPr>
          <w:p>
            <w:pPr>
              <w:spacing w:after="0" w:line="240" w:lineRule="auto"/>
              <w:jc w:val="both"/>
              <w:rPr>
                <w:rFonts w:ascii="Arial" w:hAnsi="Arial" w:cs="Arial"/>
                <w:b/>
                <w:sz w:val="21"/>
                <w:szCs w:val="21"/>
              </w:rPr>
            </w:pPr>
            <w:r>
              <w:rPr>
                <w:rFonts w:ascii="Arial" w:hAnsi="Arial" w:cs="Arial"/>
                <w:b/>
                <w:sz w:val="21"/>
                <w:szCs w:val="21"/>
              </w:rPr>
              <w:t>Eligible costs</w:t>
            </w:r>
          </w:p>
        </w:tc>
        <w:tc>
          <w:tcPr>
            <w:tcW w:w="6866" w:type="dxa"/>
          </w:tcPr>
          <w:p>
            <w:pPr>
              <w:spacing w:after="0" w:line="240" w:lineRule="auto"/>
              <w:jc w:val="both"/>
              <w:rPr>
                <w:rFonts w:ascii="Arial" w:hAnsi="Arial" w:cs="Arial"/>
                <w:sz w:val="21"/>
                <w:szCs w:val="21"/>
              </w:rPr>
            </w:pPr>
            <w:r>
              <w:rPr>
                <w:rFonts w:ascii="Arial" w:hAnsi="Arial" w:cs="Arial"/>
                <w:sz w:val="21"/>
                <w:szCs w:val="21"/>
              </w:rPr>
              <w:t>It is expected that applications to this call will be International (Regional) Joint Research Projects as defined in the call notice, and NSFC will fund the Chinese component(s) of any successful bilateral or transnational collaboration.</w:t>
            </w:r>
            <w:r>
              <w:rPr>
                <w:rFonts w:hint="eastAsia" w:ascii="Arial" w:hAnsi="Arial" w:cs="Arial"/>
                <w:sz w:val="21"/>
                <w:szCs w:val="21"/>
                <w:lang w:eastAsia="zh-CN"/>
              </w:rPr>
              <w:t xml:space="preserve"> </w:t>
            </w:r>
            <w:r>
              <w:rPr>
                <w:rFonts w:ascii="Arial" w:hAnsi="Arial" w:cs="Arial"/>
                <w:sz w:val="21"/>
                <w:szCs w:val="21"/>
              </w:rPr>
              <w:t>The eligible costs are as follows:</w:t>
            </w:r>
          </w:p>
          <w:p>
            <w:pPr>
              <w:pStyle w:val="22"/>
              <w:numPr>
                <w:ilvl w:val="0"/>
                <w:numId w:val="4"/>
              </w:numPr>
              <w:spacing w:after="0" w:line="240" w:lineRule="auto"/>
              <w:jc w:val="both"/>
              <w:rPr>
                <w:rFonts w:ascii="Arial" w:hAnsi="Arial" w:cs="Arial"/>
                <w:sz w:val="21"/>
                <w:szCs w:val="21"/>
              </w:rPr>
            </w:pPr>
            <w:r>
              <w:rPr>
                <w:rFonts w:ascii="Arial" w:hAnsi="Arial" w:cs="Arial"/>
                <w:sz w:val="21"/>
                <w:szCs w:val="21"/>
              </w:rPr>
              <w:t>Equipment</w:t>
            </w:r>
          </w:p>
          <w:p>
            <w:pPr>
              <w:pStyle w:val="22"/>
              <w:numPr>
                <w:ilvl w:val="1"/>
                <w:numId w:val="5"/>
              </w:numPr>
              <w:spacing w:after="0" w:line="240" w:lineRule="auto"/>
              <w:jc w:val="both"/>
              <w:rPr>
                <w:rFonts w:ascii="Arial" w:hAnsi="Arial" w:cs="Arial"/>
                <w:sz w:val="21"/>
                <w:szCs w:val="21"/>
              </w:rPr>
            </w:pPr>
            <w:r>
              <w:rPr>
                <w:rFonts w:ascii="Arial" w:hAnsi="Arial" w:cs="Arial"/>
                <w:sz w:val="21"/>
                <w:szCs w:val="21"/>
              </w:rPr>
              <w:t>Purchase</w:t>
            </w:r>
          </w:p>
          <w:p>
            <w:pPr>
              <w:pStyle w:val="22"/>
              <w:numPr>
                <w:ilvl w:val="1"/>
                <w:numId w:val="5"/>
              </w:numPr>
              <w:spacing w:after="0" w:line="240" w:lineRule="auto"/>
              <w:jc w:val="both"/>
              <w:rPr>
                <w:rFonts w:ascii="Arial" w:hAnsi="Arial" w:cs="Arial"/>
                <w:sz w:val="21"/>
                <w:szCs w:val="21"/>
              </w:rPr>
            </w:pPr>
            <w:r>
              <w:rPr>
                <w:rFonts w:ascii="Arial" w:hAnsi="Arial" w:cs="Arial"/>
                <w:sz w:val="21"/>
                <w:szCs w:val="21"/>
              </w:rPr>
              <w:t>Trial</w:t>
            </w:r>
          </w:p>
          <w:p>
            <w:pPr>
              <w:pStyle w:val="22"/>
              <w:numPr>
                <w:ilvl w:val="1"/>
                <w:numId w:val="5"/>
              </w:numPr>
              <w:spacing w:after="0" w:line="240" w:lineRule="auto"/>
              <w:jc w:val="both"/>
              <w:rPr>
                <w:rFonts w:ascii="Arial" w:hAnsi="Arial" w:cs="Arial"/>
                <w:sz w:val="21"/>
                <w:szCs w:val="21"/>
              </w:rPr>
            </w:pPr>
            <w:r>
              <w:rPr>
                <w:rFonts w:ascii="Arial" w:hAnsi="Arial" w:cs="Arial"/>
                <w:sz w:val="21"/>
                <w:szCs w:val="21"/>
              </w:rPr>
              <w:t>Modification and rental</w:t>
            </w:r>
          </w:p>
          <w:p>
            <w:pPr>
              <w:pStyle w:val="22"/>
              <w:numPr>
                <w:ilvl w:val="0"/>
                <w:numId w:val="4"/>
              </w:numPr>
              <w:spacing w:after="0" w:line="240" w:lineRule="auto"/>
              <w:jc w:val="both"/>
              <w:rPr>
                <w:rFonts w:ascii="Arial" w:hAnsi="Arial" w:cs="Arial"/>
                <w:sz w:val="21"/>
                <w:szCs w:val="21"/>
              </w:rPr>
            </w:pPr>
            <w:r>
              <w:rPr>
                <w:rFonts w:ascii="Arial" w:hAnsi="Arial" w:cs="Arial"/>
                <w:sz w:val="21"/>
                <w:szCs w:val="21"/>
              </w:rPr>
              <w:t>Materials and supplies</w:t>
            </w:r>
          </w:p>
          <w:p>
            <w:pPr>
              <w:pStyle w:val="22"/>
              <w:numPr>
                <w:ilvl w:val="0"/>
                <w:numId w:val="4"/>
              </w:numPr>
              <w:spacing w:after="0" w:line="240" w:lineRule="auto"/>
              <w:jc w:val="both"/>
              <w:rPr>
                <w:rFonts w:ascii="Arial" w:hAnsi="Arial" w:cs="Arial"/>
                <w:sz w:val="21"/>
                <w:szCs w:val="21"/>
              </w:rPr>
            </w:pPr>
            <w:r>
              <w:rPr>
                <w:rFonts w:ascii="Arial" w:hAnsi="Arial" w:cs="Arial"/>
                <w:sz w:val="21"/>
                <w:szCs w:val="21"/>
              </w:rPr>
              <w:t>Test/calculation/analysis</w:t>
            </w:r>
          </w:p>
          <w:p>
            <w:pPr>
              <w:pStyle w:val="22"/>
              <w:numPr>
                <w:ilvl w:val="0"/>
                <w:numId w:val="4"/>
              </w:numPr>
              <w:spacing w:after="0" w:line="240" w:lineRule="auto"/>
              <w:jc w:val="both"/>
              <w:rPr>
                <w:rFonts w:ascii="Arial" w:hAnsi="Arial" w:cs="Arial"/>
                <w:sz w:val="21"/>
                <w:szCs w:val="21"/>
              </w:rPr>
            </w:pPr>
            <w:r>
              <w:rPr>
                <w:rFonts w:ascii="Arial" w:hAnsi="Arial" w:cs="Arial"/>
                <w:sz w:val="21"/>
                <w:szCs w:val="21"/>
              </w:rPr>
              <w:t>Power consumption</w:t>
            </w:r>
          </w:p>
          <w:p>
            <w:pPr>
              <w:pStyle w:val="22"/>
              <w:numPr>
                <w:ilvl w:val="0"/>
                <w:numId w:val="4"/>
              </w:numPr>
              <w:spacing w:after="0" w:line="240" w:lineRule="auto"/>
              <w:jc w:val="both"/>
              <w:rPr>
                <w:rFonts w:ascii="Arial" w:hAnsi="Arial" w:cs="Arial"/>
                <w:sz w:val="21"/>
                <w:szCs w:val="21"/>
              </w:rPr>
            </w:pPr>
            <w:r>
              <w:rPr>
                <w:rFonts w:ascii="Arial" w:hAnsi="Arial" w:cs="Arial"/>
                <w:sz w:val="21"/>
                <w:szCs w:val="21"/>
              </w:rPr>
              <w:t>Travel/ Conference/ International cooperation</w:t>
            </w:r>
          </w:p>
          <w:p>
            <w:pPr>
              <w:pStyle w:val="22"/>
              <w:numPr>
                <w:ilvl w:val="0"/>
                <w:numId w:val="4"/>
              </w:numPr>
              <w:spacing w:after="0" w:line="240" w:lineRule="auto"/>
              <w:jc w:val="both"/>
              <w:rPr>
                <w:rFonts w:ascii="Arial" w:hAnsi="Arial" w:cs="Arial"/>
                <w:sz w:val="21"/>
                <w:szCs w:val="21"/>
              </w:rPr>
            </w:pPr>
            <w:r>
              <w:rPr>
                <w:rFonts w:ascii="Arial" w:hAnsi="Arial" w:cs="Arial"/>
                <w:sz w:val="21"/>
                <w:szCs w:val="21"/>
                <w:lang w:eastAsia="zh-CN"/>
              </w:rPr>
              <w:t>p</w:t>
            </w:r>
            <w:r>
              <w:rPr>
                <w:rFonts w:ascii="Arial" w:hAnsi="Arial" w:cs="Arial"/>
                <w:sz w:val="21"/>
                <w:szCs w:val="21"/>
              </w:rPr>
              <w:t>ublication/Reference/ Dissemination of info/Intellectual Property</w:t>
            </w:r>
          </w:p>
          <w:p>
            <w:pPr>
              <w:pStyle w:val="22"/>
              <w:numPr>
                <w:ilvl w:val="0"/>
                <w:numId w:val="4"/>
              </w:numPr>
              <w:spacing w:after="0" w:line="240" w:lineRule="auto"/>
              <w:jc w:val="both"/>
              <w:rPr>
                <w:rFonts w:ascii="Arial" w:hAnsi="Arial" w:cs="Arial"/>
                <w:sz w:val="21"/>
                <w:szCs w:val="21"/>
              </w:rPr>
            </w:pPr>
            <w:r>
              <w:rPr>
                <w:rFonts w:ascii="Arial" w:hAnsi="Arial" w:cs="Arial"/>
                <w:sz w:val="21"/>
                <w:szCs w:val="21"/>
              </w:rPr>
              <w:t>Labour Cost</w:t>
            </w:r>
          </w:p>
          <w:p>
            <w:pPr>
              <w:pStyle w:val="22"/>
              <w:numPr>
                <w:ilvl w:val="0"/>
                <w:numId w:val="4"/>
              </w:numPr>
              <w:spacing w:after="0" w:line="240" w:lineRule="auto"/>
              <w:jc w:val="both"/>
              <w:rPr>
                <w:rFonts w:ascii="Arial" w:hAnsi="Arial" w:cs="Arial"/>
                <w:sz w:val="21"/>
                <w:szCs w:val="21"/>
              </w:rPr>
            </w:pPr>
            <w:r>
              <w:rPr>
                <w:rFonts w:ascii="Arial" w:hAnsi="Arial" w:cs="Arial"/>
                <w:sz w:val="21"/>
                <w:szCs w:val="21"/>
              </w:rPr>
              <w:t>Consulting</w:t>
            </w:r>
          </w:p>
          <w:p>
            <w:pPr>
              <w:pStyle w:val="22"/>
              <w:numPr>
                <w:ilvl w:val="0"/>
                <w:numId w:val="4"/>
              </w:numPr>
              <w:spacing w:after="0" w:line="240" w:lineRule="auto"/>
              <w:jc w:val="both"/>
              <w:rPr>
                <w:rFonts w:ascii="Arial" w:hAnsi="Arial" w:cs="Arial"/>
                <w:sz w:val="21"/>
                <w:szCs w:val="21"/>
              </w:rPr>
            </w:pPr>
            <w:r>
              <w:rPr>
                <w:rFonts w:ascii="Arial" w:hAnsi="Arial" w:cs="Arial"/>
                <w:sz w:val="21"/>
                <w:szCs w:val="21"/>
              </w:rPr>
              <w:t>Miscellaneous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Documents required</w:t>
            </w:r>
          </w:p>
        </w:tc>
        <w:tc>
          <w:tcPr>
            <w:tcW w:w="6866" w:type="dxa"/>
          </w:tcPr>
          <w:p>
            <w:pPr>
              <w:spacing w:after="0" w:line="240" w:lineRule="auto"/>
              <w:jc w:val="both"/>
              <w:rPr>
                <w:rFonts w:ascii="Arial" w:hAnsi="Arial" w:cs="Arial"/>
                <w:sz w:val="21"/>
                <w:szCs w:val="21"/>
              </w:rPr>
            </w:pPr>
            <w:r>
              <w:rPr>
                <w:rFonts w:ascii="Arial" w:hAnsi="Arial" w:cs="Arial"/>
                <w:sz w:val="21"/>
                <w:szCs w:val="21"/>
                <w:lang w:eastAsia="zh-CN"/>
              </w:rPr>
              <w:t>T</w:t>
            </w:r>
            <w:r>
              <w:rPr>
                <w:rFonts w:hint="eastAsia" w:ascii="Arial" w:hAnsi="Arial" w:cs="Arial"/>
                <w:sz w:val="21"/>
                <w:szCs w:val="21"/>
                <w:lang w:eastAsia="zh-CN"/>
              </w:rPr>
              <w:t xml:space="preserve">he </w:t>
            </w:r>
            <w:r>
              <w:rPr>
                <w:rFonts w:ascii="Arial" w:hAnsi="Arial" w:cs="Arial"/>
                <w:sz w:val="21"/>
                <w:szCs w:val="21"/>
              </w:rPr>
              <w:t>Chinese PI must apply using NSFC’s ISISN system (http://isisn.nsfc.gov.cn/egrantweb/)  by completing a standard NSFC grant application</w:t>
            </w:r>
            <w:r>
              <w:rPr>
                <w:rFonts w:hint="eastAsia" w:ascii="Arial" w:hAnsi="Arial" w:cs="Arial"/>
                <w:sz w:val="21"/>
                <w:szCs w:val="21"/>
                <w:lang w:eastAsia="zh-CN"/>
              </w:rPr>
              <w:t>.T</w:t>
            </w:r>
            <w:r>
              <w:rPr>
                <w:rFonts w:ascii="Arial" w:hAnsi="Arial" w:cs="Arial"/>
                <w:sz w:val="21"/>
                <w:szCs w:val="21"/>
              </w:rPr>
              <w:t>he following documents must be uploaded to ISISN by the Chinese PI as the attachments</w:t>
            </w:r>
            <w:r>
              <w:rPr>
                <w:rFonts w:hint="eastAsia" w:ascii="Arial" w:hAnsi="Arial" w:cs="Arial"/>
                <w:sz w:val="21"/>
                <w:szCs w:val="21"/>
                <w:lang w:eastAsia="zh-CN"/>
              </w:rPr>
              <w:t>:</w:t>
            </w:r>
          </w:p>
          <w:p>
            <w:pPr>
              <w:pStyle w:val="22"/>
              <w:numPr>
                <w:ilvl w:val="0"/>
                <w:numId w:val="6"/>
              </w:numPr>
              <w:spacing w:after="0" w:line="240" w:lineRule="auto"/>
              <w:jc w:val="both"/>
              <w:rPr>
                <w:rFonts w:ascii="Arial" w:hAnsi="Arial" w:cs="Arial"/>
                <w:sz w:val="21"/>
                <w:szCs w:val="21"/>
                <w:lang w:eastAsia="zh-CN"/>
              </w:rPr>
            </w:pPr>
            <w:r>
              <w:rPr>
                <w:rFonts w:ascii="Arial" w:hAnsi="Arial" w:cs="Arial"/>
                <w:sz w:val="21"/>
                <w:szCs w:val="21"/>
                <w:lang w:eastAsia="zh-CN"/>
              </w:rPr>
              <w:t>T</w:t>
            </w:r>
            <w:r>
              <w:rPr>
                <w:rFonts w:hint="eastAsia" w:ascii="Arial" w:hAnsi="Arial" w:cs="Arial"/>
                <w:sz w:val="21"/>
                <w:szCs w:val="21"/>
                <w:lang w:eastAsia="zh-CN"/>
              </w:rPr>
              <w:t xml:space="preserve">he </w:t>
            </w:r>
            <w:r>
              <w:rPr>
                <w:rFonts w:ascii="Arial" w:hAnsi="Arial" w:cs="Arial"/>
                <w:sz w:val="21"/>
                <w:szCs w:val="21"/>
                <w:lang w:eastAsia="zh-CN"/>
              </w:rPr>
              <w:t xml:space="preserve">JPD in English </w:t>
            </w:r>
            <w:r>
              <w:rPr>
                <w:rFonts w:hint="eastAsia" w:ascii="Arial" w:hAnsi="Arial" w:cs="Arial"/>
                <w:sz w:val="21"/>
                <w:szCs w:val="21"/>
                <w:lang w:eastAsia="zh-CN"/>
              </w:rPr>
              <w:t>jointly prepared</w:t>
            </w:r>
            <w:r>
              <w:rPr>
                <w:rFonts w:ascii="Arial" w:hAnsi="Arial" w:cs="Arial"/>
                <w:sz w:val="21"/>
                <w:szCs w:val="21"/>
                <w:lang w:eastAsia="zh-CN"/>
              </w:rPr>
              <w:t xml:space="preserve">by all </w:t>
            </w:r>
            <w:r>
              <w:rPr>
                <w:rFonts w:hint="eastAsia" w:ascii="Arial" w:hAnsi="Arial" w:cs="Arial"/>
                <w:sz w:val="21"/>
                <w:szCs w:val="21"/>
                <w:lang w:eastAsia="zh-CN"/>
              </w:rPr>
              <w:t>partners</w:t>
            </w:r>
            <w:r>
              <w:rPr>
                <w:rFonts w:ascii="Arial" w:hAnsi="Arial" w:cs="Arial"/>
                <w:sz w:val="21"/>
                <w:szCs w:val="21"/>
                <w:lang w:eastAsia="zh-CN"/>
              </w:rPr>
              <w:t>.</w:t>
            </w:r>
          </w:p>
          <w:p>
            <w:pPr>
              <w:pStyle w:val="22"/>
              <w:numPr>
                <w:ilvl w:val="0"/>
                <w:numId w:val="6"/>
              </w:numPr>
              <w:spacing w:after="0" w:line="240" w:lineRule="auto"/>
              <w:jc w:val="both"/>
              <w:rPr>
                <w:rFonts w:ascii="Arial" w:hAnsi="Arial" w:cs="Arial"/>
                <w:sz w:val="21"/>
                <w:szCs w:val="21"/>
                <w:lang w:eastAsia="zh-CN"/>
              </w:rPr>
            </w:pPr>
            <w:r>
              <w:rPr>
                <w:rFonts w:ascii="Arial" w:hAnsi="Arial" w:cs="Arial"/>
                <w:sz w:val="21"/>
                <w:szCs w:val="21"/>
                <w:lang w:eastAsia="zh-CN"/>
              </w:rPr>
              <w:t>Ethical Approval from Ethics Comm</w:t>
            </w:r>
            <w:r>
              <w:rPr>
                <w:rFonts w:ascii="Arial" w:hAnsi="Arial" w:cs="Arial"/>
                <w:sz w:val="21"/>
                <w:szCs w:val="21"/>
              </w:rPr>
              <w:t>ittees of their own or relevant authorities</w:t>
            </w:r>
            <w:r>
              <w:rPr>
                <w:rFonts w:hint="eastAsia" w:ascii="Arial" w:hAnsi="Arial" w:cs="Arial"/>
                <w:sz w:val="21"/>
                <w:szCs w:val="21"/>
                <w:lang w:eastAsia="zh-CN"/>
              </w:rPr>
              <w:t xml:space="preserve">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Submission process</w:t>
            </w:r>
          </w:p>
        </w:tc>
        <w:tc>
          <w:tcPr>
            <w:tcW w:w="6866" w:type="dxa"/>
          </w:tcPr>
          <w:p>
            <w:pPr>
              <w:spacing w:after="0" w:line="240" w:lineRule="auto"/>
              <w:jc w:val="both"/>
              <w:rPr>
                <w:rFonts w:ascii="Arial" w:hAnsi="Arial" w:cs="Arial"/>
                <w:sz w:val="21"/>
                <w:szCs w:val="21"/>
                <w:lang w:eastAsia="zh-CN"/>
              </w:rPr>
            </w:pPr>
            <w:r>
              <w:rPr>
                <w:rFonts w:ascii="Arial" w:hAnsi="Arial" w:cs="Arial"/>
                <w:sz w:val="21"/>
                <w:szCs w:val="21"/>
              </w:rPr>
              <w:t xml:space="preserve">After </w:t>
            </w:r>
            <w:r>
              <w:rPr>
                <w:rFonts w:hint="eastAsia" w:ascii="Arial" w:hAnsi="Arial" w:cs="Arial"/>
                <w:sz w:val="21"/>
                <w:szCs w:val="21"/>
                <w:lang w:eastAsia="zh-CN"/>
              </w:rPr>
              <w:t>submitting</w:t>
            </w:r>
            <w:r>
              <w:rPr>
                <w:rFonts w:ascii="Arial" w:hAnsi="Arial" w:cs="Arial"/>
                <w:sz w:val="21"/>
                <w:szCs w:val="21"/>
              </w:rPr>
              <w:t xml:space="preserve"> the proposal</w:t>
            </w:r>
            <w:r>
              <w:rPr>
                <w:rFonts w:hint="eastAsia" w:ascii="Arial" w:hAnsi="Arial" w:cs="Arial"/>
                <w:sz w:val="21"/>
                <w:szCs w:val="21"/>
                <w:lang w:eastAsia="zh-CN"/>
              </w:rPr>
              <w:t>and all attachments in the ISISN system</w:t>
            </w:r>
            <w:r>
              <w:rPr>
                <w:rFonts w:ascii="Arial" w:hAnsi="Arial" w:cs="Arial"/>
                <w:sz w:val="21"/>
                <w:szCs w:val="21"/>
              </w:rPr>
              <w:t xml:space="preserve">, the </w:t>
            </w:r>
            <w:r>
              <w:rPr>
                <w:rFonts w:hint="eastAsia" w:ascii="Arial" w:hAnsi="Arial" w:cs="Arial"/>
                <w:sz w:val="21"/>
                <w:szCs w:val="21"/>
                <w:lang w:eastAsia="zh-CN"/>
              </w:rPr>
              <w:t>Chinese Principal Investigator</w:t>
            </w:r>
            <w:r>
              <w:rPr>
                <w:rFonts w:ascii="Arial" w:hAnsi="Arial" w:cs="Arial"/>
                <w:sz w:val="21"/>
                <w:szCs w:val="21"/>
              </w:rPr>
              <w:t xml:space="preserve">must </w:t>
            </w:r>
            <w:r>
              <w:rPr>
                <w:rFonts w:hint="eastAsia" w:ascii="Arial" w:hAnsi="Arial" w:cs="Arial"/>
                <w:sz w:val="21"/>
                <w:szCs w:val="21"/>
                <w:lang w:eastAsia="zh-CN"/>
              </w:rPr>
              <w:t xml:space="preserve">inform his/herhost institution to confirm the application in the ISISN system and finish the entire submission process to NSFC. There is no need to submit any hard copy of the proposal to NSFC.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Assessment</w:t>
            </w:r>
          </w:p>
        </w:tc>
        <w:tc>
          <w:tcPr>
            <w:tcW w:w="6866" w:type="dxa"/>
          </w:tcPr>
          <w:p>
            <w:pPr>
              <w:spacing w:after="0" w:line="240" w:lineRule="auto"/>
              <w:jc w:val="both"/>
              <w:rPr>
                <w:rFonts w:ascii="Arial" w:hAnsi="Arial" w:cs="Arial"/>
                <w:sz w:val="21"/>
                <w:szCs w:val="21"/>
                <w:lang w:eastAsia="zh-CN"/>
              </w:rPr>
            </w:pPr>
            <w:r>
              <w:rPr>
                <w:rFonts w:ascii="Arial" w:hAnsi="Arial" w:cs="Arial"/>
                <w:sz w:val="21"/>
                <w:szCs w:val="21"/>
                <w:lang w:eastAsia="zh-CN"/>
              </w:rPr>
              <w:t>T</w:t>
            </w:r>
            <w:r>
              <w:rPr>
                <w:rFonts w:hint="eastAsia" w:ascii="Arial" w:hAnsi="Arial" w:cs="Arial"/>
                <w:sz w:val="21"/>
                <w:szCs w:val="21"/>
                <w:lang w:eastAsia="zh-CN"/>
              </w:rPr>
              <w:t xml:space="preserve">here will a two stage </w:t>
            </w:r>
            <w:r>
              <w:rPr>
                <w:rFonts w:ascii="Arial" w:hAnsi="Arial" w:cs="Arial"/>
                <w:sz w:val="21"/>
                <w:szCs w:val="21"/>
                <w:lang w:eastAsia="zh-CN"/>
              </w:rPr>
              <w:t>evaluation</w:t>
            </w:r>
            <w:r>
              <w:rPr>
                <w:rFonts w:hint="eastAsia" w:ascii="Arial" w:hAnsi="Arial" w:cs="Arial"/>
                <w:sz w:val="21"/>
                <w:szCs w:val="21"/>
                <w:lang w:eastAsia="zh-CN"/>
              </w:rPr>
              <w:t xml:space="preserve"> process. </w:t>
            </w:r>
          </w:p>
          <w:p>
            <w:pPr>
              <w:spacing w:after="0" w:line="240" w:lineRule="auto"/>
              <w:jc w:val="both"/>
              <w:rPr>
                <w:rFonts w:ascii="Arial" w:hAnsi="Arial" w:cs="Arial"/>
                <w:sz w:val="21"/>
                <w:szCs w:val="21"/>
                <w:lang w:eastAsia="zh-CN"/>
              </w:rPr>
            </w:pPr>
            <w:r>
              <w:rPr>
                <w:rFonts w:ascii="Arial" w:hAnsi="Arial" w:cs="Arial"/>
                <w:sz w:val="21"/>
                <w:szCs w:val="21"/>
                <w:lang w:eastAsia="zh-CN"/>
              </w:rPr>
              <w:t>A</w:t>
            </w:r>
            <w:r>
              <w:rPr>
                <w:rFonts w:hint="eastAsia" w:ascii="Arial" w:hAnsi="Arial" w:cs="Arial"/>
                <w:sz w:val="21"/>
                <w:szCs w:val="21"/>
                <w:lang w:eastAsia="zh-CN"/>
              </w:rPr>
              <w:t xml:space="preserve">t the first stage, each proposal will be reviewed by at least 5 peer reviewers. </w:t>
            </w:r>
          </w:p>
          <w:p>
            <w:pPr>
              <w:spacing w:after="0" w:line="240" w:lineRule="auto"/>
              <w:jc w:val="both"/>
              <w:rPr>
                <w:rFonts w:ascii="Arial" w:hAnsi="Arial" w:cs="Arial"/>
                <w:sz w:val="21"/>
                <w:szCs w:val="21"/>
                <w:lang w:eastAsia="zh-CN"/>
              </w:rPr>
            </w:pPr>
            <w:r>
              <w:rPr>
                <w:rFonts w:ascii="Arial" w:hAnsi="Arial" w:cs="Arial"/>
                <w:sz w:val="21"/>
                <w:szCs w:val="21"/>
                <w:lang w:eastAsia="zh-CN"/>
              </w:rPr>
              <w:t>A</w:t>
            </w:r>
            <w:r>
              <w:rPr>
                <w:rFonts w:hint="eastAsia" w:ascii="Arial" w:hAnsi="Arial" w:cs="Arial"/>
                <w:sz w:val="21"/>
                <w:szCs w:val="21"/>
                <w:lang w:eastAsia="zh-CN"/>
              </w:rPr>
              <w:t xml:space="preserve">t the second stage, a joint panel will develop a final ranking list of all proposals based on the </w:t>
            </w:r>
            <w:r>
              <w:rPr>
                <w:rFonts w:ascii="Arial" w:hAnsi="Arial" w:cs="Arial"/>
                <w:sz w:val="21"/>
                <w:szCs w:val="21"/>
                <w:lang w:eastAsia="zh-CN"/>
              </w:rPr>
              <w:t>evaluation results</w:t>
            </w:r>
            <w:r>
              <w:rPr>
                <w:rFonts w:hint="eastAsia" w:ascii="Arial" w:hAnsi="Arial" w:cs="Arial"/>
                <w:sz w:val="21"/>
                <w:szCs w:val="21"/>
                <w:lang w:eastAsia="zh-CN"/>
              </w:rPr>
              <w:t xml:space="preserve"> of all funding agencies.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Contact</w:t>
            </w:r>
          </w:p>
        </w:tc>
        <w:tc>
          <w:tcPr>
            <w:tcW w:w="6866" w:type="dxa"/>
          </w:tcPr>
          <w:p>
            <w:pPr>
              <w:spacing w:after="0" w:line="240" w:lineRule="auto"/>
              <w:jc w:val="both"/>
              <w:rPr>
                <w:rFonts w:ascii="Arial" w:hAnsi="Arial" w:cs="Arial"/>
                <w:sz w:val="21"/>
                <w:szCs w:val="21"/>
                <w:lang w:eastAsia="zh-CN"/>
              </w:rPr>
            </w:pPr>
            <w:r>
              <w:rPr>
                <w:rFonts w:ascii="Arial" w:hAnsi="Arial" w:cs="Arial"/>
                <w:sz w:val="21"/>
                <w:szCs w:val="21"/>
                <w:lang w:eastAsia="zh-CN"/>
              </w:rPr>
              <w:t xml:space="preserve">Mr. </w:t>
            </w:r>
            <w:r>
              <w:rPr>
                <w:rFonts w:hint="eastAsia" w:ascii="Arial" w:hAnsi="Arial" w:cs="Arial"/>
                <w:sz w:val="21"/>
                <w:szCs w:val="21"/>
                <w:lang w:eastAsia="zh-CN"/>
              </w:rPr>
              <w:t>ZHONG Qi</w:t>
            </w:r>
          </w:p>
          <w:p>
            <w:pPr>
              <w:spacing w:after="0" w:line="240" w:lineRule="auto"/>
              <w:jc w:val="both"/>
              <w:rPr>
                <w:rFonts w:ascii="Arial" w:hAnsi="Arial" w:cs="Arial"/>
                <w:sz w:val="21"/>
                <w:szCs w:val="21"/>
                <w:lang w:eastAsia="zh-CN"/>
              </w:rPr>
            </w:pPr>
            <w:r>
              <w:rPr>
                <w:rFonts w:ascii="Arial" w:hAnsi="Arial" w:cs="Arial"/>
                <w:sz w:val="21"/>
                <w:szCs w:val="21"/>
                <w:lang w:eastAsia="zh-CN"/>
              </w:rPr>
              <w:t xml:space="preserve">Email: </w:t>
            </w:r>
            <w:r>
              <w:fldChar w:fldCharType="begin"/>
            </w:r>
            <w:r>
              <w:instrText xml:space="preserve"> HYPERLINK "mailto:zhongqi@nsfc.gov.cn" </w:instrText>
            </w:r>
            <w:r>
              <w:fldChar w:fldCharType="separate"/>
            </w:r>
            <w:r>
              <w:rPr>
                <w:rStyle w:val="19"/>
                <w:rFonts w:hint="eastAsia" w:ascii="Arial" w:hAnsi="Arial" w:cs="Arial"/>
                <w:sz w:val="21"/>
                <w:szCs w:val="21"/>
                <w:lang w:eastAsia="zh-CN"/>
              </w:rPr>
              <w:t>zhongqi</w:t>
            </w:r>
            <w:r>
              <w:rPr>
                <w:rStyle w:val="19"/>
                <w:rFonts w:ascii="Arial" w:hAnsi="Arial" w:cs="Arial"/>
                <w:sz w:val="21"/>
                <w:szCs w:val="21"/>
                <w:lang w:eastAsia="zh-CN"/>
              </w:rPr>
              <w:t>@nsfc.gov.cn</w:t>
            </w:r>
            <w:r>
              <w:rPr>
                <w:rStyle w:val="19"/>
                <w:rFonts w:ascii="Arial" w:hAnsi="Arial" w:cs="Arial"/>
                <w:sz w:val="21"/>
                <w:szCs w:val="21"/>
                <w:lang w:eastAsia="zh-CN"/>
              </w:rPr>
              <w:fldChar w:fldCharType="end"/>
            </w:r>
          </w:p>
          <w:p>
            <w:pPr>
              <w:spacing w:after="0" w:line="240" w:lineRule="auto"/>
              <w:jc w:val="both"/>
              <w:rPr>
                <w:rFonts w:ascii="Arial" w:hAnsi="Arial" w:cs="Arial"/>
                <w:sz w:val="21"/>
                <w:szCs w:val="21"/>
                <w:lang w:eastAsia="zh-CN"/>
              </w:rPr>
            </w:pPr>
            <w:r>
              <w:rPr>
                <w:rFonts w:ascii="Arial" w:hAnsi="Arial" w:cs="Arial"/>
                <w:sz w:val="21"/>
                <w:szCs w:val="21"/>
                <w:lang w:eastAsia="zh-CN"/>
              </w:rPr>
              <w:t xml:space="preserve">Telephone: +86 10 6232 </w:t>
            </w:r>
            <w:r>
              <w:rPr>
                <w:rFonts w:hint="eastAsia" w:ascii="Arial" w:hAnsi="Arial" w:cs="Arial"/>
                <w:sz w:val="21"/>
                <w:szCs w:val="21"/>
                <w:lang w:eastAsia="zh-CN"/>
              </w:rPr>
              <w:t>7005</w:t>
            </w:r>
          </w:p>
        </w:tc>
      </w:tr>
    </w:tbl>
    <w:p>
      <w:pPr>
        <w:spacing w:line="240" w:lineRule="auto"/>
        <w:rPr>
          <w:rFonts w:ascii="Arial" w:hAnsi="Arial" w:cs="Arial"/>
          <w:b/>
          <w:lang w:eastAsia="zh-CN"/>
        </w:rPr>
      </w:pPr>
    </w:p>
    <w:p>
      <w:pPr>
        <w:rPr>
          <w:rFonts w:ascii="Arial" w:hAnsi="Arial" w:cs="Arial"/>
          <w:b/>
          <w:lang w:eastAsia="zh-CN"/>
        </w:rPr>
      </w:pPr>
      <w:r>
        <w:rPr>
          <w:rFonts w:ascii="Arial" w:hAnsi="Arial" w:cs="Arial"/>
          <w:b/>
          <w:lang w:eastAsia="zh-CN"/>
        </w:rPr>
        <w:br w:type="page"/>
      </w:r>
    </w:p>
    <w:p>
      <w:pPr>
        <w:spacing w:line="240" w:lineRule="auto"/>
        <w:rPr>
          <w:rFonts w:ascii="Arial" w:hAnsi="Arial" w:cs="Arial"/>
          <w:b/>
          <w:lang w:eastAsia="zh-CN"/>
        </w:rPr>
      </w:pPr>
    </w:p>
    <w:p>
      <w:pPr>
        <w:spacing w:after="0" w:line="240" w:lineRule="auto"/>
        <w:jc w:val="center"/>
        <w:rPr>
          <w:rFonts w:ascii="Arial" w:hAnsi="Arial" w:cs="Arial"/>
          <w:b/>
        </w:rPr>
      </w:pPr>
      <w:r>
        <w:rPr>
          <w:rFonts w:ascii="Arial" w:hAnsi="Arial" w:cs="Arial"/>
          <w:b/>
        </w:rPr>
        <w:t>Additional guidance for Bulgarian applicants</w:t>
      </w:r>
    </w:p>
    <w:p>
      <w:pPr>
        <w:spacing w:after="0" w:line="240" w:lineRule="auto"/>
        <w:jc w:val="both"/>
        <w:rPr>
          <w:rFonts w:ascii="Arial" w:hAnsi="Arial" w:cs="Arial"/>
          <w:b/>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Funding Agency</w:t>
            </w:r>
          </w:p>
        </w:tc>
        <w:tc>
          <w:tcPr>
            <w:tcW w:w="6866" w:type="dxa"/>
          </w:tcPr>
          <w:p>
            <w:pPr>
              <w:spacing w:after="0" w:line="240" w:lineRule="auto"/>
              <w:jc w:val="both"/>
              <w:rPr>
                <w:rFonts w:ascii="Arial" w:hAnsi="Arial" w:cs="Arial"/>
                <w:sz w:val="21"/>
                <w:szCs w:val="21"/>
              </w:rPr>
            </w:pPr>
            <w:r>
              <w:rPr>
                <w:rFonts w:ascii="Arial" w:hAnsi="Arial" w:cs="Arial"/>
                <w:sz w:val="21"/>
                <w:szCs w:val="21"/>
              </w:rPr>
              <w:t>Bulgarian Science Fund (BNSF)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Eligibility</w:t>
            </w:r>
          </w:p>
        </w:tc>
        <w:tc>
          <w:tcPr>
            <w:tcW w:w="6866" w:type="dxa"/>
          </w:tcPr>
          <w:p>
            <w:pPr>
              <w:spacing w:after="0" w:line="240" w:lineRule="auto"/>
              <w:jc w:val="both"/>
              <w:rPr>
                <w:rFonts w:ascii="Arial" w:hAnsi="Arial" w:cs="Arial"/>
                <w:b/>
                <w:bCs/>
                <w:sz w:val="21"/>
                <w:szCs w:val="21"/>
              </w:rPr>
            </w:pPr>
            <w:r>
              <w:rPr>
                <w:rFonts w:ascii="Arial" w:hAnsi="Arial" w:cs="Arial"/>
                <w:sz w:val="21"/>
                <w:szCs w:val="21"/>
              </w:rPr>
              <w:t>The eligibility conditions are defined in the General Guidelines for Bilateral Calls of BNSF and the Specific Guidelines for this call (in Bulgarian).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376" w:type="dxa"/>
          </w:tcPr>
          <w:p>
            <w:pPr>
              <w:spacing w:after="0" w:line="240" w:lineRule="auto"/>
              <w:jc w:val="both"/>
              <w:rPr>
                <w:rFonts w:ascii="Arial" w:hAnsi="Arial" w:cs="Arial"/>
                <w:b/>
                <w:sz w:val="21"/>
                <w:szCs w:val="21"/>
              </w:rPr>
            </w:pPr>
            <w:r>
              <w:rPr>
                <w:rFonts w:ascii="Arial" w:hAnsi="Arial" w:cs="Arial"/>
                <w:b/>
                <w:sz w:val="21"/>
                <w:szCs w:val="21"/>
              </w:rPr>
              <w:t>Budget</w:t>
            </w:r>
          </w:p>
        </w:tc>
        <w:tc>
          <w:tcPr>
            <w:tcW w:w="6866" w:type="dxa"/>
          </w:tcPr>
          <w:p>
            <w:pPr>
              <w:spacing w:after="0" w:line="240" w:lineRule="auto"/>
              <w:jc w:val="both"/>
              <w:rPr>
                <w:rFonts w:ascii="Arial" w:hAnsi="Arial" w:cs="Arial"/>
                <w:sz w:val="21"/>
                <w:szCs w:val="21"/>
              </w:rPr>
            </w:pPr>
            <w:r>
              <w:rPr>
                <w:rFonts w:ascii="Arial" w:hAnsi="Arial" w:cs="Arial"/>
                <w:lang w:eastAsia="zh-CN"/>
              </w:rPr>
              <w:t>Bulgarian partner can receive up</w:t>
            </w:r>
            <w:r>
              <w:rPr>
                <w:rFonts w:ascii="Arial" w:hAnsi="Arial" w:cs="Arial"/>
              </w:rPr>
              <w:t xml:space="preserve"> to 200 000 leva (BGN)</w:t>
            </w:r>
            <w:r>
              <w:rPr>
                <w:rFonts w:ascii="Arial" w:hAnsi="Arial" w:cs="Arial"/>
                <w:lang w:eastAsia="zh-CN"/>
              </w:rPr>
              <w:t xml:space="preserve"> for a project of 24 months.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376" w:type="dxa"/>
          </w:tcPr>
          <w:p>
            <w:pPr>
              <w:spacing w:after="0" w:line="240" w:lineRule="auto"/>
              <w:jc w:val="both"/>
              <w:rPr>
                <w:rFonts w:ascii="Arial" w:hAnsi="Arial" w:cs="Arial"/>
                <w:b/>
                <w:sz w:val="21"/>
                <w:szCs w:val="21"/>
              </w:rPr>
            </w:pPr>
            <w:r>
              <w:rPr>
                <w:rFonts w:ascii="Arial" w:hAnsi="Arial" w:cs="Arial"/>
                <w:b/>
                <w:sz w:val="21"/>
                <w:szCs w:val="21"/>
              </w:rPr>
              <w:t>Eligible costs</w:t>
            </w:r>
          </w:p>
        </w:tc>
        <w:tc>
          <w:tcPr>
            <w:tcW w:w="6866" w:type="dxa"/>
          </w:tcPr>
          <w:p>
            <w:pPr>
              <w:spacing w:after="0" w:line="240" w:lineRule="auto"/>
              <w:jc w:val="both"/>
              <w:rPr>
                <w:rFonts w:ascii="Arial" w:hAnsi="Arial" w:cs="Arial"/>
                <w:sz w:val="21"/>
                <w:szCs w:val="21"/>
              </w:rPr>
            </w:pPr>
            <w:r>
              <w:rPr>
                <w:rFonts w:ascii="Arial" w:hAnsi="Arial" w:cs="Arial"/>
                <w:sz w:val="21"/>
                <w:szCs w:val="21"/>
              </w:rPr>
              <w:t>The eligible costs are as follows:</w:t>
            </w:r>
          </w:p>
          <w:p>
            <w:pPr>
              <w:spacing w:after="0" w:line="240" w:lineRule="auto"/>
              <w:jc w:val="both"/>
              <w:rPr>
                <w:rFonts w:ascii="Arial" w:hAnsi="Arial" w:cs="Arial"/>
                <w:sz w:val="21"/>
                <w:szCs w:val="21"/>
              </w:rPr>
            </w:pPr>
            <w:r>
              <w:rPr>
                <w:rFonts w:ascii="Arial" w:hAnsi="Arial" w:cs="Arial"/>
                <w:sz w:val="21"/>
                <w:szCs w:val="21"/>
              </w:rPr>
              <w:t>Direct eligible costs</w:t>
            </w:r>
          </w:p>
          <w:p>
            <w:pPr>
              <w:spacing w:after="0" w:line="240" w:lineRule="auto"/>
              <w:rPr>
                <w:rFonts w:ascii="Arial" w:hAnsi="Arial" w:cs="Arial"/>
                <w:sz w:val="21"/>
                <w:szCs w:val="21"/>
              </w:rPr>
            </w:pPr>
            <w:r>
              <w:rPr>
                <w:rFonts w:ascii="Arial" w:hAnsi="Arial" w:cs="Arial"/>
                <w:sz w:val="21"/>
                <w:szCs w:val="21"/>
              </w:rPr>
              <w:t>1. Personnel costs</w:t>
            </w:r>
          </w:p>
          <w:p>
            <w:pPr>
              <w:spacing w:after="0" w:line="240" w:lineRule="auto"/>
              <w:rPr>
                <w:rFonts w:ascii="Arial" w:hAnsi="Arial" w:cs="Arial"/>
                <w:sz w:val="21"/>
                <w:szCs w:val="21"/>
              </w:rPr>
            </w:pPr>
            <w:r>
              <w:rPr>
                <w:rFonts w:ascii="Arial" w:hAnsi="Arial" w:cs="Arial"/>
                <w:sz w:val="21"/>
                <w:szCs w:val="21"/>
              </w:rPr>
              <w:t>2. Travel costs</w:t>
            </w:r>
          </w:p>
          <w:p>
            <w:pPr>
              <w:spacing w:after="0" w:line="240" w:lineRule="auto"/>
              <w:rPr>
                <w:rFonts w:ascii="Arial" w:hAnsi="Arial" w:cs="Arial"/>
                <w:sz w:val="21"/>
                <w:szCs w:val="21"/>
              </w:rPr>
            </w:pPr>
            <w:r>
              <w:rPr>
                <w:rFonts w:ascii="Arial" w:hAnsi="Arial" w:cs="Arial"/>
                <w:sz w:val="21"/>
                <w:szCs w:val="21"/>
              </w:rPr>
              <w:t>3. Costs for material and immaterial assets, including equipment</w:t>
            </w:r>
          </w:p>
          <w:p>
            <w:pPr>
              <w:spacing w:after="0" w:line="240" w:lineRule="auto"/>
              <w:rPr>
                <w:rFonts w:ascii="Arial" w:hAnsi="Arial" w:cs="Arial"/>
                <w:sz w:val="21"/>
                <w:szCs w:val="21"/>
              </w:rPr>
            </w:pPr>
            <w:r>
              <w:rPr>
                <w:rFonts w:ascii="Arial" w:hAnsi="Arial" w:cs="Arial"/>
                <w:sz w:val="21"/>
                <w:szCs w:val="21"/>
              </w:rPr>
              <w:t>4. Costs for external services, directly connected with the implementation of the project</w:t>
            </w:r>
          </w:p>
          <w:p>
            <w:pPr>
              <w:spacing w:after="0" w:line="240" w:lineRule="auto"/>
              <w:rPr>
                <w:rFonts w:ascii="Arial" w:hAnsi="Arial" w:cs="Arial"/>
                <w:sz w:val="21"/>
                <w:szCs w:val="21"/>
              </w:rPr>
            </w:pPr>
            <w:r>
              <w:rPr>
                <w:rFonts w:ascii="Arial" w:hAnsi="Arial" w:cs="Arial"/>
                <w:sz w:val="21"/>
                <w:szCs w:val="21"/>
              </w:rPr>
              <w:t>5. Costs for materials, consumables and other eligible costs</w:t>
            </w:r>
          </w:p>
          <w:p>
            <w:pPr>
              <w:spacing w:after="0" w:line="240" w:lineRule="auto"/>
              <w:rPr>
                <w:rFonts w:ascii="Arial" w:hAnsi="Arial" w:cs="Arial"/>
                <w:sz w:val="21"/>
                <w:szCs w:val="21"/>
              </w:rPr>
            </w:pPr>
            <w:r>
              <w:rPr>
                <w:rFonts w:ascii="Arial" w:hAnsi="Arial" w:cs="Arial"/>
                <w:sz w:val="21"/>
                <w:szCs w:val="21"/>
              </w:rPr>
              <w:t>Indirect eligible costs</w:t>
            </w:r>
          </w:p>
          <w:p>
            <w:pPr>
              <w:spacing w:after="0" w:line="240" w:lineRule="auto"/>
              <w:rPr>
                <w:rFonts w:ascii="Arial" w:hAnsi="Arial" w:cs="Arial"/>
                <w:sz w:val="21"/>
                <w:szCs w:val="21"/>
              </w:rPr>
            </w:pPr>
            <w:r>
              <w:rPr>
                <w:rFonts w:ascii="Arial" w:hAnsi="Arial" w:cs="Arial"/>
                <w:sz w:val="21"/>
                <w:szCs w:val="21"/>
              </w:rPr>
              <w:t>6. Costs for administrative service of the project by the applying organization and partner organizations</w:t>
            </w:r>
          </w:p>
          <w:p>
            <w:pPr>
              <w:spacing w:after="0" w:line="240" w:lineRule="auto"/>
              <w:rPr>
                <w:rFonts w:ascii="Arial" w:hAnsi="Arial" w:cs="Arial"/>
                <w:sz w:val="21"/>
                <w:szCs w:val="21"/>
              </w:rPr>
            </w:pPr>
            <w:r>
              <w:rPr>
                <w:rFonts w:ascii="Arial" w:hAnsi="Arial" w:cs="Arial"/>
                <w:sz w:val="21"/>
                <w:szCs w:val="21"/>
              </w:rPr>
              <w:t>7. Costs for financial audit of the project</w:t>
            </w:r>
          </w:p>
          <w:p>
            <w:pPr>
              <w:spacing w:after="0" w:line="240" w:lineRule="auto"/>
              <w:jc w:val="both"/>
              <w:rPr>
                <w:rFonts w:ascii="Arial" w:hAnsi="Arial" w:cs="Arial"/>
                <w:sz w:val="21"/>
                <w:szCs w:val="21"/>
              </w:rPr>
            </w:pPr>
            <w:r>
              <w:rPr>
                <w:rFonts w:ascii="Arial" w:hAnsi="Arial" w:cs="Arial"/>
                <w:sz w:val="21"/>
                <w:szCs w:val="21"/>
              </w:rPr>
              <w:t xml:space="preserve">Maximal percentage of the budget apply for each cost category. The direct eligible costs should be justified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Documents required</w:t>
            </w:r>
          </w:p>
        </w:tc>
        <w:tc>
          <w:tcPr>
            <w:tcW w:w="6866" w:type="dxa"/>
          </w:tcPr>
          <w:p>
            <w:pPr>
              <w:spacing w:after="0" w:line="240" w:lineRule="auto"/>
              <w:jc w:val="both"/>
              <w:rPr>
                <w:rFonts w:ascii="Arial" w:hAnsi="Arial" w:cs="Arial"/>
                <w:sz w:val="21"/>
                <w:szCs w:val="21"/>
              </w:rPr>
            </w:pPr>
            <w:r>
              <w:rPr>
                <w:rFonts w:hint="eastAsia" w:ascii="Arial" w:hAnsi="Arial" w:cs="Arial"/>
                <w:sz w:val="21"/>
                <w:szCs w:val="21"/>
                <w:lang w:eastAsia="zh-CN"/>
              </w:rPr>
              <w:t>T</w:t>
            </w:r>
            <w:r>
              <w:rPr>
                <w:rFonts w:ascii="Arial" w:hAnsi="Arial" w:cs="Arial"/>
                <w:sz w:val="21"/>
                <w:szCs w:val="21"/>
              </w:rPr>
              <w:t>he following documents must be submitted to BNSF</w:t>
            </w:r>
            <w:r>
              <w:rPr>
                <w:rFonts w:hint="eastAsia" w:ascii="Arial" w:hAnsi="Arial" w:cs="Arial"/>
                <w:sz w:val="21"/>
                <w:szCs w:val="21"/>
                <w:lang w:eastAsia="zh-CN"/>
              </w:rPr>
              <w:t>:</w:t>
            </w:r>
          </w:p>
          <w:p>
            <w:pPr>
              <w:pStyle w:val="22"/>
              <w:numPr>
                <w:ilvl w:val="0"/>
                <w:numId w:val="6"/>
              </w:numPr>
              <w:spacing w:after="0" w:line="240" w:lineRule="auto"/>
              <w:jc w:val="both"/>
              <w:rPr>
                <w:rFonts w:ascii="Arial" w:hAnsi="Arial" w:cs="Arial"/>
                <w:sz w:val="21"/>
                <w:szCs w:val="21"/>
                <w:lang w:eastAsia="zh-CN"/>
              </w:rPr>
            </w:pPr>
            <w:r>
              <w:rPr>
                <w:rFonts w:ascii="Arial" w:hAnsi="Arial" w:cs="Arial"/>
                <w:sz w:val="21"/>
                <w:szCs w:val="21"/>
                <w:lang w:eastAsia="zh-CN"/>
              </w:rPr>
              <w:t>T</w:t>
            </w:r>
            <w:r>
              <w:rPr>
                <w:rFonts w:hint="eastAsia" w:ascii="Arial" w:hAnsi="Arial" w:cs="Arial"/>
                <w:sz w:val="21"/>
                <w:szCs w:val="21"/>
                <w:lang w:eastAsia="zh-CN"/>
              </w:rPr>
              <w:t xml:space="preserve">he </w:t>
            </w:r>
            <w:r>
              <w:rPr>
                <w:rFonts w:ascii="Arial" w:hAnsi="Arial" w:cs="Arial"/>
                <w:sz w:val="21"/>
                <w:szCs w:val="21"/>
                <w:lang w:eastAsia="zh-CN"/>
              </w:rPr>
              <w:t>JPD</w:t>
            </w:r>
            <w:r>
              <w:rPr>
                <w:rFonts w:ascii="Arial" w:hAnsi="Arial" w:cs="Arial"/>
                <w:sz w:val="21"/>
                <w:szCs w:val="21"/>
              </w:rPr>
              <w:t xml:space="preserve"> (Annex </w:t>
            </w:r>
            <w:r>
              <w:rPr>
                <w:rFonts w:hint="eastAsia" w:ascii="Arial" w:hAnsi="Arial" w:cs="Arial"/>
                <w:sz w:val="21"/>
                <w:szCs w:val="21"/>
                <w:lang w:eastAsia="zh-CN"/>
              </w:rPr>
              <w:t>2</w:t>
            </w:r>
            <w:r>
              <w:rPr>
                <w:rFonts w:ascii="Arial" w:hAnsi="Arial" w:cs="Arial"/>
                <w:sz w:val="21"/>
                <w:szCs w:val="21"/>
              </w:rPr>
              <w:t xml:space="preserve">) in English </w:t>
            </w:r>
            <w:r>
              <w:rPr>
                <w:rFonts w:hint="eastAsia" w:ascii="Arial" w:hAnsi="Arial" w:cs="Arial"/>
                <w:sz w:val="21"/>
                <w:szCs w:val="21"/>
                <w:lang w:eastAsia="zh-CN"/>
              </w:rPr>
              <w:t>jointly prepared</w:t>
            </w:r>
            <w:r>
              <w:rPr>
                <w:rFonts w:ascii="Arial" w:hAnsi="Arial" w:cs="Arial"/>
                <w:sz w:val="21"/>
                <w:szCs w:val="21"/>
                <w:lang w:eastAsia="zh-CN"/>
              </w:rPr>
              <w:t xml:space="preserve"> by all </w:t>
            </w:r>
            <w:r>
              <w:rPr>
                <w:rFonts w:hint="eastAsia" w:ascii="Arial" w:hAnsi="Arial" w:cs="Arial"/>
                <w:sz w:val="21"/>
                <w:szCs w:val="21"/>
                <w:lang w:eastAsia="zh-CN"/>
              </w:rPr>
              <w:t>partners</w:t>
            </w:r>
            <w:r>
              <w:rPr>
                <w:rFonts w:ascii="Arial" w:hAnsi="Arial" w:cs="Arial"/>
                <w:sz w:val="21"/>
                <w:szCs w:val="21"/>
                <w:lang w:eastAsia="zh-CN"/>
              </w:rPr>
              <w:t>.</w:t>
            </w:r>
          </w:p>
          <w:p>
            <w:pPr>
              <w:pStyle w:val="22"/>
              <w:numPr>
                <w:ilvl w:val="0"/>
                <w:numId w:val="6"/>
              </w:numPr>
              <w:spacing w:after="0" w:line="240" w:lineRule="auto"/>
              <w:jc w:val="both"/>
              <w:rPr>
                <w:rFonts w:ascii="Arial" w:hAnsi="Arial" w:cs="Arial"/>
                <w:sz w:val="21"/>
                <w:szCs w:val="21"/>
                <w:lang w:eastAsia="zh-CN"/>
              </w:rPr>
            </w:pPr>
            <w:r>
              <w:rPr>
                <w:rFonts w:ascii="Arial" w:hAnsi="Arial" w:cs="Arial"/>
                <w:sz w:val="21"/>
                <w:szCs w:val="21"/>
                <w:lang w:eastAsia="zh-CN"/>
              </w:rPr>
              <w:t>Addition to the JPD for Bulgarian team</w:t>
            </w:r>
          </w:p>
          <w:p>
            <w:pPr>
              <w:pStyle w:val="22"/>
              <w:numPr>
                <w:ilvl w:val="0"/>
                <w:numId w:val="6"/>
              </w:numPr>
              <w:spacing w:after="0" w:line="240" w:lineRule="auto"/>
              <w:jc w:val="both"/>
              <w:rPr>
                <w:rFonts w:ascii="Arial" w:hAnsi="Arial" w:cs="Arial"/>
                <w:sz w:val="21"/>
                <w:szCs w:val="21"/>
              </w:rPr>
            </w:pPr>
            <w:r>
              <w:rPr>
                <w:rFonts w:ascii="Arial" w:hAnsi="Arial" w:cs="Arial"/>
                <w:sz w:val="21"/>
                <w:szCs w:val="21"/>
                <w:lang w:eastAsia="zh-CN"/>
              </w:rPr>
              <w:t xml:space="preserve">Other documents, described in the </w:t>
            </w:r>
            <w:r>
              <w:rPr>
                <w:rFonts w:ascii="Arial" w:hAnsi="Arial" w:cs="Arial"/>
                <w:sz w:val="21"/>
                <w:szCs w:val="21"/>
              </w:rPr>
              <w:t>General Guidelines for Bilateral Calls of BNSF and the Specific Guidelines for this call</w:t>
            </w:r>
            <w:r>
              <w:rPr>
                <w:rFonts w:hint="eastAsia" w:ascii="Arial" w:hAnsi="Arial" w:cs="Arial"/>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Submission process</w:t>
            </w:r>
          </w:p>
        </w:tc>
        <w:tc>
          <w:tcPr>
            <w:tcW w:w="6866" w:type="dxa"/>
          </w:tcPr>
          <w:p>
            <w:pPr>
              <w:spacing w:after="0" w:line="240" w:lineRule="auto"/>
              <w:jc w:val="both"/>
              <w:rPr>
                <w:rFonts w:ascii="Arial" w:hAnsi="Arial" w:cs="Arial"/>
                <w:sz w:val="21"/>
                <w:szCs w:val="21"/>
                <w:lang w:eastAsia="zh-CN"/>
              </w:rPr>
            </w:pPr>
            <w:r>
              <w:rPr>
                <w:rFonts w:ascii="Arial" w:hAnsi="Arial" w:cs="Arial"/>
                <w:sz w:val="21"/>
                <w:szCs w:val="21"/>
              </w:rPr>
              <w:t>The submission procedure is described in the Specific Guidelines for this call.</w:t>
            </w:r>
            <w:r>
              <w:rPr>
                <w:rFonts w:hint="eastAsia" w:ascii="Arial" w:hAnsi="Arial" w:cs="Arial"/>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Assessment</w:t>
            </w:r>
          </w:p>
        </w:tc>
        <w:tc>
          <w:tcPr>
            <w:tcW w:w="6866" w:type="dxa"/>
          </w:tcPr>
          <w:p>
            <w:pPr>
              <w:spacing w:after="0" w:line="240" w:lineRule="auto"/>
              <w:jc w:val="both"/>
              <w:rPr>
                <w:rFonts w:ascii="Arial" w:hAnsi="Arial" w:cs="Arial"/>
                <w:sz w:val="21"/>
                <w:szCs w:val="21"/>
                <w:lang w:eastAsia="zh-CN"/>
              </w:rPr>
            </w:pPr>
            <w:r>
              <w:rPr>
                <w:rFonts w:ascii="Arial" w:hAnsi="Arial" w:cs="Arial"/>
                <w:sz w:val="21"/>
                <w:szCs w:val="21"/>
                <w:lang w:eastAsia="zh-CN"/>
              </w:rPr>
              <w:t>T</w:t>
            </w:r>
            <w:r>
              <w:rPr>
                <w:rFonts w:hint="eastAsia" w:ascii="Arial" w:hAnsi="Arial" w:cs="Arial"/>
                <w:sz w:val="21"/>
                <w:szCs w:val="21"/>
                <w:lang w:eastAsia="zh-CN"/>
              </w:rPr>
              <w:t xml:space="preserve">here will a two stage </w:t>
            </w:r>
            <w:r>
              <w:rPr>
                <w:rFonts w:ascii="Arial" w:hAnsi="Arial" w:cs="Arial"/>
                <w:sz w:val="21"/>
                <w:szCs w:val="21"/>
                <w:lang w:eastAsia="zh-CN"/>
              </w:rPr>
              <w:t>evaluation</w:t>
            </w:r>
            <w:r>
              <w:rPr>
                <w:rFonts w:hint="eastAsia" w:ascii="Arial" w:hAnsi="Arial" w:cs="Arial"/>
                <w:sz w:val="21"/>
                <w:szCs w:val="21"/>
                <w:lang w:eastAsia="zh-CN"/>
              </w:rPr>
              <w:t xml:space="preserve"> process. </w:t>
            </w:r>
          </w:p>
          <w:p>
            <w:pPr>
              <w:spacing w:after="0" w:line="240" w:lineRule="auto"/>
              <w:jc w:val="both"/>
              <w:rPr>
                <w:rFonts w:ascii="Arial" w:hAnsi="Arial" w:cs="Arial"/>
                <w:sz w:val="21"/>
                <w:szCs w:val="21"/>
                <w:lang w:eastAsia="zh-CN"/>
              </w:rPr>
            </w:pPr>
            <w:r>
              <w:rPr>
                <w:rFonts w:ascii="Arial" w:hAnsi="Arial" w:cs="Arial"/>
                <w:sz w:val="21"/>
                <w:szCs w:val="21"/>
                <w:lang w:eastAsia="zh-CN"/>
              </w:rPr>
              <w:t>A</w:t>
            </w:r>
            <w:r>
              <w:rPr>
                <w:rFonts w:hint="eastAsia" w:ascii="Arial" w:hAnsi="Arial" w:cs="Arial"/>
                <w:sz w:val="21"/>
                <w:szCs w:val="21"/>
                <w:lang w:eastAsia="zh-CN"/>
              </w:rPr>
              <w:t xml:space="preserve">t the first stage, each proposal will be reviewed </w:t>
            </w:r>
            <w:r>
              <w:rPr>
                <w:rFonts w:ascii="Arial" w:hAnsi="Arial" w:cs="Arial"/>
                <w:sz w:val="21"/>
                <w:szCs w:val="21"/>
                <w:lang w:eastAsia="zh-CN"/>
              </w:rPr>
              <w:t>according to national procedure for evaluation</w:t>
            </w:r>
            <w:r>
              <w:rPr>
                <w:rFonts w:hint="eastAsia" w:ascii="Arial" w:hAnsi="Arial" w:cs="Arial"/>
                <w:sz w:val="21"/>
                <w:szCs w:val="21"/>
                <w:lang w:eastAsia="zh-CN"/>
              </w:rPr>
              <w:t xml:space="preserve">. </w:t>
            </w:r>
          </w:p>
          <w:p>
            <w:pPr>
              <w:spacing w:after="0" w:line="240" w:lineRule="auto"/>
              <w:jc w:val="both"/>
              <w:rPr>
                <w:rFonts w:ascii="Arial" w:hAnsi="Arial" w:cs="Arial"/>
                <w:sz w:val="21"/>
                <w:szCs w:val="21"/>
                <w:lang w:eastAsia="zh-CN"/>
              </w:rPr>
            </w:pPr>
            <w:r>
              <w:rPr>
                <w:rFonts w:ascii="Arial" w:hAnsi="Arial" w:cs="Arial"/>
                <w:sz w:val="21"/>
                <w:szCs w:val="21"/>
                <w:lang w:eastAsia="zh-CN"/>
              </w:rPr>
              <w:t>A</w:t>
            </w:r>
            <w:r>
              <w:rPr>
                <w:rFonts w:hint="eastAsia" w:ascii="Arial" w:hAnsi="Arial" w:cs="Arial"/>
                <w:sz w:val="21"/>
                <w:szCs w:val="21"/>
                <w:lang w:eastAsia="zh-CN"/>
              </w:rPr>
              <w:t xml:space="preserve">t the second stage, a joint panel will develop a final ranking list of all proposals based on the </w:t>
            </w:r>
            <w:r>
              <w:rPr>
                <w:rFonts w:ascii="Arial" w:hAnsi="Arial" w:cs="Arial"/>
                <w:sz w:val="21"/>
                <w:szCs w:val="21"/>
                <w:lang w:eastAsia="zh-CN"/>
              </w:rPr>
              <w:t>evaluation results</w:t>
            </w:r>
            <w:r>
              <w:rPr>
                <w:rFonts w:hint="eastAsia" w:ascii="Arial" w:hAnsi="Arial" w:cs="Arial"/>
                <w:sz w:val="21"/>
                <w:szCs w:val="21"/>
                <w:lang w:eastAsia="zh-CN"/>
              </w:rPr>
              <w:t xml:space="preserve"> of all funding agencies.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Contact</w:t>
            </w:r>
          </w:p>
        </w:tc>
        <w:tc>
          <w:tcPr>
            <w:tcW w:w="6866" w:type="dxa"/>
          </w:tcPr>
          <w:p>
            <w:pPr>
              <w:spacing w:after="0" w:line="240" w:lineRule="auto"/>
              <w:jc w:val="both"/>
              <w:rPr>
                <w:rFonts w:ascii="Arial" w:hAnsi="Arial" w:cs="Arial"/>
                <w:lang w:eastAsia="zh-CN"/>
              </w:rPr>
            </w:pPr>
            <w:r>
              <w:rPr>
                <w:rFonts w:ascii="Arial" w:hAnsi="Arial" w:cs="Arial"/>
                <w:lang w:eastAsia="zh-CN"/>
              </w:rPr>
              <w:t>Mrs. Lyubomira Hristova</w:t>
            </w:r>
          </w:p>
          <w:p>
            <w:pPr>
              <w:spacing w:after="0" w:line="240" w:lineRule="auto"/>
              <w:jc w:val="both"/>
              <w:rPr>
                <w:rFonts w:ascii="Arial" w:hAnsi="Arial" w:cs="Arial"/>
                <w:lang w:eastAsia="zh-CN"/>
              </w:rPr>
            </w:pPr>
            <w:r>
              <w:rPr>
                <w:rFonts w:ascii="Arial" w:hAnsi="Arial" w:cs="Arial"/>
                <w:lang w:eastAsia="zh-CN"/>
              </w:rPr>
              <w:t>e-mail:</w:t>
            </w:r>
            <w:r>
              <w:rPr>
                <w:rFonts w:ascii="Calibri" w:hAnsi="Calibri"/>
                <w:color w:val="000000"/>
                <w:shd w:val="clear" w:color="auto" w:fill="FFFFFF"/>
              </w:rPr>
              <w:t xml:space="preserve"> l.gyneva@mon.bg,</w:t>
            </w:r>
          </w:p>
          <w:p>
            <w:pPr>
              <w:spacing w:after="0" w:line="240" w:lineRule="auto"/>
              <w:jc w:val="both"/>
              <w:rPr>
                <w:rFonts w:ascii="Arial" w:hAnsi="Arial" w:cs="Arial"/>
                <w:sz w:val="21"/>
                <w:szCs w:val="21"/>
                <w:lang w:eastAsia="zh-CN"/>
              </w:rPr>
            </w:pPr>
            <w:r>
              <w:rPr>
                <w:rFonts w:ascii="Arial" w:hAnsi="Arial" w:cs="Arial"/>
                <w:lang w:eastAsia="zh-CN"/>
              </w:rPr>
              <w:t>Telephone: +359 884 222 393</w:t>
            </w:r>
          </w:p>
        </w:tc>
      </w:tr>
    </w:tbl>
    <w:p>
      <w:pPr>
        <w:spacing w:line="240" w:lineRule="auto"/>
      </w:pPr>
    </w:p>
    <w:p>
      <w:pPr>
        <w:rPr>
          <w:rFonts w:ascii="Arial" w:hAnsi="Arial" w:cs="Arial"/>
          <w:b/>
        </w:rPr>
      </w:pPr>
      <w:r>
        <w:rPr>
          <w:rFonts w:ascii="Arial" w:hAnsi="Arial" w:cs="Arial"/>
          <w:b/>
        </w:rPr>
        <w:br w:type="page"/>
      </w:r>
    </w:p>
    <w:p>
      <w:pPr>
        <w:spacing w:after="0"/>
        <w:jc w:val="center"/>
        <w:rPr>
          <w:rFonts w:ascii="Arial" w:hAnsi="Arial" w:cs="Arial"/>
          <w:b/>
        </w:rPr>
      </w:pPr>
      <w:r>
        <w:rPr>
          <w:rFonts w:ascii="Arial" w:hAnsi="Arial" w:cs="Arial"/>
          <w:b/>
        </w:rPr>
        <w:t>Additional guidance for Belarusian applicants</w:t>
      </w:r>
    </w:p>
    <w:p>
      <w:pPr>
        <w:spacing w:after="0"/>
        <w:jc w:val="both"/>
        <w:rPr>
          <w:rFonts w:ascii="Arial" w:hAnsi="Arial" w:cs="Arial"/>
          <w:b/>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eastAsia="Calibri" w:cs="Arial"/>
                <w:b/>
              </w:rPr>
            </w:pPr>
            <w:r>
              <w:rPr>
                <w:rFonts w:ascii="Arial" w:hAnsi="Arial" w:eastAsia="Calibri" w:cs="Arial"/>
                <w:b/>
              </w:rPr>
              <w:t>Funding Agency</w:t>
            </w:r>
          </w:p>
        </w:tc>
        <w:tc>
          <w:tcPr>
            <w:tcW w:w="681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Arial"/>
              </w:rPr>
            </w:pPr>
            <w:r>
              <w:rPr>
                <w:rFonts w:ascii="Arial" w:hAnsi="Arial" w:eastAsia="Calibri" w:cs="Arial"/>
              </w:rPr>
              <w:t>The Belarusian Republican Foundation for Fundamental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eastAsia="Calibri" w:cs="Arial"/>
                <w:b/>
              </w:rPr>
            </w:pPr>
            <w:r>
              <w:rPr>
                <w:rFonts w:ascii="Arial" w:hAnsi="Arial" w:eastAsia="Calibri" w:cs="Arial"/>
                <w:b/>
              </w:rPr>
              <w:t>Eligibility</w:t>
            </w:r>
          </w:p>
        </w:tc>
        <w:tc>
          <w:tcPr>
            <w:tcW w:w="681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Arial"/>
              </w:rPr>
            </w:pPr>
            <w:r>
              <w:rPr>
                <w:rFonts w:ascii="Arial" w:hAnsi="Arial" w:eastAsia="Calibri" w:cs="Arial"/>
              </w:rPr>
              <w:t xml:space="preserve">The Belarusian participant submits a national application to the BRFFR in accordance with the accepted rules described in guidelines </w:t>
            </w:r>
            <w:r>
              <w:rPr>
                <w:rFonts w:ascii="Arial" w:hAnsi="Arial" w:eastAsia="Calibri" w:cs="Arial"/>
                <w:lang w:val="en-US"/>
              </w:rPr>
              <w:t>“</w:t>
            </w:r>
            <w:r>
              <w:rPr>
                <w:rFonts w:ascii="Arial" w:hAnsi="Arial" w:eastAsia="Calibri" w:cs="Arial"/>
              </w:rPr>
              <w:t xml:space="preserve">Call requirements” (in Russian).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eastAsia="Calibri" w:cs="Arial"/>
                <w:b/>
              </w:rPr>
            </w:pPr>
            <w:r>
              <w:rPr>
                <w:rFonts w:ascii="Arial" w:hAnsi="Arial" w:eastAsia="Calibri" w:cs="Arial"/>
                <w:b/>
              </w:rPr>
              <w:t>Budget</w:t>
            </w:r>
          </w:p>
        </w:tc>
        <w:tc>
          <w:tcPr>
            <w:tcW w:w="6814" w:type="dxa"/>
            <w:tcBorders>
              <w:top w:val="single" w:color="auto" w:sz="4" w:space="0"/>
              <w:left w:val="single" w:color="auto" w:sz="4" w:space="0"/>
              <w:bottom w:val="single" w:color="auto" w:sz="4" w:space="0"/>
              <w:right w:val="single" w:color="auto" w:sz="4" w:space="0"/>
            </w:tcBorders>
          </w:tcPr>
          <w:p>
            <w:pPr>
              <w:spacing w:after="60" w:line="240" w:lineRule="auto"/>
              <w:contextualSpacing/>
              <w:jc w:val="both"/>
              <w:rPr>
                <w:rFonts w:ascii="Arial" w:hAnsi="Arial" w:eastAsia="Calibri" w:cs="Arial"/>
              </w:rPr>
            </w:pPr>
            <w:r>
              <w:rPr>
                <w:rFonts w:ascii="Arial" w:hAnsi="Arial" w:eastAsia="Calibri" w:cs="Arial"/>
                <w:lang w:val="en-US"/>
              </w:rPr>
              <w:t xml:space="preserve">Up to </w:t>
            </w:r>
            <w:r>
              <w:rPr>
                <w:rFonts w:ascii="Arial" w:hAnsi="Arial" w:eastAsia="Calibri" w:cs="Arial"/>
              </w:rPr>
              <w:t>50,000 $ for each project</w:t>
            </w:r>
            <w:r>
              <w:rPr>
                <w:rFonts w:ascii="Arial" w:hAnsi="Arial" w:eastAsia="Calibri" w:cs="Arial"/>
                <w:lang w:eastAsia="zh-CN"/>
              </w:rPr>
              <w:t xml:space="preserve"> of 24 months.</w:t>
            </w:r>
          </w:p>
          <w:p>
            <w:pPr>
              <w:spacing w:after="60" w:line="240" w:lineRule="auto"/>
              <w:contextualSpacing/>
              <w:jc w:val="both"/>
              <w:rPr>
                <w:rFonts w:ascii="Arial" w:hAnsi="Arial" w:eastAsia="Calibri" w:cs="Arial"/>
              </w:rPr>
            </w:pPr>
            <w:r>
              <w:rPr>
                <w:rFonts w:ascii="Arial" w:hAnsi="Arial" w:eastAsia="Calibri" w:cs="Arial"/>
              </w:rPr>
              <w:t>120,000 Belarusian rubles (BYN)/project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eastAsia="Calibri" w:cs="Arial"/>
                <w:b/>
              </w:rPr>
            </w:pPr>
            <w:r>
              <w:rPr>
                <w:rFonts w:ascii="Arial" w:hAnsi="Arial" w:eastAsia="Calibri" w:cs="Arial"/>
                <w:b/>
              </w:rPr>
              <w:t>Eligible costs</w:t>
            </w:r>
          </w:p>
        </w:tc>
        <w:tc>
          <w:tcPr>
            <w:tcW w:w="681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Arial"/>
                <w:lang w:val="en-US" w:eastAsia="zh-CN"/>
              </w:rPr>
            </w:pPr>
            <w:r>
              <w:rPr>
                <w:rFonts w:ascii="Arial" w:hAnsi="Arial" w:eastAsia="Calibri" w:cs="Arial"/>
                <w:lang w:val="en-US" w:eastAsia="zh-CN"/>
              </w:rPr>
              <w:t>1. Salary of scientific and technical personnel</w:t>
            </w:r>
          </w:p>
          <w:p>
            <w:pPr>
              <w:spacing w:after="0" w:line="240" w:lineRule="auto"/>
              <w:jc w:val="both"/>
              <w:rPr>
                <w:rFonts w:ascii="Arial" w:hAnsi="Arial" w:eastAsia="Calibri" w:cs="Arial"/>
                <w:lang w:val="en-US" w:eastAsia="zh-CN"/>
              </w:rPr>
            </w:pPr>
            <w:r>
              <w:rPr>
                <w:rFonts w:ascii="Arial" w:hAnsi="Arial" w:eastAsia="Calibri" w:cs="Arial"/>
                <w:lang w:val="en-US" w:eastAsia="zh-CN"/>
              </w:rPr>
              <w:t>2. Fiscal charge to the budget and State Insurance Company from labor remuneration funds</w:t>
            </w:r>
          </w:p>
          <w:p>
            <w:pPr>
              <w:spacing w:after="0" w:line="240" w:lineRule="auto"/>
              <w:jc w:val="both"/>
              <w:rPr>
                <w:rFonts w:ascii="Arial" w:hAnsi="Arial" w:eastAsia="Calibri" w:cs="Arial"/>
                <w:lang w:val="en-US" w:eastAsia="zh-CN"/>
              </w:rPr>
            </w:pPr>
            <w:r>
              <w:rPr>
                <w:rFonts w:ascii="Arial" w:hAnsi="Arial" w:eastAsia="Calibri" w:cs="Arial"/>
                <w:lang w:val="en-US" w:eastAsia="zh-CN"/>
              </w:rPr>
              <w:t>3. Travel costs</w:t>
            </w:r>
          </w:p>
          <w:p>
            <w:pPr>
              <w:spacing w:after="0" w:line="240" w:lineRule="auto"/>
              <w:jc w:val="both"/>
              <w:rPr>
                <w:rFonts w:ascii="Arial" w:hAnsi="Arial" w:eastAsia="Calibri" w:cs="Arial"/>
                <w:lang w:val="en-US" w:eastAsia="zh-CN"/>
              </w:rPr>
            </w:pPr>
            <w:r>
              <w:rPr>
                <w:rFonts w:ascii="Arial" w:hAnsi="Arial" w:eastAsia="Calibri" w:cs="Arial"/>
                <w:lang w:val="en-US" w:eastAsia="zh-CN"/>
              </w:rPr>
              <w:t>4. Costs for materials, purchased semi-finished products and components</w:t>
            </w:r>
          </w:p>
          <w:p>
            <w:pPr>
              <w:spacing w:after="0" w:line="240" w:lineRule="auto"/>
              <w:jc w:val="both"/>
              <w:rPr>
                <w:rFonts w:ascii="Arial" w:hAnsi="Arial" w:eastAsia="Calibri" w:cs="Arial"/>
                <w:lang w:val="en-US" w:eastAsia="zh-CN"/>
              </w:rPr>
            </w:pPr>
            <w:r>
              <w:rPr>
                <w:rFonts w:ascii="Arial" w:hAnsi="Arial" w:eastAsia="Calibri" w:cs="Arial"/>
                <w:lang w:val="en-US" w:eastAsia="zh-CN"/>
              </w:rPr>
              <w:t>5. Direct costs (for external services, directly connected with the implementation of the project)</w:t>
            </w:r>
          </w:p>
          <w:p>
            <w:pPr>
              <w:spacing w:after="0" w:line="240" w:lineRule="auto"/>
              <w:jc w:val="both"/>
              <w:rPr>
                <w:rFonts w:ascii="Arial" w:hAnsi="Arial" w:eastAsia="Calibri" w:cs="Arial"/>
              </w:rPr>
            </w:pPr>
            <w:r>
              <w:rPr>
                <w:rFonts w:ascii="Arial" w:hAnsi="Arial" w:eastAsia="Calibri" w:cs="Arial"/>
                <w:lang w:val="en-US" w:eastAsia="zh-CN"/>
              </w:rPr>
              <w:t>6. Indirect costs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eastAsia="Calibri" w:cs="Arial"/>
                <w:b/>
              </w:rPr>
            </w:pPr>
            <w:r>
              <w:rPr>
                <w:rFonts w:ascii="Arial" w:hAnsi="Arial" w:eastAsia="Calibri" w:cs="Arial"/>
                <w:b/>
              </w:rPr>
              <w:t>Documents required</w:t>
            </w:r>
          </w:p>
        </w:tc>
        <w:tc>
          <w:tcPr>
            <w:tcW w:w="681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Arial"/>
              </w:rPr>
            </w:pPr>
            <w:r>
              <w:rPr>
                <w:rFonts w:ascii="Arial" w:hAnsi="Arial" w:eastAsia="Calibri" w:cs="Arial"/>
              </w:rPr>
              <w:t>An application is prepared in accordance with certain requirements (including project description, CV, estimates and other) and submitted through AIS “BRFFR” in Russian (Belarusian).</w:t>
            </w:r>
          </w:p>
          <w:p>
            <w:pPr>
              <w:spacing w:after="0" w:line="240" w:lineRule="auto"/>
              <w:jc w:val="both"/>
              <w:rPr>
                <w:rFonts w:ascii="Arial" w:hAnsi="Arial"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eastAsia="Calibri" w:cs="Arial"/>
                <w:b/>
              </w:rPr>
            </w:pPr>
            <w:r>
              <w:rPr>
                <w:rFonts w:ascii="Arial" w:hAnsi="Arial" w:eastAsia="Calibri" w:cs="Arial"/>
                <w:b/>
              </w:rPr>
              <w:t>Submission process</w:t>
            </w:r>
          </w:p>
        </w:tc>
        <w:tc>
          <w:tcPr>
            <w:tcW w:w="6814" w:type="dxa"/>
            <w:tcBorders>
              <w:top w:val="single" w:color="auto" w:sz="4" w:space="0"/>
              <w:left w:val="single" w:color="auto" w:sz="4" w:space="0"/>
              <w:bottom w:val="single" w:color="auto" w:sz="4" w:space="0"/>
              <w:right w:val="single" w:color="auto" w:sz="4" w:space="0"/>
            </w:tcBorders>
          </w:tcPr>
          <w:p>
            <w:pPr>
              <w:spacing w:after="0" w:line="240" w:lineRule="auto"/>
              <w:rPr>
                <w:rFonts w:ascii="Arial" w:hAnsi="Arial" w:eastAsia="Calibri" w:cs="Arial"/>
              </w:rPr>
            </w:pPr>
            <w:r>
              <w:rPr>
                <w:rFonts w:ascii="Arial" w:hAnsi="Arial" w:eastAsia="Calibri" w:cs="Arial"/>
              </w:rPr>
              <w:t xml:space="preserve">After submitting all necessary information to the NSFC from the Belarusian side and confirming </w:t>
            </w:r>
            <w:r>
              <w:rPr>
                <w:rFonts w:ascii="Arial" w:hAnsi="Arial" w:eastAsia="Calibri" w:cs="Arial"/>
                <w:lang w:eastAsia="zh-CN"/>
              </w:rPr>
              <w:t>all attachments in the ISISN system</w:t>
            </w:r>
            <w:r>
              <w:rPr>
                <w:rFonts w:ascii="Arial" w:hAnsi="Arial" w:eastAsia="Calibri" w:cs="Arial"/>
              </w:rPr>
              <w:t xml:space="preserve"> by the Chinese Principal Investigator the Belarusian applicant will  submit a national proposal through the supporting scientific organisation. The applicant must prepare both an electronic form and a hard copy of a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eastAsia="Calibri" w:cs="Arial"/>
                <w:b/>
              </w:rPr>
            </w:pPr>
            <w:r>
              <w:rPr>
                <w:rFonts w:ascii="Arial" w:hAnsi="Arial" w:eastAsia="Calibri" w:cs="Arial"/>
                <w:b/>
              </w:rPr>
              <w:t>Assessment</w:t>
            </w:r>
          </w:p>
        </w:tc>
        <w:tc>
          <w:tcPr>
            <w:tcW w:w="681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Arial"/>
                <w:lang w:eastAsia="zh-CN"/>
              </w:rPr>
            </w:pPr>
            <w:r>
              <w:rPr>
                <w:rFonts w:ascii="Arial" w:hAnsi="Arial" w:eastAsia="Calibri" w:cs="Arial"/>
                <w:lang w:eastAsia="zh-CN"/>
              </w:rPr>
              <w:t xml:space="preserve">There will be two-stage evaluation process. </w:t>
            </w:r>
          </w:p>
          <w:p>
            <w:pPr>
              <w:spacing w:after="0" w:line="240" w:lineRule="auto"/>
              <w:jc w:val="both"/>
              <w:rPr>
                <w:rFonts w:ascii="Arial" w:hAnsi="Arial" w:eastAsia="Calibri" w:cs="Arial"/>
                <w:lang w:eastAsia="zh-CN"/>
              </w:rPr>
            </w:pPr>
            <w:r>
              <w:rPr>
                <w:rFonts w:ascii="Arial" w:hAnsi="Arial" w:eastAsia="Calibri" w:cs="Arial"/>
                <w:lang w:eastAsia="zh-CN"/>
              </w:rPr>
              <w:t xml:space="preserve">At the first stage, each proposal will be reviewed according to a national procedure for evaluation. </w:t>
            </w:r>
          </w:p>
          <w:p>
            <w:pPr>
              <w:spacing w:after="0" w:line="240" w:lineRule="auto"/>
              <w:jc w:val="both"/>
              <w:rPr>
                <w:rFonts w:ascii="Arial" w:hAnsi="Arial" w:eastAsia="Calibri" w:cs="Arial"/>
              </w:rPr>
            </w:pPr>
            <w:r>
              <w:rPr>
                <w:rFonts w:ascii="Arial" w:hAnsi="Arial" w:eastAsia="Calibri" w:cs="Arial"/>
                <w:lang w:eastAsia="zh-CN"/>
              </w:rPr>
              <w:t xml:space="preserve">At the second stage, a joint panel will develop a final ranking list of all proposals based on the evaluation results of all funding agencies.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eastAsia="Calibri" w:cs="Arial"/>
                <w:b/>
              </w:rPr>
            </w:pPr>
            <w:r>
              <w:rPr>
                <w:rFonts w:ascii="Arial" w:hAnsi="Arial" w:eastAsia="Calibri" w:cs="Arial"/>
                <w:b/>
              </w:rPr>
              <w:t>Contacts</w:t>
            </w:r>
          </w:p>
        </w:tc>
        <w:tc>
          <w:tcPr>
            <w:tcW w:w="6814" w:type="dxa"/>
            <w:tcBorders>
              <w:top w:val="single" w:color="auto" w:sz="4" w:space="0"/>
              <w:left w:val="single" w:color="auto" w:sz="4" w:space="0"/>
              <w:bottom w:val="single" w:color="auto" w:sz="4" w:space="0"/>
              <w:right w:val="single" w:color="auto" w:sz="4" w:space="0"/>
            </w:tcBorders>
          </w:tcPr>
          <w:p>
            <w:pPr>
              <w:pStyle w:val="34"/>
              <w:jc w:val="both"/>
              <w:rPr>
                <w:rFonts w:ascii="Arial" w:hAnsi="Arial" w:eastAsia="Calibri" w:cs="Arial"/>
                <w:sz w:val="22"/>
                <w:szCs w:val="22"/>
                <w:lang w:val="en-US"/>
              </w:rPr>
            </w:pPr>
            <w:r>
              <w:rPr>
                <w:rFonts w:ascii="Arial" w:hAnsi="Arial" w:eastAsia="Calibri" w:cs="Arial"/>
                <w:sz w:val="22"/>
                <w:szCs w:val="22"/>
                <w:lang w:val="en-US"/>
              </w:rPr>
              <w:t>Dr. Elena Titova</w:t>
            </w:r>
          </w:p>
          <w:p>
            <w:pPr>
              <w:autoSpaceDE w:val="0"/>
              <w:autoSpaceDN w:val="0"/>
              <w:adjustRightInd w:val="0"/>
              <w:spacing w:after="0" w:line="240" w:lineRule="auto"/>
              <w:rPr>
                <w:rFonts w:ascii="Calibri" w:hAnsi="Calibri" w:cs="Times New Roman" w:eastAsiaTheme="minorHAnsi"/>
                <w:color w:val="000000"/>
                <w:lang w:val="en-US"/>
              </w:rPr>
            </w:pPr>
            <w:r>
              <w:rPr>
                <w:rFonts w:ascii="Arial" w:hAnsi="Arial" w:eastAsia="Calibri" w:cs="Arial"/>
                <w:lang w:eastAsia="zh-CN"/>
              </w:rPr>
              <w:t>Em</w:t>
            </w:r>
            <w:r>
              <w:rPr>
                <w:rFonts w:ascii="Arial" w:hAnsi="Arial" w:cs="Arial" w:eastAsiaTheme="minorHAnsi"/>
                <w:color w:val="000000"/>
                <w:lang w:val="en-US"/>
              </w:rPr>
              <w:t xml:space="preserve">ail: </w:t>
            </w:r>
            <w:r>
              <w:fldChar w:fldCharType="begin"/>
            </w:r>
            <w:r>
              <w:instrText xml:space="preserve"> HYPERLINK "mailto:fond@it.org.by" </w:instrText>
            </w:r>
            <w:r>
              <w:fldChar w:fldCharType="separate"/>
            </w:r>
            <w:r>
              <w:rPr>
                <w:rFonts w:ascii="Calibri" w:hAnsi="Calibri" w:cs="Times New Roman" w:eastAsiaTheme="minorHAnsi"/>
                <w:color w:val="000000"/>
                <w:lang w:val="en-US"/>
              </w:rPr>
              <w:t>fond@it.org.by</w:t>
            </w:r>
            <w:r>
              <w:rPr>
                <w:rFonts w:ascii="Calibri" w:hAnsi="Calibri" w:cs="Times New Roman" w:eastAsiaTheme="minorHAnsi"/>
                <w:color w:val="000000"/>
                <w:lang w:val="en-US"/>
              </w:rPr>
              <w:fldChar w:fldCharType="end"/>
            </w:r>
            <w:r>
              <w:rPr>
                <w:rFonts w:ascii="Calibri" w:hAnsi="Calibri" w:cs="Times New Roman" w:eastAsiaTheme="minorHAnsi"/>
                <w:color w:val="000000"/>
                <w:lang w:val="en-US"/>
              </w:rPr>
              <w:t xml:space="preserve">  </w:t>
            </w:r>
          </w:p>
          <w:p>
            <w:pPr>
              <w:autoSpaceDE w:val="0"/>
              <w:autoSpaceDN w:val="0"/>
              <w:adjustRightInd w:val="0"/>
              <w:spacing w:after="0" w:line="240" w:lineRule="auto"/>
              <w:rPr>
                <w:rFonts w:ascii="Arial" w:hAnsi="Arial" w:cs="Arial" w:eastAsiaTheme="minorHAnsi"/>
                <w:color w:val="000000"/>
                <w:lang w:val="en-US"/>
              </w:rPr>
            </w:pPr>
            <w:r>
              <w:rPr>
                <w:rFonts w:ascii="Arial" w:hAnsi="Arial" w:cs="Arial" w:eastAsiaTheme="minorHAnsi"/>
                <w:color w:val="000000"/>
                <w:lang w:val="en-US"/>
              </w:rPr>
              <w:t>e_titova@fond.bas-net.by</w:t>
            </w:r>
          </w:p>
          <w:p>
            <w:pPr>
              <w:autoSpaceDE w:val="0"/>
              <w:autoSpaceDN w:val="0"/>
              <w:adjustRightInd w:val="0"/>
              <w:spacing w:after="0" w:line="240" w:lineRule="auto"/>
              <w:rPr>
                <w:rFonts w:hint="eastAsia" w:ascii="Arial" w:hAnsi="Arial" w:cs="Arial" w:eastAsiaTheme="minorEastAsia"/>
                <w:color w:val="000000"/>
                <w:lang w:val="en-US" w:eastAsia="zh-CN"/>
              </w:rPr>
            </w:pPr>
            <w:r>
              <w:rPr>
                <w:rFonts w:ascii="Arial" w:hAnsi="Arial" w:cs="Arial" w:eastAsiaTheme="minorHAnsi"/>
                <w:color w:val="000000"/>
                <w:lang w:val="en-US"/>
              </w:rPr>
              <w:t>Telephone:+375 17 294 92 17</w:t>
            </w:r>
          </w:p>
          <w:p>
            <w:pPr>
              <w:autoSpaceDE w:val="0"/>
              <w:autoSpaceDN w:val="0"/>
              <w:adjustRightInd w:val="0"/>
              <w:spacing w:after="0" w:line="240" w:lineRule="auto"/>
              <w:rPr>
                <w:rFonts w:hint="eastAsia" w:ascii="Arial" w:hAnsi="Arial" w:cs="Arial" w:eastAsiaTheme="minorEastAsia"/>
                <w:color w:val="000000"/>
                <w:lang w:val="en-US" w:eastAsia="zh-CN"/>
              </w:rPr>
            </w:pPr>
          </w:p>
          <w:p>
            <w:pPr>
              <w:autoSpaceDE w:val="0"/>
              <w:autoSpaceDN w:val="0"/>
              <w:adjustRightInd w:val="0"/>
              <w:spacing w:after="0" w:line="240" w:lineRule="auto"/>
              <w:rPr>
                <w:rFonts w:ascii="Arial" w:hAnsi="Arial" w:cs="Arial" w:eastAsiaTheme="minorHAnsi"/>
                <w:color w:val="000000"/>
                <w:lang w:val="en-US"/>
              </w:rPr>
            </w:pPr>
            <w:r>
              <w:rPr>
                <w:rFonts w:ascii="Arial" w:hAnsi="Arial" w:cs="Arial" w:eastAsiaTheme="minorHAnsi"/>
                <w:color w:val="000000"/>
                <w:lang w:val="en-US"/>
              </w:rPr>
              <w:t>Ms. Katerina Grigorieva</w:t>
            </w:r>
          </w:p>
          <w:p>
            <w:pPr>
              <w:autoSpaceDE w:val="0"/>
              <w:autoSpaceDN w:val="0"/>
              <w:adjustRightInd w:val="0"/>
              <w:spacing w:after="0" w:line="240" w:lineRule="auto"/>
              <w:rPr>
                <w:rFonts w:hint="eastAsia" w:ascii="Calibri" w:hAnsi="Calibri" w:cs="Times New Roman" w:eastAsiaTheme="minorHAnsi"/>
                <w:color w:val="000000"/>
                <w:lang w:val="en-US"/>
              </w:rPr>
            </w:pPr>
            <w:r>
              <w:rPr>
                <w:rFonts w:ascii="Arial" w:hAnsi="Arial" w:cs="Arial" w:eastAsiaTheme="minorHAnsi"/>
                <w:color w:val="000000"/>
                <w:lang w:val="en-US"/>
              </w:rPr>
              <w:t xml:space="preserve">Email: </w:t>
            </w:r>
            <w:r>
              <w:fldChar w:fldCharType="begin"/>
            </w:r>
            <w:r>
              <w:instrText xml:space="preserve"> HYPERLINK "mailto:fond@it.org.by" </w:instrText>
            </w:r>
            <w:r>
              <w:fldChar w:fldCharType="separate"/>
            </w:r>
            <w:r>
              <w:rPr>
                <w:rFonts w:ascii="Calibri" w:hAnsi="Calibri" w:cs="Times New Roman" w:eastAsiaTheme="minorHAnsi"/>
                <w:color w:val="000000"/>
                <w:lang w:val="en-US"/>
              </w:rPr>
              <w:t>fond@it.org.by</w:t>
            </w:r>
            <w:r>
              <w:rPr>
                <w:rFonts w:ascii="Calibri" w:hAnsi="Calibri" w:cs="Times New Roman" w:eastAsiaTheme="minorHAnsi"/>
                <w:color w:val="000000"/>
                <w:lang w:val="en-US"/>
              </w:rPr>
              <w:fldChar w:fldCharType="end"/>
            </w:r>
          </w:p>
          <w:p>
            <w:pPr>
              <w:autoSpaceDE w:val="0"/>
              <w:autoSpaceDN w:val="0"/>
              <w:adjustRightInd w:val="0"/>
              <w:spacing w:after="0" w:line="240" w:lineRule="auto"/>
              <w:rPr>
                <w:rFonts w:ascii="Arial" w:hAnsi="Arial" w:eastAsia="Calibri" w:cs="Arial"/>
              </w:rPr>
            </w:pPr>
            <w:r>
              <w:rPr>
                <w:rFonts w:ascii="Arial" w:hAnsi="Arial" w:cs="Arial" w:eastAsiaTheme="minorHAnsi"/>
                <w:color w:val="000000"/>
                <w:lang w:val="en-US"/>
              </w:rPr>
              <w:t>Telephone:+375 17 284 09 24</w:t>
            </w:r>
          </w:p>
        </w:tc>
      </w:tr>
    </w:tbl>
    <w:p>
      <w:pPr>
        <w:spacing w:after="0"/>
        <w:jc w:val="both"/>
        <w:rPr>
          <w:rFonts w:ascii="Arial" w:hAnsi="Arial" w:cs="Arial"/>
          <w:b/>
        </w:rPr>
      </w:pPr>
    </w:p>
    <w:p>
      <w:pPr>
        <w:spacing w:after="0"/>
        <w:jc w:val="both"/>
        <w:rPr>
          <w:rFonts w:ascii="Arial" w:hAnsi="Arial" w:cs="Arial"/>
          <w:b/>
        </w:rPr>
      </w:pPr>
    </w:p>
    <w:p>
      <w:pPr>
        <w:rPr>
          <w:rFonts w:ascii="Arial" w:hAnsi="Arial" w:cs="Arial"/>
        </w:rPr>
      </w:pPr>
    </w:p>
    <w:p>
      <w:pPr>
        <w:rPr>
          <w:rFonts w:ascii="Arial" w:hAnsi="Arial" w:cs="Arial"/>
        </w:rPr>
      </w:pPr>
    </w:p>
    <w:p>
      <w:pPr>
        <w:rPr>
          <w:rFonts w:ascii="Arial" w:hAnsi="Arial" w:cs="Arial"/>
          <w:b/>
          <w:lang w:eastAsia="zh-CN"/>
        </w:rPr>
      </w:pP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0672347"/>
      <w:docPartObj>
        <w:docPartGallery w:val="AutoText"/>
      </w:docPartObj>
    </w:sdtPr>
    <w:sdtEndPr>
      <w:rPr>
        <w:rFonts w:ascii="Arial" w:hAnsi="Arial" w:cs="Arial"/>
        <w:color w:val="7F7F7F" w:themeColor="background1" w:themeShade="80"/>
        <w:spacing w:val="60"/>
        <w:sz w:val="20"/>
      </w:rPr>
    </w:sdtEndPr>
    <w:sdtContent>
      <w:p>
        <w:pPr>
          <w:pStyle w:val="8"/>
          <w:pBdr>
            <w:top w:val="single" w:color="D8D8D8" w:themeColor="background1" w:themeShade="D9" w:sz="4" w:space="1"/>
          </w:pBdr>
          <w:jc w:val="right"/>
          <w:rPr>
            <w:rFonts w:ascii="Arial" w:hAnsi="Arial" w:cs="Arial"/>
            <w:sz w:val="20"/>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sz w:val="20"/>
          </w:rPr>
          <w:t>2</w:t>
        </w:r>
        <w:r>
          <w:rPr>
            <w:rFonts w:ascii="Arial" w:hAnsi="Arial" w:cs="Arial"/>
            <w:sz w:val="20"/>
          </w:rPr>
          <w:fldChar w:fldCharType="end"/>
        </w:r>
        <w:r>
          <w:rPr>
            <w:rFonts w:ascii="Arial" w:hAnsi="Arial" w:cs="Arial"/>
            <w:sz w:val="20"/>
          </w:rPr>
          <w:t xml:space="preserve"> | </w:t>
        </w:r>
        <w:r>
          <w:rPr>
            <w:rFonts w:ascii="Arial" w:hAnsi="Arial" w:cs="Arial"/>
            <w:color w:val="7F7F7F" w:themeColor="background1" w:themeShade="80"/>
            <w:spacing w:val="60"/>
            <w:sz w:val="20"/>
          </w:rPr>
          <w:t>Page</w:t>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11"/>
        <w:rPr>
          <w:lang w:eastAsia="zh-CN"/>
        </w:rPr>
      </w:pPr>
      <w:r>
        <w:rPr>
          <w:rStyle w:val="21"/>
        </w:rPr>
        <w:footnoteRef/>
      </w:r>
      <w:r>
        <w:t>https://www.glopid-r.org/wp-content/uploads/2020/03/who-2019-novel-coronavirus-global-research-roadmap.pdf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04A4A"/>
    <w:multiLevelType w:val="multilevel"/>
    <w:tmpl w:val="03404A4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52AF54E4"/>
    <w:multiLevelType w:val="multilevel"/>
    <w:tmpl w:val="52AF54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8074F63"/>
    <w:multiLevelType w:val="multilevel"/>
    <w:tmpl w:val="58074F63"/>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A535F5"/>
    <w:multiLevelType w:val="multilevel"/>
    <w:tmpl w:val="6CA535F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2EB7C58"/>
    <w:multiLevelType w:val="multilevel"/>
    <w:tmpl w:val="72EB7C5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6533027"/>
    <w:multiLevelType w:val="multilevel"/>
    <w:tmpl w:val="76533027"/>
    <w:lvl w:ilvl="0" w:tentative="0">
      <w:start w:val="1"/>
      <w:numFmt w:val="bullet"/>
      <w:lvlText w:val=""/>
      <w:lvlJc w:val="left"/>
      <w:pPr>
        <w:ind w:left="420" w:hanging="420"/>
      </w:pPr>
      <w:rPr>
        <w:rFonts w:hint="default" w:ascii="Symbol" w:hAnsi="Symbol"/>
      </w:rPr>
    </w:lvl>
    <w:lvl w:ilvl="1" w:tentative="0">
      <w:start w:val="1"/>
      <w:numFmt w:val="lowerLetter"/>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hyphenationZone w:val="425"/>
  <w:characterSpacingControl w:val="doNotCompress"/>
  <w:footnotePr>
    <w:footnote w:id="2"/>
    <w:footnote w:id="3"/>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4A"/>
    <w:rsid w:val="000001D4"/>
    <w:rsid w:val="0000369B"/>
    <w:rsid w:val="00004C09"/>
    <w:rsid w:val="00005753"/>
    <w:rsid w:val="00007F62"/>
    <w:rsid w:val="0001219F"/>
    <w:rsid w:val="000123AB"/>
    <w:rsid w:val="0001378B"/>
    <w:rsid w:val="00013AEB"/>
    <w:rsid w:val="000141A5"/>
    <w:rsid w:val="00014CC8"/>
    <w:rsid w:val="00014D79"/>
    <w:rsid w:val="000152F3"/>
    <w:rsid w:val="00024AEB"/>
    <w:rsid w:val="000276D9"/>
    <w:rsid w:val="00027AD3"/>
    <w:rsid w:val="000306E4"/>
    <w:rsid w:val="000323E4"/>
    <w:rsid w:val="000326DA"/>
    <w:rsid w:val="00033ECE"/>
    <w:rsid w:val="000343C4"/>
    <w:rsid w:val="0003677C"/>
    <w:rsid w:val="00036977"/>
    <w:rsid w:val="00040026"/>
    <w:rsid w:val="0004019D"/>
    <w:rsid w:val="00041436"/>
    <w:rsid w:val="00041544"/>
    <w:rsid w:val="000424F2"/>
    <w:rsid w:val="0004374A"/>
    <w:rsid w:val="00044E91"/>
    <w:rsid w:val="00047535"/>
    <w:rsid w:val="000477BD"/>
    <w:rsid w:val="00047E94"/>
    <w:rsid w:val="00051431"/>
    <w:rsid w:val="00051B7B"/>
    <w:rsid w:val="00051CEA"/>
    <w:rsid w:val="000542A0"/>
    <w:rsid w:val="00055811"/>
    <w:rsid w:val="00057816"/>
    <w:rsid w:val="00060941"/>
    <w:rsid w:val="0006295F"/>
    <w:rsid w:val="0006313D"/>
    <w:rsid w:val="00065C3A"/>
    <w:rsid w:val="000670E6"/>
    <w:rsid w:val="000739A5"/>
    <w:rsid w:val="00081AD6"/>
    <w:rsid w:val="000822E3"/>
    <w:rsid w:val="0008635B"/>
    <w:rsid w:val="000A0AFB"/>
    <w:rsid w:val="000A0B40"/>
    <w:rsid w:val="000A11B9"/>
    <w:rsid w:val="000A3179"/>
    <w:rsid w:val="000A3E65"/>
    <w:rsid w:val="000A5CDC"/>
    <w:rsid w:val="000A646B"/>
    <w:rsid w:val="000B21DD"/>
    <w:rsid w:val="000B2541"/>
    <w:rsid w:val="000B283D"/>
    <w:rsid w:val="000B72B6"/>
    <w:rsid w:val="000C1EC6"/>
    <w:rsid w:val="000C6046"/>
    <w:rsid w:val="000C6999"/>
    <w:rsid w:val="000D2487"/>
    <w:rsid w:val="000D5E81"/>
    <w:rsid w:val="000D7CEC"/>
    <w:rsid w:val="000E5BD8"/>
    <w:rsid w:val="000E7416"/>
    <w:rsid w:val="000F30B5"/>
    <w:rsid w:val="000F345B"/>
    <w:rsid w:val="000F52BE"/>
    <w:rsid w:val="00105CD2"/>
    <w:rsid w:val="00106290"/>
    <w:rsid w:val="0010743E"/>
    <w:rsid w:val="00107A93"/>
    <w:rsid w:val="00110A56"/>
    <w:rsid w:val="00111E29"/>
    <w:rsid w:val="001122C2"/>
    <w:rsid w:val="00112FD3"/>
    <w:rsid w:val="001149AA"/>
    <w:rsid w:val="00116082"/>
    <w:rsid w:val="00116585"/>
    <w:rsid w:val="001170C0"/>
    <w:rsid w:val="00120EE6"/>
    <w:rsid w:val="00121F2B"/>
    <w:rsid w:val="00126DE0"/>
    <w:rsid w:val="00130008"/>
    <w:rsid w:val="00130178"/>
    <w:rsid w:val="001336C8"/>
    <w:rsid w:val="00134681"/>
    <w:rsid w:val="00141510"/>
    <w:rsid w:val="001422E9"/>
    <w:rsid w:val="0014425B"/>
    <w:rsid w:val="00144F21"/>
    <w:rsid w:val="001471F0"/>
    <w:rsid w:val="00161C0A"/>
    <w:rsid w:val="0016260E"/>
    <w:rsid w:val="0016581D"/>
    <w:rsid w:val="00165EDA"/>
    <w:rsid w:val="001667CD"/>
    <w:rsid w:val="00176F28"/>
    <w:rsid w:val="00176FE3"/>
    <w:rsid w:val="00183B10"/>
    <w:rsid w:val="00185C6E"/>
    <w:rsid w:val="00192CBD"/>
    <w:rsid w:val="00193385"/>
    <w:rsid w:val="00193611"/>
    <w:rsid w:val="00193AF1"/>
    <w:rsid w:val="001957F1"/>
    <w:rsid w:val="001A0792"/>
    <w:rsid w:val="001A1A27"/>
    <w:rsid w:val="001A216C"/>
    <w:rsid w:val="001A2ACC"/>
    <w:rsid w:val="001A65C5"/>
    <w:rsid w:val="001A6C7B"/>
    <w:rsid w:val="001B11EC"/>
    <w:rsid w:val="001B2138"/>
    <w:rsid w:val="001B249F"/>
    <w:rsid w:val="001B3C53"/>
    <w:rsid w:val="001B72F1"/>
    <w:rsid w:val="001B79E2"/>
    <w:rsid w:val="001C06B4"/>
    <w:rsid w:val="001C3BCB"/>
    <w:rsid w:val="001C5031"/>
    <w:rsid w:val="001C50FC"/>
    <w:rsid w:val="001C5A49"/>
    <w:rsid w:val="001D5EE4"/>
    <w:rsid w:val="001E04DD"/>
    <w:rsid w:val="001E083E"/>
    <w:rsid w:val="001E4ECA"/>
    <w:rsid w:val="001F0A19"/>
    <w:rsid w:val="001F3D5E"/>
    <w:rsid w:val="001F5979"/>
    <w:rsid w:val="001F5DDB"/>
    <w:rsid w:val="001F60D4"/>
    <w:rsid w:val="001F7904"/>
    <w:rsid w:val="001F7F6D"/>
    <w:rsid w:val="00200159"/>
    <w:rsid w:val="00200833"/>
    <w:rsid w:val="00201285"/>
    <w:rsid w:val="0020299A"/>
    <w:rsid w:val="002040F7"/>
    <w:rsid w:val="002049E9"/>
    <w:rsid w:val="00205908"/>
    <w:rsid w:val="00205C58"/>
    <w:rsid w:val="002063F3"/>
    <w:rsid w:val="00216012"/>
    <w:rsid w:val="00217A44"/>
    <w:rsid w:val="00220706"/>
    <w:rsid w:val="00227B35"/>
    <w:rsid w:val="0023176F"/>
    <w:rsid w:val="00232518"/>
    <w:rsid w:val="00240D35"/>
    <w:rsid w:val="00242799"/>
    <w:rsid w:val="00243AD5"/>
    <w:rsid w:val="00243B1B"/>
    <w:rsid w:val="0024516A"/>
    <w:rsid w:val="00246BE9"/>
    <w:rsid w:val="00252EC8"/>
    <w:rsid w:val="00255716"/>
    <w:rsid w:val="00261579"/>
    <w:rsid w:val="00261FF1"/>
    <w:rsid w:val="002630E0"/>
    <w:rsid w:val="002632BE"/>
    <w:rsid w:val="0026576B"/>
    <w:rsid w:val="0026633A"/>
    <w:rsid w:val="0027177F"/>
    <w:rsid w:val="00272C48"/>
    <w:rsid w:val="00272D57"/>
    <w:rsid w:val="0027510D"/>
    <w:rsid w:val="00276458"/>
    <w:rsid w:val="002840C2"/>
    <w:rsid w:val="00286F97"/>
    <w:rsid w:val="002876E7"/>
    <w:rsid w:val="00290B36"/>
    <w:rsid w:val="00290F8E"/>
    <w:rsid w:val="0029208C"/>
    <w:rsid w:val="002945AF"/>
    <w:rsid w:val="002961E4"/>
    <w:rsid w:val="002967EC"/>
    <w:rsid w:val="00297939"/>
    <w:rsid w:val="002A02E3"/>
    <w:rsid w:val="002A54A9"/>
    <w:rsid w:val="002A5F02"/>
    <w:rsid w:val="002B10F2"/>
    <w:rsid w:val="002B30A8"/>
    <w:rsid w:val="002B3AD8"/>
    <w:rsid w:val="002B50AE"/>
    <w:rsid w:val="002B5581"/>
    <w:rsid w:val="002B6DB1"/>
    <w:rsid w:val="002B7F47"/>
    <w:rsid w:val="002C0FD7"/>
    <w:rsid w:val="002C2C9E"/>
    <w:rsid w:val="002C418C"/>
    <w:rsid w:val="002C72D7"/>
    <w:rsid w:val="002D2E05"/>
    <w:rsid w:val="002E14C1"/>
    <w:rsid w:val="002E1C36"/>
    <w:rsid w:val="002E372D"/>
    <w:rsid w:val="002F136D"/>
    <w:rsid w:val="002F2C28"/>
    <w:rsid w:val="002F45D9"/>
    <w:rsid w:val="002F5F3C"/>
    <w:rsid w:val="002F6BD8"/>
    <w:rsid w:val="002F75DF"/>
    <w:rsid w:val="00306B01"/>
    <w:rsid w:val="00313567"/>
    <w:rsid w:val="003149CC"/>
    <w:rsid w:val="00314C18"/>
    <w:rsid w:val="00315D5D"/>
    <w:rsid w:val="00316171"/>
    <w:rsid w:val="00317309"/>
    <w:rsid w:val="00317A40"/>
    <w:rsid w:val="003206B8"/>
    <w:rsid w:val="0032434D"/>
    <w:rsid w:val="0033042D"/>
    <w:rsid w:val="00330524"/>
    <w:rsid w:val="00330A66"/>
    <w:rsid w:val="003314E2"/>
    <w:rsid w:val="00334F5E"/>
    <w:rsid w:val="00337A76"/>
    <w:rsid w:val="00340000"/>
    <w:rsid w:val="00341333"/>
    <w:rsid w:val="00343E3C"/>
    <w:rsid w:val="00343E7D"/>
    <w:rsid w:val="00345C74"/>
    <w:rsid w:val="003464AD"/>
    <w:rsid w:val="0035424B"/>
    <w:rsid w:val="003637DE"/>
    <w:rsid w:val="00377869"/>
    <w:rsid w:val="00377968"/>
    <w:rsid w:val="003839F0"/>
    <w:rsid w:val="00383B97"/>
    <w:rsid w:val="00386D2E"/>
    <w:rsid w:val="003872F9"/>
    <w:rsid w:val="00392458"/>
    <w:rsid w:val="003926FD"/>
    <w:rsid w:val="00393E3D"/>
    <w:rsid w:val="00395A8D"/>
    <w:rsid w:val="003A4CBB"/>
    <w:rsid w:val="003A5D4E"/>
    <w:rsid w:val="003A7416"/>
    <w:rsid w:val="003A7A74"/>
    <w:rsid w:val="003B017E"/>
    <w:rsid w:val="003B1E9E"/>
    <w:rsid w:val="003B2BBE"/>
    <w:rsid w:val="003B447C"/>
    <w:rsid w:val="003B7DB6"/>
    <w:rsid w:val="003C02BB"/>
    <w:rsid w:val="003C0787"/>
    <w:rsid w:val="003C410D"/>
    <w:rsid w:val="003C4861"/>
    <w:rsid w:val="003C53D3"/>
    <w:rsid w:val="003C5B0E"/>
    <w:rsid w:val="003D518B"/>
    <w:rsid w:val="003D5825"/>
    <w:rsid w:val="003D623E"/>
    <w:rsid w:val="003D74DC"/>
    <w:rsid w:val="003E0373"/>
    <w:rsid w:val="003E116D"/>
    <w:rsid w:val="003E2EB5"/>
    <w:rsid w:val="003E37DC"/>
    <w:rsid w:val="003E473A"/>
    <w:rsid w:val="003E54C3"/>
    <w:rsid w:val="003E5783"/>
    <w:rsid w:val="003F1245"/>
    <w:rsid w:val="003F1446"/>
    <w:rsid w:val="003F6F35"/>
    <w:rsid w:val="003F733C"/>
    <w:rsid w:val="003F7489"/>
    <w:rsid w:val="004030E0"/>
    <w:rsid w:val="00403AFF"/>
    <w:rsid w:val="00403F6D"/>
    <w:rsid w:val="004079C5"/>
    <w:rsid w:val="00407D76"/>
    <w:rsid w:val="004116EF"/>
    <w:rsid w:val="0041283A"/>
    <w:rsid w:val="00415158"/>
    <w:rsid w:val="00421203"/>
    <w:rsid w:val="0042378A"/>
    <w:rsid w:val="00424360"/>
    <w:rsid w:val="00430F4E"/>
    <w:rsid w:val="00431776"/>
    <w:rsid w:val="00431DAA"/>
    <w:rsid w:val="00440171"/>
    <w:rsid w:val="00445F1B"/>
    <w:rsid w:val="00446844"/>
    <w:rsid w:val="00452EA9"/>
    <w:rsid w:val="00453EBA"/>
    <w:rsid w:val="0045466C"/>
    <w:rsid w:val="00457CAF"/>
    <w:rsid w:val="0046140B"/>
    <w:rsid w:val="004619FB"/>
    <w:rsid w:val="00461DBD"/>
    <w:rsid w:val="00464C97"/>
    <w:rsid w:val="00465B43"/>
    <w:rsid w:val="00470168"/>
    <w:rsid w:val="00470384"/>
    <w:rsid w:val="00470CA5"/>
    <w:rsid w:val="00472F55"/>
    <w:rsid w:val="00473448"/>
    <w:rsid w:val="00473788"/>
    <w:rsid w:val="00474894"/>
    <w:rsid w:val="004807AD"/>
    <w:rsid w:val="0048665A"/>
    <w:rsid w:val="004912E9"/>
    <w:rsid w:val="004934B2"/>
    <w:rsid w:val="00494D6B"/>
    <w:rsid w:val="00496A13"/>
    <w:rsid w:val="004A03C6"/>
    <w:rsid w:val="004A211B"/>
    <w:rsid w:val="004A575F"/>
    <w:rsid w:val="004A6226"/>
    <w:rsid w:val="004B68D0"/>
    <w:rsid w:val="004B6F9A"/>
    <w:rsid w:val="004C1E26"/>
    <w:rsid w:val="004C3FEC"/>
    <w:rsid w:val="004D09C0"/>
    <w:rsid w:val="004D3804"/>
    <w:rsid w:val="004D66CD"/>
    <w:rsid w:val="004D7B9C"/>
    <w:rsid w:val="004D7FBA"/>
    <w:rsid w:val="004E4013"/>
    <w:rsid w:val="004E4833"/>
    <w:rsid w:val="004E6893"/>
    <w:rsid w:val="004F0ACD"/>
    <w:rsid w:val="004F4418"/>
    <w:rsid w:val="004F55B6"/>
    <w:rsid w:val="00501647"/>
    <w:rsid w:val="00505CF1"/>
    <w:rsid w:val="00506179"/>
    <w:rsid w:val="00506C37"/>
    <w:rsid w:val="00507012"/>
    <w:rsid w:val="00512B0B"/>
    <w:rsid w:val="00513126"/>
    <w:rsid w:val="0051409A"/>
    <w:rsid w:val="0051479C"/>
    <w:rsid w:val="0052583D"/>
    <w:rsid w:val="00526400"/>
    <w:rsid w:val="00530C37"/>
    <w:rsid w:val="005326CE"/>
    <w:rsid w:val="0053485C"/>
    <w:rsid w:val="00535D4D"/>
    <w:rsid w:val="005362BF"/>
    <w:rsid w:val="005369D4"/>
    <w:rsid w:val="00537BF7"/>
    <w:rsid w:val="005415B9"/>
    <w:rsid w:val="00543DEB"/>
    <w:rsid w:val="0054441E"/>
    <w:rsid w:val="00544AEE"/>
    <w:rsid w:val="005456C7"/>
    <w:rsid w:val="005462A5"/>
    <w:rsid w:val="00546D01"/>
    <w:rsid w:val="005509AA"/>
    <w:rsid w:val="00551E9A"/>
    <w:rsid w:val="00552F4F"/>
    <w:rsid w:val="00553290"/>
    <w:rsid w:val="00553A4F"/>
    <w:rsid w:val="005553C2"/>
    <w:rsid w:val="00555DB9"/>
    <w:rsid w:val="00560989"/>
    <w:rsid w:val="00561805"/>
    <w:rsid w:val="00561B43"/>
    <w:rsid w:val="00565B25"/>
    <w:rsid w:val="00565D48"/>
    <w:rsid w:val="0056666E"/>
    <w:rsid w:val="00567371"/>
    <w:rsid w:val="0056740B"/>
    <w:rsid w:val="00574BD5"/>
    <w:rsid w:val="00580B25"/>
    <w:rsid w:val="005810DF"/>
    <w:rsid w:val="00581C47"/>
    <w:rsid w:val="005821DD"/>
    <w:rsid w:val="00583ADD"/>
    <w:rsid w:val="00584CF4"/>
    <w:rsid w:val="00586B83"/>
    <w:rsid w:val="005878F8"/>
    <w:rsid w:val="00590F4F"/>
    <w:rsid w:val="005915CA"/>
    <w:rsid w:val="005920AF"/>
    <w:rsid w:val="005928BC"/>
    <w:rsid w:val="00592E70"/>
    <w:rsid w:val="0059579F"/>
    <w:rsid w:val="00597625"/>
    <w:rsid w:val="00597BB5"/>
    <w:rsid w:val="005A14CD"/>
    <w:rsid w:val="005A2917"/>
    <w:rsid w:val="005A4089"/>
    <w:rsid w:val="005A5642"/>
    <w:rsid w:val="005A57F9"/>
    <w:rsid w:val="005A675D"/>
    <w:rsid w:val="005A7678"/>
    <w:rsid w:val="005B4038"/>
    <w:rsid w:val="005B4C89"/>
    <w:rsid w:val="005B4FB3"/>
    <w:rsid w:val="005B516F"/>
    <w:rsid w:val="005C1C26"/>
    <w:rsid w:val="005C3651"/>
    <w:rsid w:val="005C4F7E"/>
    <w:rsid w:val="005C554F"/>
    <w:rsid w:val="005C6C6D"/>
    <w:rsid w:val="005D48B8"/>
    <w:rsid w:val="005D6AA8"/>
    <w:rsid w:val="005E3881"/>
    <w:rsid w:val="005E4786"/>
    <w:rsid w:val="005F045A"/>
    <w:rsid w:val="005F047D"/>
    <w:rsid w:val="005F0AB1"/>
    <w:rsid w:val="005F210C"/>
    <w:rsid w:val="005F4639"/>
    <w:rsid w:val="005F49BF"/>
    <w:rsid w:val="0060446E"/>
    <w:rsid w:val="006045CD"/>
    <w:rsid w:val="00610AE2"/>
    <w:rsid w:val="0061181A"/>
    <w:rsid w:val="0061383E"/>
    <w:rsid w:val="00614C27"/>
    <w:rsid w:val="00620590"/>
    <w:rsid w:val="006271F8"/>
    <w:rsid w:val="00630E7A"/>
    <w:rsid w:val="00631DE6"/>
    <w:rsid w:val="00634E6A"/>
    <w:rsid w:val="0063532D"/>
    <w:rsid w:val="00636F0E"/>
    <w:rsid w:val="00637549"/>
    <w:rsid w:val="00641258"/>
    <w:rsid w:val="00645AC7"/>
    <w:rsid w:val="00646F5B"/>
    <w:rsid w:val="00650D50"/>
    <w:rsid w:val="00652774"/>
    <w:rsid w:val="00654D31"/>
    <w:rsid w:val="00656C64"/>
    <w:rsid w:val="00657D0B"/>
    <w:rsid w:val="00662091"/>
    <w:rsid w:val="0066410A"/>
    <w:rsid w:val="0066438D"/>
    <w:rsid w:val="006643F2"/>
    <w:rsid w:val="0066529A"/>
    <w:rsid w:val="00673256"/>
    <w:rsid w:val="00673B62"/>
    <w:rsid w:val="00675E7B"/>
    <w:rsid w:val="00676222"/>
    <w:rsid w:val="00677459"/>
    <w:rsid w:val="00677F49"/>
    <w:rsid w:val="00680DFD"/>
    <w:rsid w:val="00682AE4"/>
    <w:rsid w:val="00683992"/>
    <w:rsid w:val="006841AB"/>
    <w:rsid w:val="00685B08"/>
    <w:rsid w:val="00686F9C"/>
    <w:rsid w:val="0068790E"/>
    <w:rsid w:val="006879BE"/>
    <w:rsid w:val="00687DBB"/>
    <w:rsid w:val="00690B10"/>
    <w:rsid w:val="00690D54"/>
    <w:rsid w:val="00691346"/>
    <w:rsid w:val="0069471F"/>
    <w:rsid w:val="00695919"/>
    <w:rsid w:val="006972AE"/>
    <w:rsid w:val="006A23BF"/>
    <w:rsid w:val="006A3FA0"/>
    <w:rsid w:val="006A5497"/>
    <w:rsid w:val="006A6507"/>
    <w:rsid w:val="006B1A4D"/>
    <w:rsid w:val="006B1B81"/>
    <w:rsid w:val="006B44BF"/>
    <w:rsid w:val="006B4F04"/>
    <w:rsid w:val="006B745F"/>
    <w:rsid w:val="006C1F51"/>
    <w:rsid w:val="006C27FD"/>
    <w:rsid w:val="006D0569"/>
    <w:rsid w:val="006D07FE"/>
    <w:rsid w:val="006D10F4"/>
    <w:rsid w:val="006D3EF9"/>
    <w:rsid w:val="006D59FE"/>
    <w:rsid w:val="006D6D0E"/>
    <w:rsid w:val="006E1C72"/>
    <w:rsid w:val="006E20B0"/>
    <w:rsid w:val="006E2C35"/>
    <w:rsid w:val="006E3FD1"/>
    <w:rsid w:val="006E4983"/>
    <w:rsid w:val="006E4CAE"/>
    <w:rsid w:val="006E5501"/>
    <w:rsid w:val="006F383E"/>
    <w:rsid w:val="006F4B8F"/>
    <w:rsid w:val="006F6A6E"/>
    <w:rsid w:val="006F7A88"/>
    <w:rsid w:val="00703056"/>
    <w:rsid w:val="00703739"/>
    <w:rsid w:val="00703A40"/>
    <w:rsid w:val="00704EFD"/>
    <w:rsid w:val="007073FD"/>
    <w:rsid w:val="00710786"/>
    <w:rsid w:val="0071324A"/>
    <w:rsid w:val="00713F0E"/>
    <w:rsid w:val="007147C3"/>
    <w:rsid w:val="00715B97"/>
    <w:rsid w:val="007161E0"/>
    <w:rsid w:val="007218E9"/>
    <w:rsid w:val="007227DF"/>
    <w:rsid w:val="007233A3"/>
    <w:rsid w:val="00723A3E"/>
    <w:rsid w:val="00725C64"/>
    <w:rsid w:val="00727A31"/>
    <w:rsid w:val="007302EE"/>
    <w:rsid w:val="007319DB"/>
    <w:rsid w:val="00732060"/>
    <w:rsid w:val="00733B84"/>
    <w:rsid w:val="00734E62"/>
    <w:rsid w:val="00735FCC"/>
    <w:rsid w:val="00737611"/>
    <w:rsid w:val="00740D2B"/>
    <w:rsid w:val="00743801"/>
    <w:rsid w:val="00745388"/>
    <w:rsid w:val="007456F3"/>
    <w:rsid w:val="00747C65"/>
    <w:rsid w:val="00747CFD"/>
    <w:rsid w:val="0075109F"/>
    <w:rsid w:val="0075114A"/>
    <w:rsid w:val="00751BA6"/>
    <w:rsid w:val="007543C2"/>
    <w:rsid w:val="00754607"/>
    <w:rsid w:val="007547B2"/>
    <w:rsid w:val="00761CEA"/>
    <w:rsid w:val="0076214C"/>
    <w:rsid w:val="00762771"/>
    <w:rsid w:val="00767BE7"/>
    <w:rsid w:val="00767CC0"/>
    <w:rsid w:val="007723B6"/>
    <w:rsid w:val="0077370B"/>
    <w:rsid w:val="00775779"/>
    <w:rsid w:val="007769E9"/>
    <w:rsid w:val="007804CA"/>
    <w:rsid w:val="007825D6"/>
    <w:rsid w:val="00783896"/>
    <w:rsid w:val="00783F06"/>
    <w:rsid w:val="00790F09"/>
    <w:rsid w:val="00791C6F"/>
    <w:rsid w:val="00791EC9"/>
    <w:rsid w:val="007969EC"/>
    <w:rsid w:val="007A2890"/>
    <w:rsid w:val="007A2CB1"/>
    <w:rsid w:val="007A5BD2"/>
    <w:rsid w:val="007A7DB6"/>
    <w:rsid w:val="007B15BF"/>
    <w:rsid w:val="007B267F"/>
    <w:rsid w:val="007B33F7"/>
    <w:rsid w:val="007B4C98"/>
    <w:rsid w:val="007B62AC"/>
    <w:rsid w:val="007C227E"/>
    <w:rsid w:val="007C27A8"/>
    <w:rsid w:val="007C4046"/>
    <w:rsid w:val="007C577E"/>
    <w:rsid w:val="007C735E"/>
    <w:rsid w:val="007C78F0"/>
    <w:rsid w:val="007C7CA0"/>
    <w:rsid w:val="007D0511"/>
    <w:rsid w:val="007D30F0"/>
    <w:rsid w:val="007D380B"/>
    <w:rsid w:val="007D7004"/>
    <w:rsid w:val="007E012B"/>
    <w:rsid w:val="007E0DBA"/>
    <w:rsid w:val="007E23B0"/>
    <w:rsid w:val="007E25AC"/>
    <w:rsid w:val="007E47CE"/>
    <w:rsid w:val="007E654C"/>
    <w:rsid w:val="007E6A55"/>
    <w:rsid w:val="007E75BD"/>
    <w:rsid w:val="007F2670"/>
    <w:rsid w:val="0080209F"/>
    <w:rsid w:val="0080447F"/>
    <w:rsid w:val="00807EE8"/>
    <w:rsid w:val="00810BFC"/>
    <w:rsid w:val="00824E3A"/>
    <w:rsid w:val="00826D98"/>
    <w:rsid w:val="008274FE"/>
    <w:rsid w:val="00827E4E"/>
    <w:rsid w:val="0083121E"/>
    <w:rsid w:val="0083124D"/>
    <w:rsid w:val="00832087"/>
    <w:rsid w:val="00836C41"/>
    <w:rsid w:val="008434C0"/>
    <w:rsid w:val="00846474"/>
    <w:rsid w:val="00847859"/>
    <w:rsid w:val="0085089E"/>
    <w:rsid w:val="00856865"/>
    <w:rsid w:val="00860DE7"/>
    <w:rsid w:val="0086257F"/>
    <w:rsid w:val="008626FA"/>
    <w:rsid w:val="00864AD5"/>
    <w:rsid w:val="00866CB6"/>
    <w:rsid w:val="00867574"/>
    <w:rsid w:val="008677E7"/>
    <w:rsid w:val="008755FB"/>
    <w:rsid w:val="00876CBF"/>
    <w:rsid w:val="008828F3"/>
    <w:rsid w:val="00882AD2"/>
    <w:rsid w:val="008836CE"/>
    <w:rsid w:val="0088382E"/>
    <w:rsid w:val="00885370"/>
    <w:rsid w:val="008855A1"/>
    <w:rsid w:val="00887795"/>
    <w:rsid w:val="008926F7"/>
    <w:rsid w:val="008934BB"/>
    <w:rsid w:val="00894B6B"/>
    <w:rsid w:val="008A122D"/>
    <w:rsid w:val="008A2A84"/>
    <w:rsid w:val="008A2AD5"/>
    <w:rsid w:val="008A7F48"/>
    <w:rsid w:val="008B2FE7"/>
    <w:rsid w:val="008B6224"/>
    <w:rsid w:val="008B6FE1"/>
    <w:rsid w:val="008C31EF"/>
    <w:rsid w:val="008D1CA1"/>
    <w:rsid w:val="008D3331"/>
    <w:rsid w:val="008D4677"/>
    <w:rsid w:val="008D54A8"/>
    <w:rsid w:val="008D54FF"/>
    <w:rsid w:val="008D55C6"/>
    <w:rsid w:val="008D639A"/>
    <w:rsid w:val="008E0424"/>
    <w:rsid w:val="008E0A62"/>
    <w:rsid w:val="008E3F14"/>
    <w:rsid w:val="008E614D"/>
    <w:rsid w:val="008F014F"/>
    <w:rsid w:val="008F1722"/>
    <w:rsid w:val="008F635A"/>
    <w:rsid w:val="008F728F"/>
    <w:rsid w:val="00901217"/>
    <w:rsid w:val="00901A5C"/>
    <w:rsid w:val="00906636"/>
    <w:rsid w:val="00913DF7"/>
    <w:rsid w:val="00915461"/>
    <w:rsid w:val="009163F3"/>
    <w:rsid w:val="00916D30"/>
    <w:rsid w:val="009204C3"/>
    <w:rsid w:val="00926615"/>
    <w:rsid w:val="00930E9D"/>
    <w:rsid w:val="0093333B"/>
    <w:rsid w:val="0093736F"/>
    <w:rsid w:val="009434DD"/>
    <w:rsid w:val="009454B7"/>
    <w:rsid w:val="009510F6"/>
    <w:rsid w:val="0095118B"/>
    <w:rsid w:val="00953BAE"/>
    <w:rsid w:val="00955A82"/>
    <w:rsid w:val="00955F47"/>
    <w:rsid w:val="00962314"/>
    <w:rsid w:val="009631DC"/>
    <w:rsid w:val="00964DD8"/>
    <w:rsid w:val="009658E4"/>
    <w:rsid w:val="009703F2"/>
    <w:rsid w:val="0098223F"/>
    <w:rsid w:val="00983F3E"/>
    <w:rsid w:val="00987262"/>
    <w:rsid w:val="00991E0C"/>
    <w:rsid w:val="0099225B"/>
    <w:rsid w:val="00992677"/>
    <w:rsid w:val="00992866"/>
    <w:rsid w:val="00992F21"/>
    <w:rsid w:val="00995469"/>
    <w:rsid w:val="009A263B"/>
    <w:rsid w:val="009A655F"/>
    <w:rsid w:val="009B1EE0"/>
    <w:rsid w:val="009B2880"/>
    <w:rsid w:val="009D04A7"/>
    <w:rsid w:val="009D2F39"/>
    <w:rsid w:val="009D335C"/>
    <w:rsid w:val="009D33B8"/>
    <w:rsid w:val="009D41E5"/>
    <w:rsid w:val="009D434C"/>
    <w:rsid w:val="009D5F7E"/>
    <w:rsid w:val="009E0F02"/>
    <w:rsid w:val="009E3959"/>
    <w:rsid w:val="009E3A90"/>
    <w:rsid w:val="009F1A86"/>
    <w:rsid w:val="009F507F"/>
    <w:rsid w:val="00A06C56"/>
    <w:rsid w:val="00A072E0"/>
    <w:rsid w:val="00A15B4C"/>
    <w:rsid w:val="00A163E8"/>
    <w:rsid w:val="00A17E7B"/>
    <w:rsid w:val="00A213FE"/>
    <w:rsid w:val="00A24601"/>
    <w:rsid w:val="00A24789"/>
    <w:rsid w:val="00A24D2C"/>
    <w:rsid w:val="00A252FC"/>
    <w:rsid w:val="00A2728E"/>
    <w:rsid w:val="00A307DD"/>
    <w:rsid w:val="00A30C3E"/>
    <w:rsid w:val="00A37711"/>
    <w:rsid w:val="00A43C87"/>
    <w:rsid w:val="00A463F6"/>
    <w:rsid w:val="00A55C82"/>
    <w:rsid w:val="00A57D44"/>
    <w:rsid w:val="00A605B9"/>
    <w:rsid w:val="00A6111B"/>
    <w:rsid w:val="00A63D79"/>
    <w:rsid w:val="00A72CFE"/>
    <w:rsid w:val="00A73945"/>
    <w:rsid w:val="00A77AE9"/>
    <w:rsid w:val="00A81715"/>
    <w:rsid w:val="00A82776"/>
    <w:rsid w:val="00A8542A"/>
    <w:rsid w:val="00A85CC9"/>
    <w:rsid w:val="00A879DA"/>
    <w:rsid w:val="00A87C50"/>
    <w:rsid w:val="00A90BF3"/>
    <w:rsid w:val="00A94D29"/>
    <w:rsid w:val="00A95545"/>
    <w:rsid w:val="00A957FD"/>
    <w:rsid w:val="00AA20F0"/>
    <w:rsid w:val="00AA3043"/>
    <w:rsid w:val="00AA6D4D"/>
    <w:rsid w:val="00AB46CD"/>
    <w:rsid w:val="00AB4B44"/>
    <w:rsid w:val="00AB6EBD"/>
    <w:rsid w:val="00AB7ECB"/>
    <w:rsid w:val="00AB7ED4"/>
    <w:rsid w:val="00AC158F"/>
    <w:rsid w:val="00AC445A"/>
    <w:rsid w:val="00AC6966"/>
    <w:rsid w:val="00AC6BC2"/>
    <w:rsid w:val="00AD112F"/>
    <w:rsid w:val="00AD2192"/>
    <w:rsid w:val="00AE36CE"/>
    <w:rsid w:val="00AE4189"/>
    <w:rsid w:val="00AE4E65"/>
    <w:rsid w:val="00AE7304"/>
    <w:rsid w:val="00AE76DF"/>
    <w:rsid w:val="00AE7823"/>
    <w:rsid w:val="00AF0721"/>
    <w:rsid w:val="00AF0900"/>
    <w:rsid w:val="00AF1C1E"/>
    <w:rsid w:val="00AF27B6"/>
    <w:rsid w:val="00AF2AFE"/>
    <w:rsid w:val="00AF4FB3"/>
    <w:rsid w:val="00AF6980"/>
    <w:rsid w:val="00B004D0"/>
    <w:rsid w:val="00B02825"/>
    <w:rsid w:val="00B10A93"/>
    <w:rsid w:val="00B13725"/>
    <w:rsid w:val="00B20340"/>
    <w:rsid w:val="00B23347"/>
    <w:rsid w:val="00B25D0D"/>
    <w:rsid w:val="00B26DC5"/>
    <w:rsid w:val="00B2722D"/>
    <w:rsid w:val="00B314BD"/>
    <w:rsid w:val="00B3203D"/>
    <w:rsid w:val="00B351BE"/>
    <w:rsid w:val="00B360C4"/>
    <w:rsid w:val="00B3675F"/>
    <w:rsid w:val="00B375C8"/>
    <w:rsid w:val="00B41BEA"/>
    <w:rsid w:val="00B41C35"/>
    <w:rsid w:val="00B4576E"/>
    <w:rsid w:val="00B460A2"/>
    <w:rsid w:val="00B50407"/>
    <w:rsid w:val="00B52294"/>
    <w:rsid w:val="00B52464"/>
    <w:rsid w:val="00B53A7B"/>
    <w:rsid w:val="00B54122"/>
    <w:rsid w:val="00B54575"/>
    <w:rsid w:val="00B5696A"/>
    <w:rsid w:val="00B633AF"/>
    <w:rsid w:val="00B75368"/>
    <w:rsid w:val="00B760FD"/>
    <w:rsid w:val="00B818F1"/>
    <w:rsid w:val="00B82029"/>
    <w:rsid w:val="00B83FF1"/>
    <w:rsid w:val="00B84452"/>
    <w:rsid w:val="00B862C7"/>
    <w:rsid w:val="00B94EA8"/>
    <w:rsid w:val="00B961A8"/>
    <w:rsid w:val="00B96DA4"/>
    <w:rsid w:val="00BA0CA9"/>
    <w:rsid w:val="00BA2716"/>
    <w:rsid w:val="00BA2C41"/>
    <w:rsid w:val="00BA429C"/>
    <w:rsid w:val="00BA6D74"/>
    <w:rsid w:val="00BA74EE"/>
    <w:rsid w:val="00BB0D39"/>
    <w:rsid w:val="00BB16E9"/>
    <w:rsid w:val="00BB3070"/>
    <w:rsid w:val="00BB426D"/>
    <w:rsid w:val="00BB494F"/>
    <w:rsid w:val="00BB4C0B"/>
    <w:rsid w:val="00BC6411"/>
    <w:rsid w:val="00BC7D3E"/>
    <w:rsid w:val="00BC7FF1"/>
    <w:rsid w:val="00BD01DE"/>
    <w:rsid w:val="00BD0E68"/>
    <w:rsid w:val="00BD36FD"/>
    <w:rsid w:val="00BD510F"/>
    <w:rsid w:val="00BD7BCD"/>
    <w:rsid w:val="00BE084B"/>
    <w:rsid w:val="00BE0FB6"/>
    <w:rsid w:val="00BE1450"/>
    <w:rsid w:val="00BE1B02"/>
    <w:rsid w:val="00BE44C2"/>
    <w:rsid w:val="00BE6D90"/>
    <w:rsid w:val="00BE7E01"/>
    <w:rsid w:val="00BF73B9"/>
    <w:rsid w:val="00BF7808"/>
    <w:rsid w:val="00C0052A"/>
    <w:rsid w:val="00C0455D"/>
    <w:rsid w:val="00C0544A"/>
    <w:rsid w:val="00C05911"/>
    <w:rsid w:val="00C05EDE"/>
    <w:rsid w:val="00C11665"/>
    <w:rsid w:val="00C125BC"/>
    <w:rsid w:val="00C12E6C"/>
    <w:rsid w:val="00C140E8"/>
    <w:rsid w:val="00C160E9"/>
    <w:rsid w:val="00C24B8D"/>
    <w:rsid w:val="00C3102F"/>
    <w:rsid w:val="00C3105F"/>
    <w:rsid w:val="00C3192D"/>
    <w:rsid w:val="00C31B3E"/>
    <w:rsid w:val="00C326D9"/>
    <w:rsid w:val="00C32CFE"/>
    <w:rsid w:val="00C37074"/>
    <w:rsid w:val="00C377A4"/>
    <w:rsid w:val="00C410E6"/>
    <w:rsid w:val="00C423B5"/>
    <w:rsid w:val="00C44CEA"/>
    <w:rsid w:val="00C5450D"/>
    <w:rsid w:val="00C54537"/>
    <w:rsid w:val="00C56CBB"/>
    <w:rsid w:val="00C57678"/>
    <w:rsid w:val="00C60308"/>
    <w:rsid w:val="00C60BBC"/>
    <w:rsid w:val="00C62066"/>
    <w:rsid w:val="00C6294E"/>
    <w:rsid w:val="00C62FC7"/>
    <w:rsid w:val="00C65B2B"/>
    <w:rsid w:val="00C661CD"/>
    <w:rsid w:val="00C7081A"/>
    <w:rsid w:val="00C77C79"/>
    <w:rsid w:val="00C80DD8"/>
    <w:rsid w:val="00C820CC"/>
    <w:rsid w:val="00C82D98"/>
    <w:rsid w:val="00C86762"/>
    <w:rsid w:val="00C87CE9"/>
    <w:rsid w:val="00C940DC"/>
    <w:rsid w:val="00C9596A"/>
    <w:rsid w:val="00C95C84"/>
    <w:rsid w:val="00CA355F"/>
    <w:rsid w:val="00CA3B91"/>
    <w:rsid w:val="00CA41A0"/>
    <w:rsid w:val="00CA4986"/>
    <w:rsid w:val="00CA61E6"/>
    <w:rsid w:val="00CA642F"/>
    <w:rsid w:val="00CB0BA4"/>
    <w:rsid w:val="00CB5997"/>
    <w:rsid w:val="00CB72FC"/>
    <w:rsid w:val="00CB7678"/>
    <w:rsid w:val="00CC2A7F"/>
    <w:rsid w:val="00CC3BE1"/>
    <w:rsid w:val="00CC4912"/>
    <w:rsid w:val="00CC4D28"/>
    <w:rsid w:val="00CC6B64"/>
    <w:rsid w:val="00CD2C7B"/>
    <w:rsid w:val="00CD55EC"/>
    <w:rsid w:val="00CD5E77"/>
    <w:rsid w:val="00CD730A"/>
    <w:rsid w:val="00CE04ED"/>
    <w:rsid w:val="00CE0C09"/>
    <w:rsid w:val="00CE3EDB"/>
    <w:rsid w:val="00CF1DDF"/>
    <w:rsid w:val="00CF36F9"/>
    <w:rsid w:val="00CF5F5B"/>
    <w:rsid w:val="00D00298"/>
    <w:rsid w:val="00D00FEA"/>
    <w:rsid w:val="00D01A28"/>
    <w:rsid w:val="00D025D2"/>
    <w:rsid w:val="00D039B6"/>
    <w:rsid w:val="00D03BF5"/>
    <w:rsid w:val="00D0640D"/>
    <w:rsid w:val="00D10A3E"/>
    <w:rsid w:val="00D13CBB"/>
    <w:rsid w:val="00D17ECE"/>
    <w:rsid w:val="00D253DA"/>
    <w:rsid w:val="00D265AF"/>
    <w:rsid w:val="00D33528"/>
    <w:rsid w:val="00D34105"/>
    <w:rsid w:val="00D34867"/>
    <w:rsid w:val="00D40525"/>
    <w:rsid w:val="00D43895"/>
    <w:rsid w:val="00D440CF"/>
    <w:rsid w:val="00D45136"/>
    <w:rsid w:val="00D45C72"/>
    <w:rsid w:val="00D46D49"/>
    <w:rsid w:val="00D47AA8"/>
    <w:rsid w:val="00D50620"/>
    <w:rsid w:val="00D508DE"/>
    <w:rsid w:val="00D50AFA"/>
    <w:rsid w:val="00D50DD9"/>
    <w:rsid w:val="00D520A9"/>
    <w:rsid w:val="00D52767"/>
    <w:rsid w:val="00D55FEA"/>
    <w:rsid w:val="00D56BD1"/>
    <w:rsid w:val="00D576B1"/>
    <w:rsid w:val="00D57F05"/>
    <w:rsid w:val="00D6145F"/>
    <w:rsid w:val="00D6545D"/>
    <w:rsid w:val="00D65F8A"/>
    <w:rsid w:val="00D7006B"/>
    <w:rsid w:val="00D71300"/>
    <w:rsid w:val="00D7204D"/>
    <w:rsid w:val="00D73022"/>
    <w:rsid w:val="00D73DDD"/>
    <w:rsid w:val="00D81857"/>
    <w:rsid w:val="00D86E3A"/>
    <w:rsid w:val="00D87977"/>
    <w:rsid w:val="00D912E1"/>
    <w:rsid w:val="00D92B58"/>
    <w:rsid w:val="00D95132"/>
    <w:rsid w:val="00D95BA9"/>
    <w:rsid w:val="00D9658C"/>
    <w:rsid w:val="00D96C08"/>
    <w:rsid w:val="00D96E6E"/>
    <w:rsid w:val="00DA0F5F"/>
    <w:rsid w:val="00DA1598"/>
    <w:rsid w:val="00DA3303"/>
    <w:rsid w:val="00DA5AD0"/>
    <w:rsid w:val="00DA7016"/>
    <w:rsid w:val="00DB2F62"/>
    <w:rsid w:val="00DB4325"/>
    <w:rsid w:val="00DB54C1"/>
    <w:rsid w:val="00DB7659"/>
    <w:rsid w:val="00DB79AD"/>
    <w:rsid w:val="00DC0E4C"/>
    <w:rsid w:val="00DC3852"/>
    <w:rsid w:val="00DC63B1"/>
    <w:rsid w:val="00DC71AA"/>
    <w:rsid w:val="00DD14B2"/>
    <w:rsid w:val="00DD163A"/>
    <w:rsid w:val="00DD5D11"/>
    <w:rsid w:val="00DD5EC3"/>
    <w:rsid w:val="00DD6253"/>
    <w:rsid w:val="00DE061F"/>
    <w:rsid w:val="00DE32A0"/>
    <w:rsid w:val="00DE5D9E"/>
    <w:rsid w:val="00DF2318"/>
    <w:rsid w:val="00DF6400"/>
    <w:rsid w:val="00DF6ED7"/>
    <w:rsid w:val="00E014A6"/>
    <w:rsid w:val="00E0292A"/>
    <w:rsid w:val="00E04A31"/>
    <w:rsid w:val="00E11A9F"/>
    <w:rsid w:val="00E12712"/>
    <w:rsid w:val="00E12DDE"/>
    <w:rsid w:val="00E140D6"/>
    <w:rsid w:val="00E15D3B"/>
    <w:rsid w:val="00E22E08"/>
    <w:rsid w:val="00E24290"/>
    <w:rsid w:val="00E24D8D"/>
    <w:rsid w:val="00E24E9D"/>
    <w:rsid w:val="00E259A4"/>
    <w:rsid w:val="00E26C87"/>
    <w:rsid w:val="00E304F2"/>
    <w:rsid w:val="00E312A8"/>
    <w:rsid w:val="00E3303E"/>
    <w:rsid w:val="00E3466C"/>
    <w:rsid w:val="00E4065D"/>
    <w:rsid w:val="00E45C9C"/>
    <w:rsid w:val="00E46568"/>
    <w:rsid w:val="00E468A1"/>
    <w:rsid w:val="00E47536"/>
    <w:rsid w:val="00E475D6"/>
    <w:rsid w:val="00E503E7"/>
    <w:rsid w:val="00E5468F"/>
    <w:rsid w:val="00E54E01"/>
    <w:rsid w:val="00E57F56"/>
    <w:rsid w:val="00E6000A"/>
    <w:rsid w:val="00E603A8"/>
    <w:rsid w:val="00E62FAC"/>
    <w:rsid w:val="00E63232"/>
    <w:rsid w:val="00E65DF0"/>
    <w:rsid w:val="00E65FBC"/>
    <w:rsid w:val="00E67B2B"/>
    <w:rsid w:val="00E705A4"/>
    <w:rsid w:val="00E730EC"/>
    <w:rsid w:val="00E77725"/>
    <w:rsid w:val="00E812D8"/>
    <w:rsid w:val="00E84CBA"/>
    <w:rsid w:val="00E91B3E"/>
    <w:rsid w:val="00E926EF"/>
    <w:rsid w:val="00E943C2"/>
    <w:rsid w:val="00E975EF"/>
    <w:rsid w:val="00EA24CE"/>
    <w:rsid w:val="00EA4232"/>
    <w:rsid w:val="00EA66C4"/>
    <w:rsid w:val="00EB1F22"/>
    <w:rsid w:val="00EB224C"/>
    <w:rsid w:val="00EB3F83"/>
    <w:rsid w:val="00EB4E0C"/>
    <w:rsid w:val="00EB53BB"/>
    <w:rsid w:val="00EC0B3C"/>
    <w:rsid w:val="00EC5489"/>
    <w:rsid w:val="00EC56AA"/>
    <w:rsid w:val="00EC5984"/>
    <w:rsid w:val="00ED0C46"/>
    <w:rsid w:val="00ED2770"/>
    <w:rsid w:val="00ED5EE8"/>
    <w:rsid w:val="00ED7910"/>
    <w:rsid w:val="00EE2D80"/>
    <w:rsid w:val="00EE3A4E"/>
    <w:rsid w:val="00EE57FC"/>
    <w:rsid w:val="00EE63DB"/>
    <w:rsid w:val="00EE73B5"/>
    <w:rsid w:val="00EF189E"/>
    <w:rsid w:val="00EF4A0D"/>
    <w:rsid w:val="00EF4DEA"/>
    <w:rsid w:val="00EF57D0"/>
    <w:rsid w:val="00EF5F89"/>
    <w:rsid w:val="00EF787F"/>
    <w:rsid w:val="00F00333"/>
    <w:rsid w:val="00F0073E"/>
    <w:rsid w:val="00F03762"/>
    <w:rsid w:val="00F0489E"/>
    <w:rsid w:val="00F052F9"/>
    <w:rsid w:val="00F10088"/>
    <w:rsid w:val="00F10321"/>
    <w:rsid w:val="00F11A0D"/>
    <w:rsid w:val="00F1213C"/>
    <w:rsid w:val="00F12225"/>
    <w:rsid w:val="00F20443"/>
    <w:rsid w:val="00F210C8"/>
    <w:rsid w:val="00F23211"/>
    <w:rsid w:val="00F24150"/>
    <w:rsid w:val="00F26F17"/>
    <w:rsid w:val="00F3038E"/>
    <w:rsid w:val="00F35E16"/>
    <w:rsid w:val="00F35E8C"/>
    <w:rsid w:val="00F377AB"/>
    <w:rsid w:val="00F43DC1"/>
    <w:rsid w:val="00F47FDC"/>
    <w:rsid w:val="00F51A3A"/>
    <w:rsid w:val="00F5368C"/>
    <w:rsid w:val="00F53C0F"/>
    <w:rsid w:val="00F5426E"/>
    <w:rsid w:val="00F54ECE"/>
    <w:rsid w:val="00F57F53"/>
    <w:rsid w:val="00F61FEE"/>
    <w:rsid w:val="00F622E2"/>
    <w:rsid w:val="00F639E1"/>
    <w:rsid w:val="00F65AB4"/>
    <w:rsid w:val="00F66578"/>
    <w:rsid w:val="00F72A76"/>
    <w:rsid w:val="00F744CA"/>
    <w:rsid w:val="00F74E26"/>
    <w:rsid w:val="00F75AF6"/>
    <w:rsid w:val="00F7771A"/>
    <w:rsid w:val="00F82331"/>
    <w:rsid w:val="00F86386"/>
    <w:rsid w:val="00F8663B"/>
    <w:rsid w:val="00F87980"/>
    <w:rsid w:val="00F941C1"/>
    <w:rsid w:val="00F96A81"/>
    <w:rsid w:val="00FA01F6"/>
    <w:rsid w:val="00FA2D53"/>
    <w:rsid w:val="00FA7BCD"/>
    <w:rsid w:val="00FB1022"/>
    <w:rsid w:val="00FB2BF7"/>
    <w:rsid w:val="00FB38AE"/>
    <w:rsid w:val="00FB678D"/>
    <w:rsid w:val="00FC0663"/>
    <w:rsid w:val="00FC29E6"/>
    <w:rsid w:val="00FC2DC7"/>
    <w:rsid w:val="00FC5FF7"/>
    <w:rsid w:val="00FC6AE9"/>
    <w:rsid w:val="00FC7A17"/>
    <w:rsid w:val="00FD06E4"/>
    <w:rsid w:val="00FD1ABB"/>
    <w:rsid w:val="00FD28C9"/>
    <w:rsid w:val="00FD4603"/>
    <w:rsid w:val="00FE01F6"/>
    <w:rsid w:val="00FE1684"/>
    <w:rsid w:val="00FE2616"/>
    <w:rsid w:val="00FE2767"/>
    <w:rsid w:val="00FE3BF5"/>
    <w:rsid w:val="00FE5BBF"/>
    <w:rsid w:val="00FF0C28"/>
    <w:rsid w:val="00FF14AB"/>
    <w:rsid w:val="00FF1C3C"/>
    <w:rsid w:val="00FF38EA"/>
    <w:rsid w:val="00FF51FF"/>
    <w:rsid w:val="00FF528F"/>
    <w:rsid w:val="00FF7928"/>
    <w:rsid w:val="00FF7FEB"/>
    <w:rsid w:val="796A1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GB" w:eastAsia="en-US" w:bidi="ar-SA"/>
    </w:rPr>
  </w:style>
  <w:style w:type="paragraph" w:styleId="2">
    <w:name w:val="heading 1"/>
    <w:basedOn w:val="1"/>
    <w:next w:val="1"/>
    <w:link w:val="2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unhideWhenUsed/>
    <w:qFormat/>
    <w:uiPriority w:val="99"/>
    <w:pPr>
      <w:spacing w:line="240" w:lineRule="auto"/>
    </w:pPr>
    <w:rPr>
      <w:sz w:val="20"/>
      <w:szCs w:val="20"/>
    </w:rPr>
  </w:style>
  <w:style w:type="paragraph" w:styleId="5">
    <w:name w:val="toc 3"/>
    <w:basedOn w:val="1"/>
    <w:next w:val="1"/>
    <w:unhideWhenUsed/>
    <w:qFormat/>
    <w:uiPriority w:val="39"/>
    <w:pPr>
      <w:spacing w:after="100"/>
      <w:ind w:left="440"/>
    </w:pPr>
    <w:rPr>
      <w:lang w:val="en-US" w:eastAsia="ja-JP"/>
    </w:rPr>
  </w:style>
  <w:style w:type="paragraph" w:styleId="6">
    <w:name w:val="Plain Text"/>
    <w:basedOn w:val="1"/>
    <w:link w:val="33"/>
    <w:unhideWhenUsed/>
    <w:qFormat/>
    <w:uiPriority w:val="99"/>
    <w:pPr>
      <w:spacing w:after="0" w:line="240" w:lineRule="auto"/>
    </w:pPr>
    <w:rPr>
      <w:rFonts w:ascii="Calibri" w:hAnsi="Calibri" w:cs="Consolas"/>
      <w:szCs w:val="21"/>
    </w:rPr>
  </w:style>
  <w:style w:type="paragraph" w:styleId="7">
    <w:name w:val="Balloon Text"/>
    <w:basedOn w:val="1"/>
    <w:link w:val="24"/>
    <w:semiHidden/>
    <w:unhideWhenUsed/>
    <w:qFormat/>
    <w:uiPriority w:val="99"/>
    <w:pPr>
      <w:spacing w:after="0" w:line="240" w:lineRule="auto"/>
    </w:pPr>
    <w:rPr>
      <w:rFonts w:ascii="Tahoma" w:hAnsi="Tahoma" w:cs="Tahoma"/>
      <w:sz w:val="16"/>
      <w:szCs w:val="16"/>
    </w:rPr>
  </w:style>
  <w:style w:type="paragraph" w:styleId="8">
    <w:name w:val="footer"/>
    <w:basedOn w:val="1"/>
    <w:link w:val="26"/>
    <w:unhideWhenUsed/>
    <w:qFormat/>
    <w:uiPriority w:val="99"/>
    <w:pPr>
      <w:tabs>
        <w:tab w:val="center" w:pos="4513"/>
        <w:tab w:val="right" w:pos="9026"/>
      </w:tabs>
      <w:spacing w:after="0" w:line="240" w:lineRule="auto"/>
    </w:pPr>
  </w:style>
  <w:style w:type="paragraph" w:styleId="9">
    <w:name w:val="header"/>
    <w:basedOn w:val="1"/>
    <w:link w:val="25"/>
    <w:unhideWhenUsed/>
    <w:uiPriority w:val="99"/>
    <w:pPr>
      <w:tabs>
        <w:tab w:val="center" w:pos="4513"/>
        <w:tab w:val="right" w:pos="9026"/>
      </w:tabs>
      <w:spacing w:after="0" w:line="240" w:lineRule="auto"/>
    </w:pPr>
  </w:style>
  <w:style w:type="paragraph" w:styleId="10">
    <w:name w:val="toc 1"/>
    <w:basedOn w:val="1"/>
    <w:next w:val="1"/>
    <w:unhideWhenUsed/>
    <w:qFormat/>
    <w:uiPriority w:val="39"/>
    <w:pPr>
      <w:tabs>
        <w:tab w:val="left" w:pos="554"/>
        <w:tab w:val="right" w:leader="dot" w:pos="9016"/>
      </w:tabs>
      <w:spacing w:after="100"/>
    </w:pPr>
    <w:rPr>
      <w:lang w:val="en-US" w:eastAsia="ja-JP"/>
    </w:rPr>
  </w:style>
  <w:style w:type="paragraph" w:styleId="11">
    <w:name w:val="footnote text"/>
    <w:basedOn w:val="1"/>
    <w:link w:val="35"/>
    <w:semiHidden/>
    <w:unhideWhenUsed/>
    <w:qFormat/>
    <w:uiPriority w:val="0"/>
    <w:pPr>
      <w:snapToGrid w:val="0"/>
    </w:pPr>
    <w:rPr>
      <w:sz w:val="18"/>
      <w:szCs w:val="18"/>
    </w:rPr>
  </w:style>
  <w:style w:type="paragraph" w:styleId="12">
    <w:name w:val="toc 2"/>
    <w:basedOn w:val="1"/>
    <w:next w:val="1"/>
    <w:semiHidden/>
    <w:unhideWhenUsed/>
    <w:qFormat/>
    <w:uiPriority w:val="39"/>
    <w:pPr>
      <w:spacing w:after="100"/>
      <w:ind w:left="220"/>
    </w:pPr>
    <w:rPr>
      <w:lang w:val="en-US" w:eastAsia="ja-JP"/>
    </w:rPr>
  </w:style>
  <w:style w:type="paragraph" w:styleId="13">
    <w:name w:val="Normal (Web)"/>
    <w:basedOn w:val="1"/>
    <w:unhideWhenUsed/>
    <w:qFormat/>
    <w:uiPriority w:val="99"/>
    <w:pPr>
      <w:spacing w:before="100" w:beforeAutospacing="1" w:after="100" w:afterAutospacing="1" w:line="240" w:lineRule="auto"/>
    </w:pPr>
    <w:rPr>
      <w:rFonts w:ascii="宋体" w:hAnsi="宋体" w:eastAsia="宋体" w:cs="宋体"/>
      <w:sz w:val="24"/>
      <w:szCs w:val="24"/>
      <w:lang w:val="en-US" w:eastAsia="zh-CN"/>
    </w:rPr>
  </w:style>
  <w:style w:type="paragraph" w:styleId="14">
    <w:name w:val="annotation subject"/>
    <w:basedOn w:val="4"/>
    <w:next w:val="4"/>
    <w:link w:val="29"/>
    <w:semiHidden/>
    <w:unhideWhenUsed/>
    <w:qFormat/>
    <w:uiPriority w:val="99"/>
    <w:rPr>
      <w:b/>
      <w:bCs/>
    </w:rPr>
  </w:style>
  <w:style w:type="table" w:styleId="16">
    <w:name w:val="Table Grid"/>
    <w:basedOn w:val="1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styleId="20">
    <w:name w:val="annotation reference"/>
    <w:basedOn w:val="17"/>
    <w:semiHidden/>
    <w:unhideWhenUsed/>
    <w:uiPriority w:val="99"/>
    <w:rPr>
      <w:sz w:val="16"/>
      <w:szCs w:val="16"/>
    </w:rPr>
  </w:style>
  <w:style w:type="character" w:styleId="21">
    <w:name w:val="footnote reference"/>
    <w:basedOn w:val="17"/>
    <w:semiHidden/>
    <w:unhideWhenUsed/>
    <w:qFormat/>
    <w:uiPriority w:val="0"/>
    <w:rPr>
      <w:vertAlign w:val="superscript"/>
    </w:rPr>
  </w:style>
  <w:style w:type="paragraph" w:styleId="22">
    <w:name w:val="List Paragraph"/>
    <w:basedOn w:val="1"/>
    <w:qFormat/>
    <w:uiPriority w:val="34"/>
    <w:pPr>
      <w:ind w:left="720"/>
      <w:contextualSpacing/>
    </w:pPr>
  </w:style>
  <w:style w:type="character" w:customStyle="1" w:styleId="23">
    <w:name w:val="批注文字 Char"/>
    <w:basedOn w:val="17"/>
    <w:link w:val="4"/>
    <w:qFormat/>
    <w:uiPriority w:val="99"/>
    <w:rPr>
      <w:sz w:val="20"/>
      <w:szCs w:val="20"/>
    </w:rPr>
  </w:style>
  <w:style w:type="character" w:customStyle="1" w:styleId="24">
    <w:name w:val="批注框文本 Char"/>
    <w:basedOn w:val="17"/>
    <w:link w:val="7"/>
    <w:semiHidden/>
    <w:qFormat/>
    <w:uiPriority w:val="99"/>
    <w:rPr>
      <w:rFonts w:ascii="Tahoma" w:hAnsi="Tahoma" w:cs="Tahoma"/>
      <w:sz w:val="16"/>
      <w:szCs w:val="16"/>
    </w:rPr>
  </w:style>
  <w:style w:type="character" w:customStyle="1" w:styleId="25">
    <w:name w:val="页眉 Char"/>
    <w:basedOn w:val="17"/>
    <w:link w:val="9"/>
    <w:qFormat/>
    <w:uiPriority w:val="99"/>
  </w:style>
  <w:style w:type="character" w:customStyle="1" w:styleId="26">
    <w:name w:val="页脚 Char"/>
    <w:basedOn w:val="17"/>
    <w:link w:val="8"/>
    <w:qFormat/>
    <w:uiPriority w:val="99"/>
  </w:style>
  <w:style w:type="character" w:customStyle="1" w:styleId="27">
    <w:name w:val="标题 1 Char"/>
    <w:basedOn w:val="17"/>
    <w:link w:val="2"/>
    <w:qFormat/>
    <w:uiPriority w:val="9"/>
    <w:rPr>
      <w:rFonts w:asciiTheme="majorHAnsi" w:hAnsiTheme="majorHAnsi" w:eastAsiaTheme="majorEastAsia" w:cstheme="majorBidi"/>
      <w:b/>
      <w:bCs/>
      <w:color w:val="376092" w:themeColor="accent1" w:themeShade="BF"/>
      <w:sz w:val="28"/>
      <w:szCs w:val="28"/>
    </w:rPr>
  </w:style>
  <w:style w:type="paragraph" w:customStyle="1" w:styleId="28">
    <w:name w:val="TOC Heading"/>
    <w:basedOn w:val="2"/>
    <w:next w:val="1"/>
    <w:unhideWhenUsed/>
    <w:qFormat/>
    <w:uiPriority w:val="39"/>
    <w:pPr>
      <w:outlineLvl w:val="9"/>
    </w:pPr>
    <w:rPr>
      <w:lang w:val="en-US" w:eastAsia="ja-JP"/>
    </w:rPr>
  </w:style>
  <w:style w:type="character" w:customStyle="1" w:styleId="29">
    <w:name w:val="批注主题 Char"/>
    <w:basedOn w:val="23"/>
    <w:link w:val="14"/>
    <w:semiHidden/>
    <w:qFormat/>
    <w:uiPriority w:val="99"/>
    <w:rPr>
      <w:b/>
      <w:bCs/>
      <w:sz w:val="20"/>
      <w:szCs w:val="20"/>
    </w:rPr>
  </w:style>
  <w:style w:type="table" w:customStyle="1" w:styleId="30">
    <w:name w:val="Table Grid1"/>
    <w:basedOn w:val="15"/>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Table Grid2"/>
    <w:basedOn w:val="15"/>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Table Grid3"/>
    <w:basedOn w:val="15"/>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纯文本 Char"/>
    <w:basedOn w:val="17"/>
    <w:link w:val="6"/>
    <w:qFormat/>
    <w:uiPriority w:val="99"/>
    <w:rPr>
      <w:rFonts w:ascii="Calibri" w:hAnsi="Calibri" w:cs="Consolas"/>
      <w:szCs w:val="21"/>
    </w:rPr>
  </w:style>
  <w:style w:type="paragraph" w:customStyle="1" w:styleId="34">
    <w:name w:val="Default"/>
    <w:qFormat/>
    <w:uiPriority w:val="0"/>
    <w:pPr>
      <w:autoSpaceDE w:val="0"/>
      <w:autoSpaceDN w:val="0"/>
      <w:adjustRightInd w:val="0"/>
      <w:spacing w:after="0" w:line="240" w:lineRule="auto"/>
    </w:pPr>
    <w:rPr>
      <w:rFonts w:ascii="Cambria" w:hAnsi="Cambria" w:cs="Cambria" w:eastAsiaTheme="minorEastAsia"/>
      <w:color w:val="000000"/>
      <w:sz w:val="24"/>
      <w:szCs w:val="24"/>
      <w:lang w:val="en-GB" w:eastAsia="en-US" w:bidi="ar-SA"/>
    </w:rPr>
  </w:style>
  <w:style w:type="character" w:customStyle="1" w:styleId="35">
    <w:name w:val="脚注文本 Char"/>
    <w:basedOn w:val="17"/>
    <w:link w:val="11"/>
    <w:semiHidden/>
    <w:qFormat/>
    <w:uiPriority w:val="0"/>
    <w:rPr>
      <w:sz w:val="18"/>
      <w:szCs w:val="18"/>
    </w:rPr>
  </w:style>
  <w:style w:type="paragraph" w:customStyle="1" w:styleId="36">
    <w:name w:val="正文1"/>
    <w:basedOn w:val="1"/>
    <w:qFormat/>
    <w:uiPriority w:val="0"/>
    <w:pPr>
      <w:spacing w:after="120" w:line="360" w:lineRule="atLeast"/>
    </w:pPr>
    <w:rPr>
      <w:rFonts w:ascii="Times New Roman" w:hAnsi="Times New Roman" w:eastAsia="宋体" w:cs="Times New Roman"/>
      <w:sz w:val="26"/>
      <w:szCs w:val="26"/>
      <w:lang w:eastAsia="en-GB"/>
    </w:rPr>
  </w:style>
  <w:style w:type="character" w:customStyle="1" w:styleId="37">
    <w:name w:val="标题 2 Char"/>
    <w:basedOn w:val="17"/>
    <w:link w:val="3"/>
    <w:semiHidden/>
    <w:qFormat/>
    <w:uiPriority w:val="9"/>
    <w:rPr>
      <w:rFonts w:asciiTheme="majorHAnsi" w:hAnsiTheme="majorHAnsi" w:eastAsiaTheme="majorEastAsia" w:cstheme="majorBidi"/>
      <w:b/>
      <w:bCs/>
      <w:sz w:val="32"/>
      <w:szCs w:val="32"/>
    </w:rPr>
  </w:style>
  <w:style w:type="paragraph" w:customStyle="1" w:styleId="38">
    <w:name w:val="Revision"/>
    <w:hidden/>
    <w:semiHidden/>
    <w:qFormat/>
    <w:uiPriority w:val="99"/>
    <w:pPr>
      <w:spacing w:after="0" w:line="240" w:lineRule="auto"/>
    </w:pPr>
    <w:rPr>
      <w:rFonts w:asciiTheme="minorHAnsi" w:hAnsiTheme="minorHAnsi" w:eastAsiaTheme="minorEastAsia" w:cstheme="minorBidi"/>
      <w:sz w:val="22"/>
      <w:szCs w:val="22"/>
      <w:lang w:val="en-GB" w:eastAsia="en-US" w:bidi="ar-SA"/>
    </w:rPr>
  </w:style>
  <w:style w:type="character" w:customStyle="1" w:styleId="39">
    <w:name w:val="apple-converted-space"/>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78AAC4AE2C944389CB7A5252B00504" ma:contentTypeVersion="0" ma:contentTypeDescription="Create a new document." ma:contentTypeScope="" ma:versionID="461453fc46f689ad0e5197bead712de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4818E-9E71-4EF7-AFE7-22FE9371A0F7}">
  <ds:schemaRefs/>
</ds:datastoreItem>
</file>

<file path=customXml/itemProps2.xml><?xml version="1.0" encoding="utf-8"?>
<ds:datastoreItem xmlns:ds="http://schemas.openxmlformats.org/officeDocument/2006/customXml" ds:itemID="{E4D79B5F-CC69-4F09-94E9-146EFF056011}">
  <ds:schemaRefs/>
</ds:datastoreItem>
</file>

<file path=customXml/itemProps3.xml><?xml version="1.0" encoding="utf-8"?>
<ds:datastoreItem xmlns:ds="http://schemas.openxmlformats.org/officeDocument/2006/customXml" ds:itemID="{5702293F-EC91-4FEA-8F9A-14A678058100}">
  <ds:schemaRefs/>
</ds:datastoreItem>
</file>

<file path=customXml/itemProps4.xml><?xml version="1.0" encoding="utf-8"?>
<ds:datastoreItem xmlns:ds="http://schemas.openxmlformats.org/officeDocument/2006/customXml" ds:itemID="{BBE4CF08-0420-45BD-8367-497571D51528}">
  <ds:schemaRefs/>
</ds:datastoreItem>
</file>

<file path=docProps/app.xml><?xml version="1.0" encoding="utf-8"?>
<Properties xmlns="http://schemas.openxmlformats.org/officeDocument/2006/extended-properties" xmlns:vt="http://schemas.openxmlformats.org/officeDocument/2006/docPropsVTypes">
  <Template>Normal</Template>
  <Company>UK SBS</Company>
  <Pages>10</Pages>
  <Words>2483</Words>
  <Characters>14306</Characters>
  <Lines>125</Lines>
  <Paragraphs>35</Paragraphs>
  <TotalTime>2798</TotalTime>
  <ScaleCrop>false</ScaleCrop>
  <LinksUpToDate>false</LinksUpToDate>
  <CharactersWithSpaces>16650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2020-06-23T07:05:00Z</dcterms:created>
  <dc:creator>Kate Hamer (BBSRC, SO)</dc:creator>
  <cp:lastModifiedBy>没有人了</cp:lastModifiedBy>
  <cp:lastPrinted>2020-07-29T08:10:00Z</cp:lastPrinted>
  <dcterms:modified xsi:type="dcterms:W3CDTF">2022-09-04T09:47:11Z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0x0101007478AAC4AE2C944389CB7A5252B00504</vt:lpwstr>
  </property>
  <property fmtid="{D5CDD505-2E9C-101B-9397-08002B2CF9AE}" pid="3" name="KSOProductBuildVer">
    <vt:lpwstr>2052-11.1.0.12313</vt:lpwstr>
  </property>
  <property fmtid="{D5CDD505-2E9C-101B-9397-08002B2CF9AE}" pid="4" name="ICV">
    <vt:lpwstr>4401D9F82D6F4066825C5D2B0297AB09</vt:lpwstr>
  </property>
</Properties>
</file>