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17"/>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bdr w:val="none" w:color="auto" w:sz="0" w:space="0"/>
          <w:shd w:val="clear" w:fill="FFFFFF"/>
        </w:rPr>
        <w:t>关于济南海能仪器股份有限公司申请向特定对象发行股票的审核意见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rPr>
      </w:pPr>
      <w:bookmarkStart w:id="2" w:name="_GoBack"/>
      <w:r>
        <w:rPr>
          <w:rFonts w:hint="eastAsia" w:ascii="宋体" w:hAnsi="宋体" w:eastAsia="宋体" w:cs="宋体"/>
          <w:i w:val="0"/>
          <w:iCs w:val="0"/>
          <w:caps w:val="0"/>
          <w:color w:val="333333"/>
          <w:spacing w:val="0"/>
          <w:sz w:val="16"/>
          <w:szCs w:val="16"/>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申请人全称为“济南海能仪器股份有限公司”（股票代码为830855，基础层企业），成立于2006年11月29日，2012年11月16日改制为股份公司，并于2014年1月24日在全国中小企业股份转让系统（以下简称全国股转系统）挂牌公开转让。截至股东大会股权登记日（2016年6月3日），申请人股东人数为223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申请人法定代表人和实际控制人均为王志刚，注册地为山东济南市高新区天辰路677号3号楼，注册资本为7,301.4080万元。申请人主营业务为食品药品领域的分析仪器及其应用软件的研发、生产和销售。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向特定对象发行股票的行政许可申请于2016年9月9日正式受理。依据《公司法》、《证券法》、《非上市公众公司监督管理办法》（以下简称《管理办法》）、《非上市公众公司信息披露内容与格式准则第3号——定向发行说明书和发行情况报告书》、《非上市公众公司信息披露内容与格式准则第4号——定向发行申请文件》等相关规定，我会对申请人提交的申请文件进行了合规性审核，于2016年9月19日对申请人发出书面反馈，申请人及主办券商、会计师与2016年10月24日提交了书面反馈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全国股转系统就本次发行出具了《关于济南海能仪器股份有限公司股票发行的自律监管情况函》，未发现申请人存在重大违法违规行为。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（一）关于股份支付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审核中关注到，据申请人披露，本次发行适用《企业会计准则第11号—股份支付》，需于2016年内计提352.90万元股权激励成本，从而相应减少当期利润，对申请人业绩产生一定影响。对此，请申请人结合准则具体条文规定，规范完整的补充披露本次发行适用股份支付的相关情况，包括但不限于权益工具公允价值的确定方法、激励成本摊销的计算过程、相关账务处理情况。同时，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申请人补充披露如下：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1、权益工具公允价值的确定方法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根据《企业会计准则第22号—金融工具确认和计量》中关于公允价值确定的相关规定，申请人选择Black-Scholes模型来计算期权的公允价值，使用该模型以2015年10月13日作为基准日，对股权激励涉及期权的公允价值进行了测算，每份权益工具的公允价值为2.66元，股权激励整体权益工具公允价值为320*2.66=852.29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2、激励成本摊销的计算过程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申请人股权激励第一期行权系基于2014年业绩情况</w:t>
      </w:r>
      <w:bookmarkEnd w:id="2"/>
      <w:r>
        <w:rPr>
          <w:rFonts w:hint="eastAsia" w:ascii="宋体" w:hAnsi="宋体" w:eastAsia="宋体" w:cs="宋体"/>
          <w:i w:val="0"/>
          <w:iCs w:val="0"/>
          <w:caps w:val="0"/>
          <w:color w:val="333333"/>
          <w:spacing w:val="0"/>
          <w:sz w:val="16"/>
          <w:szCs w:val="16"/>
          <w:u w:val="none"/>
          <w:bdr w:val="none" w:color="auto" w:sz="0" w:space="0"/>
          <w:shd w:val="clear" w:fill="FFFFFF"/>
        </w:rPr>
        <w:t>制定，系授予后立即可行权的换取职工服务的以权益结算的股份支付，在授予日按照权益工具的公允价值计入管理费用，并相应增加资本公积。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股权激励后两期行权需考核2015年、2016年业绩实现情况，系达到规定业绩条件才可行权的换取职工服务的以权益结算的股份支付，其中第二期股权激励涉及激励成本在授予日起的12个月内摊销，第三期股权激励涉及激励成本在授予日起的24个月内摊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股权激励对申请人2016年业绩的影响金额计算过程如下：2016年因股权激励事宜需计提股份支付金额=</w:t>
      </w:r>
      <w:r>
        <w:rPr>
          <w:rFonts w:hint="eastAsia" w:ascii="宋体" w:hAnsi="宋体" w:eastAsia="宋体" w:cs="宋体"/>
          <w:i w:val="0"/>
          <w:iCs w:val="0"/>
          <w:caps w:val="0"/>
          <w:color w:val="333333"/>
          <w:spacing w:val="0"/>
          <w:sz w:val="16"/>
          <w:szCs w:val="16"/>
          <w:u w:val="none"/>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16"/>
          <w:szCs w:val="16"/>
          <w:u w:val="none"/>
          <w:bdr w:val="none" w:color="auto" w:sz="0" w:space="0"/>
          <w:shd w:val="clear" w:fill="FFFFFF"/>
        </w:rPr>
        <w:t>=352.90（万元）（注：本处测算尾差系四舍五入因素影响）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3、账务处理情况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股权激励事宜：申请人2016年因股权激励事宜需计提管理费用352.90万元，并相应计入资本公积；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定向发行事宜：申请人待本次发行资金到位时，将按照募集资金扣除发行费用后的净额（不超过本次募集资金金额279.84万元），按发行股票面值计股本，差额部分计入资本公积。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主办券商认为，申请人按照Black-Scholes模型对股权激励成本进行了合理测算，并在等待期内进行摊销。股权激励事宜对公司2016年业绩影响情况的会计处理符合《企业会计准则第11号—股份支付》相关规定。申请人已于更新后的定向发行说明书对股份支付的影响情况进行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会计师经核查后认为，申请人按照Black-Scholes模型对股权激励成本进行了合理测算，并在等待期内进行摊销，申请人股权激励事宜对2016年度经营业绩的影响情况已经得到合理预计，并且会计处理在重大方面符合《企业会计准则》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（二）关于资金占用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审核中关注到，申请人未披露报告期内是否存在资金占用等违规使用资金的情况。对此，请申请人补充披露报告期内是否存在资金占用等违规使用资金的情况。同时，请主办券商、会计师核查并发表明确意见。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lef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lef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未存在资金占用等违规使用资金的情况。同时为有效防止股东及其关联方占用或者转移公司资金、资产及其他资源行为的发生，申请人通过制定《章程》、《对外担保管理制度》、《关联交易管理制度》等内控制度对公司资金、资产及其他资源的使用、决策权限和程序等内容作出了具体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lef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主办券商和会计师认为，申请人已经建立防范关联方占用公司资源（资金）的相关制度，相关制度得到切实履行，报告期内公司不存在资金占用等违规使用资金的情况。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（三）关于盈利状况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审核中关注到，申请人2015年度营业收入、净利润较2014年度均有较大增长，但2016年上半年营业收入、净利润与2015年全年情况看，明显较低，扣非后净利润为负。对此，请申请人结合产品、收入构成、成本费用结构情况，补充披露：（1）报告期内收入利润波动的具体原因；（2）2016年上半年盈利较低的原因；（3）结合主要产品的销售模式、目前订单合同情况分析申请人持续经营能力，同时请主办券商、会计师核查并发表明确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申请人补充披露如下：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1、关于报告期内收入利润波动的具体原因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（1）营业收入分析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报告期内，申请人营业收入构成情况如下表所示：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86"/>
        <w:gridCol w:w="1440"/>
        <w:gridCol w:w="975"/>
        <w:gridCol w:w="1339"/>
        <w:gridCol w:w="887"/>
        <w:gridCol w:w="1168"/>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786"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bookmarkStart w:id="0" w:name="OLE_LINK7"/>
            <w:r>
              <w:rPr>
                <w:rFonts w:hint="eastAsia" w:ascii="宋体" w:hAnsi="宋体" w:eastAsia="宋体" w:cs="宋体"/>
                <w:i w:val="0"/>
                <w:iCs w:val="0"/>
                <w:caps w:val="0"/>
                <w:color w:val="333333"/>
                <w:spacing w:val="0"/>
                <w:sz w:val="16"/>
                <w:szCs w:val="16"/>
                <w:u w:val="none"/>
                <w:bdr w:val="none" w:color="auto" w:sz="0" w:space="0"/>
              </w:rPr>
              <w:t>项目</w:t>
            </w:r>
            <w:bookmarkEnd w:id="0"/>
          </w:p>
        </w:tc>
        <w:tc>
          <w:tcPr>
            <w:tcW w:w="2415"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226"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2015年度</w:t>
            </w:r>
          </w:p>
        </w:tc>
        <w:tc>
          <w:tcPr>
            <w:tcW w:w="2095"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786"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78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主营业务收入</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3,259.90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87.45</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10,706.18</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97.89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6,466.28</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78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其他业务收入</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467.77</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12.55</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230.96</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246.63</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786"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4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3,727.67</w:t>
            </w:r>
          </w:p>
        </w:tc>
        <w:tc>
          <w:tcPr>
            <w:tcW w:w="97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33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10,937.14</w:t>
            </w:r>
          </w:p>
        </w:tc>
        <w:tc>
          <w:tcPr>
            <w:tcW w:w="88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6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6,712.91</w:t>
            </w:r>
          </w:p>
        </w:tc>
        <w:tc>
          <w:tcPr>
            <w:tcW w:w="92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主营业务收入全部为实验室分析仪器销售收入，2014年、2015年分别实现收入金额为6,466.28万元、10,706.18万元，相对同期增幅分别为21.86%、65.57%；2016年1-6月，申请人实现主营业务收入为3,259.90万元，相对2015年1-6月的1,950.88万元，增幅为67.10%。综上，报告期内申请人主营业务收入保持增长态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申请人主营业务收入按产品结构划分如下：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1"/>
        <w:gridCol w:w="1215"/>
        <w:gridCol w:w="1065"/>
        <w:gridCol w:w="1339"/>
        <w:gridCol w:w="887"/>
        <w:gridCol w:w="1168"/>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0" w:hRule="atLeast"/>
        </w:trPr>
        <w:tc>
          <w:tcPr>
            <w:tcW w:w="192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2280"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226"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2015年度</w:t>
            </w:r>
          </w:p>
        </w:tc>
        <w:tc>
          <w:tcPr>
            <w:tcW w:w="2095"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921"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元素分析系列</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649.20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19.91</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4,739.89</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44.27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3,221.77</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样品前处理仪器</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1,741.10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53.41</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3,632.16</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33.93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1,643.35</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物理光学分析仪器</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253.96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7.79</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479.23</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4.48</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587.30</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电化学分析仪器</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58.89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1.81</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608.75</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5.69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420.67</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其他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556.75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17.08</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1,246.15</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11.64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593.18</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921"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2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3,259.90</w:t>
            </w:r>
          </w:p>
        </w:tc>
        <w:tc>
          <w:tcPr>
            <w:tcW w:w="106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33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10,706.18</w:t>
            </w:r>
          </w:p>
        </w:tc>
        <w:tc>
          <w:tcPr>
            <w:tcW w:w="88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6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6,466.28</w:t>
            </w:r>
          </w:p>
        </w:tc>
        <w:tc>
          <w:tcPr>
            <w:tcW w:w="92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主营业务为食品、药品领域的分析仪器及其应用软件的研发、生产和销售，主要为企业、高等院校和科研监测机构提供包括元素分析系列、物理光学分析仪器、电化学分析仪器和样品前处理仪器等产品。报告期内，申请人分析仪器销售以元素分析系列、样品前处理仪器为主，合计占主营业务收入的比例均在70%以上。2015年8月，申请人完成对上海新仪100%股权的收购，巩固在样品前处理环节的微波化学仪器业务的行业优势地位，推动该业务进一步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（2）营业成本分析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报告期内，申请人营业成本构成情况如下所示：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8"/>
        <w:gridCol w:w="1043"/>
        <w:gridCol w:w="1042"/>
        <w:gridCol w:w="1167"/>
        <w:gridCol w:w="887"/>
        <w:gridCol w:w="1168"/>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288"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2085"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054"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2015年度</w:t>
            </w:r>
          </w:p>
        </w:tc>
        <w:tc>
          <w:tcPr>
            <w:tcW w:w="2095"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288"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28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主营业务成本</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1,057.48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83.80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3,755.45</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98.93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2,077.04</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28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其他业务成本</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204.40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16.20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40.50</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37.18</w:t>
            </w:r>
          </w:p>
        </w:tc>
        <w:tc>
          <w:tcPr>
            <w:tcW w:w="92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288"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04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1,261.88</w:t>
            </w:r>
          </w:p>
        </w:tc>
        <w:tc>
          <w:tcPr>
            <w:tcW w:w="104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6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3,795.95</w:t>
            </w:r>
          </w:p>
        </w:tc>
        <w:tc>
          <w:tcPr>
            <w:tcW w:w="88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6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2,114.22</w:t>
            </w:r>
          </w:p>
        </w:tc>
        <w:tc>
          <w:tcPr>
            <w:tcW w:w="92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与营业收入结构相对应，营业成本以主营业务成本为主。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2"/>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主营业务成本构成如下：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57"/>
        <w:gridCol w:w="1908"/>
        <w:gridCol w:w="1825"/>
        <w:gridCol w:w="1841"/>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65" w:type="dxa"/>
            <w:gridSpan w:val="2"/>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82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184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1891"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5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自产成本</w:t>
            </w: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材料成本</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901.13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3,270.41</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人工成本</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96.15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222.05</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384.20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5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制造费用</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49.80</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252.19</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298.62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小计</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1,047.08</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3,785.15</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2,049.88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5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占主营业务成本比</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99.02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99.72</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5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外协成本</w:t>
            </w: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外协成本</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10.40</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10.81</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5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占主营业务成本比</w:t>
            </w:r>
          </w:p>
        </w:tc>
        <w:tc>
          <w:tcPr>
            <w:tcW w:w="1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0.98</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0.28</w:t>
            </w:r>
          </w:p>
        </w:tc>
        <w:tc>
          <w:tcPr>
            <w:tcW w:w="189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65"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82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1,057.48</w:t>
            </w:r>
          </w:p>
        </w:tc>
        <w:tc>
          <w:tcPr>
            <w:tcW w:w="184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3,755.45</w:t>
            </w:r>
          </w:p>
        </w:tc>
        <w:tc>
          <w:tcPr>
            <w:tcW w:w="1891"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2,077.04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其中材料成本占申请人主营业务成本的比例分别为65.82%、88.16%、85.21%，是影响申请人主营业务成本的主要因素。2015年，材料成本同比上升1,940.53万元，增幅为145.92%。一方面，申请人经营规模的扩大是材料成本上升的主要因素；另一方面，申请人研发实力得到增强，通过研发新产品、改良产品结构等方式进一步提升产品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（3）期间费用分析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报告期内，申请人期间费用及占收入比重情况如下表所示：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57"/>
        <w:gridCol w:w="1374"/>
        <w:gridCol w:w="1061"/>
        <w:gridCol w:w="1221"/>
        <w:gridCol w:w="1479"/>
        <w:gridCol w:w="1272"/>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2435"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700"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330"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占收入比</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占收入比</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0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占收入比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销售费用</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1,008.23</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27.05</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1,704.41</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15.58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1,163.33</w:t>
            </w:r>
          </w:p>
        </w:tc>
        <w:tc>
          <w:tcPr>
            <w:tcW w:w="1058" w:type="dxa"/>
            <w:tcBorders>
              <w:top w:val="single" w:color="000000" w:sz="4" w:space="0"/>
              <w:left w:val="single" w:color="000000" w:sz="4" w:space="0"/>
              <w:bottom w:val="single" w:color="000000" w:sz="4" w:space="0"/>
              <w:right w:val="single" w:color="000000" w:sz="12"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管理费用</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1,860.30</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49.91</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3,141.75</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28.73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1,831.83</w:t>
            </w:r>
          </w:p>
        </w:tc>
        <w:tc>
          <w:tcPr>
            <w:tcW w:w="1058" w:type="dxa"/>
            <w:tcBorders>
              <w:top w:val="single" w:color="000000" w:sz="4" w:space="0"/>
              <w:left w:val="single" w:color="000000" w:sz="4" w:space="0"/>
              <w:bottom w:val="single" w:color="000000" w:sz="4" w:space="0"/>
              <w:right w:val="single" w:color="000000" w:sz="12"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财务费用</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-6.53</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-0.18</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-51.30</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-0.47</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62.69</w:t>
            </w:r>
          </w:p>
        </w:tc>
        <w:tc>
          <w:tcPr>
            <w:tcW w:w="10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057"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374"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2,862.00</w:t>
            </w:r>
          </w:p>
        </w:tc>
        <w:tc>
          <w:tcPr>
            <w:tcW w:w="106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76.78</w:t>
            </w:r>
          </w:p>
        </w:tc>
        <w:tc>
          <w:tcPr>
            <w:tcW w:w="122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4,794.86</w:t>
            </w:r>
          </w:p>
        </w:tc>
        <w:tc>
          <w:tcPr>
            <w:tcW w:w="147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43.84</w:t>
            </w:r>
          </w:p>
        </w:tc>
        <w:tc>
          <w:tcPr>
            <w:tcW w:w="127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3,057.85</w:t>
            </w:r>
          </w:p>
        </w:tc>
        <w:tc>
          <w:tcPr>
            <w:tcW w:w="1058"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45.55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其中，销售费用及其占比情况如下表所示：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3"/>
        <w:gridCol w:w="1330"/>
        <w:gridCol w:w="1331"/>
        <w:gridCol w:w="1135"/>
        <w:gridCol w:w="1135"/>
        <w:gridCol w:w="1135"/>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23"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2661"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270"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268"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3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人工费用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524.34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52.01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683.39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40.10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456.92</w:t>
            </w:r>
          </w:p>
        </w:tc>
        <w:tc>
          <w:tcPr>
            <w:tcW w:w="113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资产费用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40.84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4.05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104.13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57.12</w:t>
            </w:r>
          </w:p>
        </w:tc>
        <w:tc>
          <w:tcPr>
            <w:tcW w:w="113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销货费用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258.94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25.68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637.81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37.42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309.24</w:t>
            </w:r>
          </w:p>
        </w:tc>
        <w:tc>
          <w:tcPr>
            <w:tcW w:w="113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办公费用</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184.11</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18.26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279.08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16.37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340.05</w:t>
            </w:r>
          </w:p>
        </w:tc>
        <w:tc>
          <w:tcPr>
            <w:tcW w:w="113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32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33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1,008.23</w:t>
            </w:r>
          </w:p>
        </w:tc>
        <w:tc>
          <w:tcPr>
            <w:tcW w:w="133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1,704.41</w:t>
            </w:r>
          </w:p>
        </w:tc>
        <w:tc>
          <w:tcPr>
            <w:tcW w:w="11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1,163.33</w:t>
            </w:r>
          </w:p>
        </w:tc>
        <w:tc>
          <w:tcPr>
            <w:tcW w:w="1133"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销售费用主要由人工费用、销货费用、办公费用等组成，报告期内前述三项费用占销售费用比重合计分别为95.95%、93.89%、95.09%，其变动是导致申请人销售费用总额变动的主要原因。人工费用增加的主要原因系两方面影响，一方面，销售渠道是保障申请人盈利能力的重要基础，报告期内申请人持续加强对销售团队的建设，销售人员由报告期初的76人增至期末的123人，其中2016年1-6月，销售人员增加25人，导致当期职工薪酬相应上升；另一方面，申请人系按月发放销售人员业绩提成，并于每年春节前后发放上一年度的年度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管理费用及其占比情况如下：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6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45"/>
        <w:gridCol w:w="1352"/>
        <w:gridCol w:w="1353"/>
        <w:gridCol w:w="1154"/>
        <w:gridCol w:w="1154"/>
        <w:gridCol w:w="1154"/>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vMerge w:val="restart"/>
            <w:tcBorders>
              <w:top w:val="single" w:color="000000" w:sz="12" w:space="0"/>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2705" w:type="dxa"/>
            <w:gridSpan w:val="2"/>
            <w:tcBorders>
              <w:top w:val="single" w:color="000000" w:sz="12"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308" w:type="dxa"/>
            <w:gridSpan w:val="2"/>
            <w:tcBorders>
              <w:top w:val="single" w:color="000000" w:sz="12"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306" w:type="dxa"/>
            <w:gridSpan w:val="2"/>
            <w:tcBorders>
              <w:top w:val="single" w:color="000000" w:sz="12" w:space="0"/>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vMerge w:val="continue"/>
            <w:tcBorders>
              <w:top w:val="single" w:color="000000" w:sz="12" w:space="0"/>
              <w:left w:val="single" w:color="000000" w:sz="12" w:space="0"/>
              <w:bottom w:val="single" w:color="000000" w:sz="8" w:space="0"/>
              <w:right w:val="single" w:color="000000" w:sz="8"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352"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353"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52"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人工费用</w:t>
            </w:r>
          </w:p>
        </w:tc>
        <w:tc>
          <w:tcPr>
            <w:tcW w:w="1352"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438.80</w:t>
            </w:r>
          </w:p>
        </w:tc>
        <w:tc>
          <w:tcPr>
            <w:tcW w:w="1353"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23.59</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1,347.22</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42.88</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920.45</w:t>
            </w:r>
          </w:p>
        </w:tc>
        <w:tc>
          <w:tcPr>
            <w:tcW w:w="1152"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资产费用</w:t>
            </w:r>
          </w:p>
        </w:tc>
        <w:tc>
          <w:tcPr>
            <w:tcW w:w="1352"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938.24</w:t>
            </w:r>
          </w:p>
        </w:tc>
        <w:tc>
          <w:tcPr>
            <w:tcW w:w="1353"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50.43</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1,013.99</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32.27</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392.34</w:t>
            </w:r>
          </w:p>
        </w:tc>
        <w:tc>
          <w:tcPr>
            <w:tcW w:w="1152"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税金</w:t>
            </w:r>
          </w:p>
        </w:tc>
        <w:tc>
          <w:tcPr>
            <w:tcW w:w="1352"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50.09</w:t>
            </w:r>
          </w:p>
        </w:tc>
        <w:tc>
          <w:tcPr>
            <w:tcW w:w="1353"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2.69</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116.53</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3.71</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42.39</w:t>
            </w:r>
          </w:p>
        </w:tc>
        <w:tc>
          <w:tcPr>
            <w:tcW w:w="1152"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办公费用</w:t>
            </w:r>
          </w:p>
        </w:tc>
        <w:tc>
          <w:tcPr>
            <w:tcW w:w="1352"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433.17</w:t>
            </w:r>
          </w:p>
        </w:tc>
        <w:tc>
          <w:tcPr>
            <w:tcW w:w="1353"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23.29</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664.01</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21.14</w:t>
            </w:r>
          </w:p>
        </w:tc>
        <w:tc>
          <w:tcPr>
            <w:tcW w:w="1154"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476.65</w:t>
            </w:r>
          </w:p>
        </w:tc>
        <w:tc>
          <w:tcPr>
            <w:tcW w:w="1152"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1345" w:type="dxa"/>
            <w:tcBorders>
              <w:top w:val="nil"/>
              <w:left w:val="single" w:color="000000" w:sz="12" w:space="0"/>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352"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1,860.30</w:t>
            </w:r>
          </w:p>
        </w:tc>
        <w:tc>
          <w:tcPr>
            <w:tcW w:w="1353"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54"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3,141.75</w:t>
            </w:r>
          </w:p>
        </w:tc>
        <w:tc>
          <w:tcPr>
            <w:tcW w:w="1154"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c>
          <w:tcPr>
            <w:tcW w:w="1154"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1,831.83</w:t>
            </w:r>
          </w:p>
        </w:tc>
        <w:tc>
          <w:tcPr>
            <w:tcW w:w="1152" w:type="dxa"/>
            <w:tcBorders>
              <w:top w:val="nil"/>
              <w:left w:val="nil"/>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管理费用主要包括人工费用、资产费用、办公费用，上述费用合计占管理费用比分别为97.69%、96.29%及97.31%。人工费用主要系职工薪酬，其中2015年该项金额较高，主要系当期因申请人实施股权激励计提股份支付的影响，相关金额为399.51万元。资产费用中主要系研发费用，报告期内分别为340.51万元、769.83万元及739.06万元。申请人所从事实验室分析仪器业务以科研、创新为核心，于2015年发布8款新产品，对10项新产品予以立项，并于当年收购上海新仪，于2016年1-6月发布了6款新产品，对7项新产品予以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财务费用情况如下表所示：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30"/>
        <w:gridCol w:w="1791"/>
        <w:gridCol w:w="1686"/>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30"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79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168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115"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利息支出</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3.30</w:t>
            </w:r>
          </w:p>
        </w:tc>
        <w:tc>
          <w:tcPr>
            <w:tcW w:w="2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减：利息收入</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10.71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55.51</w:t>
            </w:r>
          </w:p>
        </w:tc>
        <w:tc>
          <w:tcPr>
            <w:tcW w:w="2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汇兑损失</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2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减：汇兑收益</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2.81</w:t>
            </w:r>
          </w:p>
        </w:tc>
        <w:tc>
          <w:tcPr>
            <w:tcW w:w="2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手续费及其他</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4.18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3.72</w:t>
            </w:r>
          </w:p>
        </w:tc>
        <w:tc>
          <w:tcPr>
            <w:tcW w:w="2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30"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合 计</w:t>
            </w:r>
          </w:p>
        </w:tc>
        <w:tc>
          <w:tcPr>
            <w:tcW w:w="179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-6.53</w:t>
            </w:r>
          </w:p>
        </w:tc>
        <w:tc>
          <w:tcPr>
            <w:tcW w:w="168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-51.30</w:t>
            </w:r>
          </w:p>
        </w:tc>
        <w:tc>
          <w:tcPr>
            <w:tcW w:w="2115"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62.69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报告期内，申请人通过定向发行募集资金合计14,866.40万元，较好的解决了申请人生产经营所需资金，因此申请人逐渐降低了通过负债融资的需求，申请人财务费用较低。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（4）净利润分析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报告期内营业利润、利润总额、净利润情况如下：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6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79"/>
        <w:gridCol w:w="1821"/>
        <w:gridCol w:w="171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79"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82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1714"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150"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营业利润</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-502.32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2,061.16</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利润总额</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133.72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2,784.67</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1,817.87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2979"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净利润</w:t>
            </w:r>
          </w:p>
        </w:tc>
        <w:tc>
          <w:tcPr>
            <w:tcW w:w="182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27.98</w:t>
            </w:r>
          </w:p>
        </w:tc>
        <w:tc>
          <w:tcPr>
            <w:tcW w:w="1714"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2,201.98</w:t>
            </w:r>
          </w:p>
        </w:tc>
        <w:tc>
          <w:tcPr>
            <w:tcW w:w="2150"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1,640.04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注：2014年1-6月、2015年1-6月，公司净利润分别为-181.74万元、-377.19万元，2016年1-6月公司实现净利润相对报告期前两年保持增长。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净利润变动分析如下：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6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79"/>
        <w:gridCol w:w="1821"/>
        <w:gridCol w:w="171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82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1714"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2150"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营业利润</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-502.32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2,061.16</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营业利润占利润总额比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-375.65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74.02</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资产减值损失</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77.02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177.11</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资产减值损失占利润总额比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57.60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6.36</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投资收益</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9.98</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37.98</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投资收益占利润总额比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1.36</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营业外收入</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636.04</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730.91</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营业外收入占利润总额比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475.65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26.25</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营业外支出</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7.41</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营业外支出占利润总额比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0.27</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营业外收支净额</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636.04</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723.50</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营业外收支净额占利润总额比</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475.65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25.98</w:t>
            </w:r>
          </w:p>
        </w:tc>
        <w:tc>
          <w:tcPr>
            <w:tcW w:w="215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2979"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利润总额</w:t>
            </w:r>
          </w:p>
        </w:tc>
        <w:tc>
          <w:tcPr>
            <w:tcW w:w="182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133.72</w:t>
            </w:r>
          </w:p>
        </w:tc>
        <w:tc>
          <w:tcPr>
            <w:tcW w:w="1714"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2,784.67</w:t>
            </w:r>
          </w:p>
        </w:tc>
        <w:tc>
          <w:tcPr>
            <w:tcW w:w="2150"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1,817.87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由上表可知，2014-2015年，申请人利润主要来源于自身业务经营所产生的利润。营业外收入中包括与申请人业务密切相关的软件企业增值税退税，报告期内，该项营业外收入分别为270.55万元、283.32万元、346.55万元。同时，申请人为经山东省科技厅等部门认定的高新技术企业，政府补助是营业外收入的另一主要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2016年1-6月，申请人毛利润为2,465.79万元，综合毛利率达66.15%，申请人产品的盈利能力保持正常。但由于费用项开支金额较大，包括：一方面，申请人持续加强销售团队建设，当期销售人员新增25名，并在2016年一季度对销售团队2015年业绩完成情况进行考评后支付相应的业绩奖金，导致销售费用中人工费用金额为524.34万元，达到2015年相应类别金额的76.73%；另一方面，申请人将科研创新作为持续成长的动力，2016年1-6月推出6款新产品，并对7项新产品研发予以立项，导致当期管理费用中研发费用达739.06万元，与去年全年基本持平。主要受上述费用项开支金额较大的影响，申请人2016年1-6月营业利润为-502.32万元；当期利润总额主要来源于增值税即征即退的税收优惠及其他政府补助，金额为133.72万元。其中，计入非经常性损益的政府补助金额为288.10万元。综上影响，2016年1-6月，申请人扣除非经常性损益后的净利润为-47.58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2、关于2016年上半年盈利较低的原因；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报告期内，申请人上半年实现主营业务收入的情况如下：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05"/>
        <w:gridCol w:w="1931"/>
        <w:gridCol w:w="1228"/>
        <w:gridCol w:w="1116"/>
        <w:gridCol w:w="1227"/>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905"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93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2016年1-6月</w:t>
            </w:r>
          </w:p>
        </w:tc>
        <w:tc>
          <w:tcPr>
            <w:tcW w:w="2344"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2015年1-6月</w:t>
            </w:r>
          </w:p>
        </w:tc>
        <w:tc>
          <w:tcPr>
            <w:tcW w:w="2342"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2014年1-6月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905"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占全年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收入比</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1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占全年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收入比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905" w:type="dxa"/>
            <w:tcBorders>
              <w:top w:val="single" w:color="000000" w:sz="4" w:space="0"/>
              <w:left w:val="single" w:color="000000" w:sz="12" w:space="0"/>
              <w:bottom w:val="single" w:color="000000" w:sz="12"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主营业务收入</w:t>
            </w:r>
          </w:p>
        </w:tc>
        <w:tc>
          <w:tcPr>
            <w:tcW w:w="193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3,259.90</w:t>
            </w:r>
          </w:p>
        </w:tc>
        <w:tc>
          <w:tcPr>
            <w:tcW w:w="122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1,950.88</w:t>
            </w:r>
          </w:p>
        </w:tc>
        <w:tc>
          <w:tcPr>
            <w:tcW w:w="111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17.84%</w:t>
            </w:r>
          </w:p>
        </w:tc>
        <w:tc>
          <w:tcPr>
            <w:tcW w:w="122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1,539.30</w:t>
            </w:r>
          </w:p>
        </w:tc>
        <w:tc>
          <w:tcPr>
            <w:tcW w:w="1115"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22.93%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注：占全年收入比系当年1-6月主营业务收入占全年主营业务收入的比重。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由上表可见，申请人主营业务收入主要于下半年实现；2016年1-6月，申请人主营业务收入相对同期增加1,309.02万元，增幅为67.10%，主营业务保持持续成长。申请人业绩的实现情况与合同签订情况相匹配，报告期内，申请人签订合同的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51"/>
        <w:gridCol w:w="1455"/>
        <w:gridCol w:w="1335"/>
        <w:gridCol w:w="1410"/>
        <w:gridCol w:w="1317"/>
        <w:gridCol w:w="1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5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 目</w:t>
            </w:r>
          </w:p>
        </w:tc>
        <w:tc>
          <w:tcPr>
            <w:tcW w:w="14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1-6月</w:t>
            </w:r>
          </w:p>
        </w:tc>
        <w:tc>
          <w:tcPr>
            <w:tcW w:w="2745"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1-6月</w:t>
            </w:r>
          </w:p>
        </w:tc>
        <w:tc>
          <w:tcPr>
            <w:tcW w:w="2671"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1-6月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51"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aps w:val="0"/>
                <w:color w:val="333333"/>
                <w:spacing w:val="0"/>
                <w:sz w:val="16"/>
                <w:szCs w:val="16"/>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占全年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金额比</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金额</w:t>
            </w:r>
          </w:p>
        </w:tc>
        <w:tc>
          <w:tcPr>
            <w:tcW w:w="135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占全年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金额比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51"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本期签订合同</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4,326.00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2,158.00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15.68%</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1,830.00</w:t>
            </w:r>
          </w:p>
        </w:tc>
        <w:tc>
          <w:tcPr>
            <w:tcW w:w="135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51"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其中：除上海新仪外</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2,520.00</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2,158.00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21.06%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1,830.00</w:t>
            </w:r>
          </w:p>
        </w:tc>
        <w:tc>
          <w:tcPr>
            <w:tcW w:w="135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51" w:type="dxa"/>
            <w:tcBorders>
              <w:top w:val="single" w:color="000000" w:sz="4" w:space="0"/>
              <w:left w:val="single" w:color="000000" w:sz="12" w:space="0"/>
              <w:bottom w:val="single" w:color="000000" w:sz="12"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　　 上海新仪</w:t>
            </w:r>
          </w:p>
        </w:tc>
        <w:tc>
          <w:tcPr>
            <w:tcW w:w="145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1,806.00</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41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31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354"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注：上海新仪系2015年8月由公司完成收购。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由上表可见，由于申请人原有业务中面向的客户群体在报告期初以政府、科研院校采购为主，相关的招投标活动主要在当年下半年执行，特别是集中于每年的四季度，导致申请人业绩主要于下半年实现。2015年8月，申请人收购的上海新仪为样品前处理环节的业内领先企业。样品前处理仪器为无机分析实验室的必备辅助性设备，客户适用范围相对广泛，且上海新仪客户主要集中于企业用户，该项业务销售情况与企业用户的采购需求相匹配。因此，上海新仪2016年1-6月业务开展情况为申请人经营能力提供了有效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3、关于结合主要产品的销售模式、目前订单合同情况分析申请人持续经营能力，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主要采取“经销为主、直销为辅”的销售模式。目前，申请人拥有3,000余名经销商，直销团队人数在报告期内由76人增至123人，并在北京、南京、武汉、广州、成都和郑州分别设立了直销子公司，销售网络基本覆盖全国。同时，申请人通过参与国内外展会等方式积极推广公司品牌效应，最近两年，申请人在全国范围内举办了10余场大型销售推广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客户的采购主要通过招投标进行，经销模式有利于申请人充分利用经销商的信息优势，及时有效发掘客户招投标安排。同时，申请人的直销子公司在从事销售活动、开拓市场、培育经销商团队的同时，可以提供售后服务、零配件更换、服务信息反馈等，为申请人培育客户黏性提供了有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截至回复出具日，申请人已中标但尚未签订合同的业务金额为954.80万元，2016年7-9月新签订合同金额为2,372.56万元，两项合计金额为3,327.36万元。且如前所述，每年的四季度为申请人的销售旺季，申请人业绩将进一步实现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主办券商认为：（1）为有效改善2014年及之前整体经营规模有限的情形，申请人报告期内通过产能建设、专注研发新产品、横向并购、新三板融资等多种方式增强其经营能力，并于2015年进入较快发展阶段。报告期内，申请人主营业务收入保持增长态势，盈利能力逐步改善；（2）由于申请人目前的客户结构存在下半年特别是四季度集中采购的情形，申请人销售主要于每年下半年释放。但研发、销售活动（包括销售团队建设、业绩奖金的考核及发放）在2016年1-6月支出金额较高，导致2016年上半年盈利相对较低，但较报告期前两年同期依然有一定幅度的改善；申请人采取“经销为主、直销为辅”的销售模式，并相应完善了经销商团队及直销子公司建设，销售网络基本覆盖至全国，可保障其业务的持续发展。截至回复出具日，申请人已确定合作关系的业务金额合计为3,327.36万元，申请人持续经营能力保持稳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会计师认为，报告期内申请人主营业务收入以及合同签订保持增长态势，申请人的销售模式以及完善的经销商团队、直销子公司形成的销售网络基本覆盖至全国，可保障其业务的持续发展，申请人持续经营能力保持稳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（四）关于经营活动产生的现金流量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审核中关注到，报告期内申请人经营活动产生的现金流量净额逐期下降，2016年上半年经营活动产生的现金流量净额为负。对此，请申请人结合具体经营情况，补充披露报告期内经营活动产生的现金流量变化的具体原因。同时，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申请人补充披露：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1、报告期内经营活动产生的现金流量变动情况分析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报告期内，申请人经营活动产生的现金流量情况如下：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6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99"/>
        <w:gridCol w:w="1135"/>
        <w:gridCol w:w="1173"/>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5299"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 </w:t>
            </w:r>
          </w:p>
        </w:tc>
        <w:tc>
          <w:tcPr>
            <w:tcW w:w="113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1-6月</w:t>
            </w:r>
          </w:p>
        </w:tc>
        <w:tc>
          <w:tcPr>
            <w:tcW w:w="1173"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1057"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销售商品、提供劳务收到的现金</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5,444.62</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11,420.16</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5,132.80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收到的税费返还</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381.43</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283.32</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351.84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收到其他与经营活动有关的现金</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904.25</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1,222.43</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经营活动现金流入小计</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6,730.30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12,925.91</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5,959.71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购买商品、接受劳务支付的现金</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2,920.03</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5,279.17</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1,562.36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支付给职工以及为职工支付的现金</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1,766.41</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2,256.78</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1,400.21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支付的各项税费</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1,982.32</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1,656.49</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844.99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支付其他与经营活动有关的现金</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1,953.04</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3,493.65</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1,405.12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经营活动现金流出小计</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8,621.79</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12,686.09</w:t>
            </w:r>
          </w:p>
        </w:tc>
        <w:tc>
          <w:tcPr>
            <w:tcW w:w="105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5,212.68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5299"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经营活动产生的现金流量净额</w:t>
            </w:r>
          </w:p>
        </w:tc>
        <w:tc>
          <w:tcPr>
            <w:tcW w:w="11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-1,891.50</w:t>
            </w:r>
          </w:p>
        </w:tc>
        <w:tc>
          <w:tcPr>
            <w:tcW w:w="117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239.81</w:t>
            </w:r>
          </w:p>
        </w:tc>
        <w:tc>
          <w:tcPr>
            <w:tcW w:w="105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747.03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2015年，经营活动产生的现金流量净额较2014年减少507.22万元。具体分析如下：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经营活动现金流入增加6,966.20万元，主要系申请人在经营规模扩大的同时加强回款管理，销售回款情况保持稳定水平，销售商品、提供劳务收到的现金较同期增加6,287.36万元。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经营活动现金流出增加7,473.41万元，主要系申请人经营规模扩大所致，带动申请人经营性相关支出的增长，其中购买商品、接受劳务支付的现金以及支付其他与经营活动有关的现金是经营活动现金流出的主要构成，分别增加3,716.81万元、2,088.53万元。2014-2015年，申请人购买商品、接受劳务支付的现金占营业成本的比分别为73.90%、139.07%。其中2015年占比较高的原因主要系申请人经营规模扩大相应进行生产备货所致：2015年，申请人临邑生产基地开始投入使用，申请人产能得到有效提升。申请人开始改变过往“以销定产”的订单式生产模式，开始适度根据市场需求预测情况进行生产备货，从而加大了对原材料的采购需求。2015年，申请人存货中原材料、库存商品账面余额较期初分别增加495.40万元、319.48万元，增幅分别为109.65%、58.91%；支付的其他与经营活动有关的现金主要为付现的销售费用、管理费用等，其中属于后续可收回的投标保证金分别为185.00万元、239.49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2016年1-6月，申请人经营活动产生的现金流量净额为-1,891.50万元，主要系：一方面，申请人产品主要为客户整体项目进行配套，相关项目实施周期较长，结算周期相对延后，且客户一般在下半年完成款项结算，从而导致上半年应收账款对资金占用情况较为明显。报告期各期6月末应收账款占1-6月营业收入比分别为22.36%、99.17%及91.01%。其中，2014年该项占比相对较小，主要系申请人当期经营规模较小、产能有限，为有效保障公司持续经营所需资金，申请人要求客户先付款后发货。随着临邑生产基地的开始投运，申请人经营规模得到有效提升，盈利能力得到进一步改善。且申请人通过在新三板融资的方式有效补充了营运资金。2015年，申请人合计募资14,576.00万元。因此，为有效占据市场、提升品牌效应，申请人相应放宽信用额度；另一方面，申请人购买商品、接受劳务支付的现金占营业成本比为231.40%，主要系申请人随产能及仓储能力的提升采取了适当备货的生产方式，并对原材料集中采购所致。2016年6月末存货余额为3,541.86万元，较期初增加1,564.88万元，对申请人资金形成一定占用，其中原材料及库存商品账面余额合计为3,106.89万元，占存货账面余额比例为87.72%。综上所述，申请人销售回款情况及与扩大生产的备货安排是导致2016年6月末经营活动现金流量净额为负的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2、报告期内经营活动产生的现金流量与当期净利润分析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报告期内，申请人净利润和经营活动产生的现金流量净额的关系如下表所示：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6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301"/>
        <w:gridCol w:w="1391"/>
        <w:gridCol w:w="95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139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w:t>
            </w:r>
            <w:r>
              <w:rPr>
                <w:rFonts w:hint="eastAsia" w:ascii="宋体" w:hAnsi="宋体" w:eastAsia="宋体" w:cs="宋体"/>
                <w:i w:val="0"/>
                <w:iCs w:val="0"/>
                <w:caps w:val="0"/>
                <w:color w:val="333333"/>
                <w:spacing w:val="0"/>
                <w:sz w:val="16"/>
                <w:szCs w:val="16"/>
                <w:u w:val="none"/>
                <w:bdr w:val="none" w:color="auto" w:sz="0" w:space="0"/>
              </w:rPr>
              <w:br w:type="textWrapping"/>
            </w:r>
            <w:r>
              <w:rPr>
                <w:rFonts w:hint="eastAsia" w:ascii="宋体" w:hAnsi="宋体" w:eastAsia="宋体" w:cs="宋体"/>
                <w:i w:val="0"/>
                <w:iCs w:val="0"/>
                <w:caps w:val="0"/>
                <w:color w:val="333333"/>
                <w:spacing w:val="0"/>
                <w:sz w:val="16"/>
                <w:szCs w:val="16"/>
                <w:u w:val="none"/>
                <w:bdr w:val="none" w:color="auto" w:sz="0" w:space="0"/>
              </w:rPr>
              <w:t>1-6月</w:t>
            </w:r>
          </w:p>
        </w:tc>
        <w:tc>
          <w:tcPr>
            <w:tcW w:w="95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1021"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净利润</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27.98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2,201.98</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加：资产减值准备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77.02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177.12</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109.61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固定资产折旧、油气资产折耗、生产性生物资产折旧</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87.35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129.39</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无形资产摊销</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13.04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23.50</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长期待摊费用摊销</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6.73</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处置固定资产、无形资产和其他长期资产损失（收益以“-”号填列）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固定资产报废损失（收益以“-”号填列）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公允价值变动损失（收益以“-”号填列）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财务费用（收益以“-”号填列）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3.30</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投资损失（收益以“-”号填列）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-9.98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-37.98</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递延所得税资产减少（增加以“-”号填列）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-23.51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23.95</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递延所得税负债增加（减少以“-”号填列）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存货的减少（增加以“-”号填列）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-1,564.88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-726.00</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-287.21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经营性应收项目的减少（增加以“-”号填列）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-673.34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-978.99</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经营性应付项目的增加（减少以“-”号填列）</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169.82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-583.19</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478.23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0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其他</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 </w:t>
            </w:r>
          </w:p>
        </w:tc>
        <w:tc>
          <w:tcPr>
            <w:tcW w:w="1021"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01"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经营活动产生的现金流量净额</w:t>
            </w:r>
          </w:p>
        </w:tc>
        <w:tc>
          <w:tcPr>
            <w:tcW w:w="139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-1,891.50</w:t>
            </w:r>
          </w:p>
        </w:tc>
        <w:tc>
          <w:tcPr>
            <w:tcW w:w="95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239.81</w:t>
            </w:r>
          </w:p>
        </w:tc>
        <w:tc>
          <w:tcPr>
            <w:tcW w:w="1021"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747.03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报告期内，申请人经营活动现金流量净额与净利润之间差异的主要影响因素具体分析如下：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（1）2014年末，存货较年初增加287.21万元，经营性应收项目较年初增加1,331.61万元，经营性应付项目较年初增加478.23万元，累计净减少经营活动现金流1,140.59万元。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（2）2015年末，存货较年初增加726.00万元，经营性应收项目较年初增加978.99万元、经营性应付项目较期初减少583.19万元，累计净减少经营活动现金流2,288.18万元。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（3）2016年6月末，存货较期初增加1,564.88万元，经营性应收项目较期初增加673.34万元、经营性应付项目较期初增加169.82万元，累计净减少经营活动现金流2,068.40万元。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报告期内，申请人销售商品、提供劳务收到的现金和营业收入（含税）之间的比较情况如下所示：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单位：万元</w:t>
      </w:r>
    </w:p>
    <w:tbl>
      <w:tblPr>
        <w:tblW w:w="875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24"/>
        <w:gridCol w:w="1613"/>
        <w:gridCol w:w="1192"/>
        <w:gridCol w:w="1533"/>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3324"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项目</w:t>
            </w:r>
          </w:p>
        </w:tc>
        <w:tc>
          <w:tcPr>
            <w:tcW w:w="1613"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2016年6月末</w:t>
            </w:r>
          </w:p>
        </w:tc>
        <w:tc>
          <w:tcPr>
            <w:tcW w:w="1192"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w:t>
            </w:r>
          </w:p>
        </w:tc>
        <w:tc>
          <w:tcPr>
            <w:tcW w:w="1533"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2015年6月末</w:t>
            </w:r>
          </w:p>
        </w:tc>
        <w:tc>
          <w:tcPr>
            <w:tcW w:w="1092"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3324"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销售商品、提供劳务收到的现金</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13,873.11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11,420.16</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5,649.49</w:t>
            </w:r>
          </w:p>
        </w:tc>
        <w:tc>
          <w:tcPr>
            <w:tcW w:w="1092"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5,132.80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trPr>
        <w:tc>
          <w:tcPr>
            <w:tcW w:w="3324"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营业收入（含税）</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14,725.28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12,796.45</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8,418.26</w:t>
            </w:r>
          </w:p>
        </w:tc>
        <w:tc>
          <w:tcPr>
            <w:tcW w:w="1092"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7,854.10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3324"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宋体" w:hAnsi="宋体" w:eastAsia="宋体" w:cs="宋体"/>
                <w:sz w:val="16"/>
                <w:szCs w:val="16"/>
                <w:u w:val="none"/>
              </w:rPr>
            </w:pPr>
            <w:bookmarkStart w:id="1" w:name="RANGE!A12"/>
            <w:r>
              <w:rPr>
                <w:rFonts w:hint="eastAsia" w:ascii="宋体" w:hAnsi="宋体" w:eastAsia="宋体" w:cs="宋体"/>
                <w:i w:val="0"/>
                <w:iCs w:val="0"/>
                <w:caps w:val="0"/>
                <w:color w:val="333333"/>
                <w:spacing w:val="0"/>
                <w:sz w:val="16"/>
                <w:szCs w:val="16"/>
                <w:u w:val="none"/>
                <w:bdr w:val="none" w:color="auto" w:sz="0" w:space="0"/>
              </w:rPr>
              <w:t>销售收现率</w:t>
            </w:r>
            <w:bookmarkEnd w:id="1"/>
          </w:p>
        </w:tc>
        <w:tc>
          <w:tcPr>
            <w:tcW w:w="161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94.21%</w:t>
            </w:r>
          </w:p>
        </w:tc>
        <w:tc>
          <w:tcPr>
            <w:tcW w:w="119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89.24%</w:t>
            </w:r>
          </w:p>
        </w:tc>
        <w:tc>
          <w:tcPr>
            <w:tcW w:w="153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67.11%</w:t>
            </w:r>
          </w:p>
        </w:tc>
        <w:tc>
          <w:tcPr>
            <w:tcW w:w="1092"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宋体" w:hAnsi="宋体" w:eastAsia="宋体" w:cs="宋体"/>
                <w:sz w:val="16"/>
                <w:szCs w:val="16"/>
                <w:u w:val="none"/>
              </w:rPr>
            </w:pPr>
            <w:r>
              <w:rPr>
                <w:rFonts w:hint="eastAsia" w:ascii="宋体" w:hAnsi="宋体" w:eastAsia="宋体" w:cs="宋体"/>
                <w:i w:val="0"/>
                <w:iCs w:val="0"/>
                <w:caps w:val="0"/>
                <w:color w:val="333333"/>
                <w:spacing w:val="0"/>
                <w:sz w:val="16"/>
                <w:szCs w:val="16"/>
                <w:u w:val="none"/>
                <w:bdr w:val="none" w:color="auto" w:sz="0" w:space="0"/>
              </w:rPr>
              <w:t>65.35%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注：报告期各期，公司应收账款周转天数分别为76.76天、102.27天、178.22天，即公司应收账款的收回存在一定的跨期影响，为更好反映公司销售收现情况，本处以滚动十二个月方式分别测算报告期内销售收现情况。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tLeast"/>
        <w:ind w:left="0" w:right="0" w:firstLine="48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由上表可见，报告期内，申请人销售回款情况呈现增长态势，公司盈利质量保持良好水平。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主办券商认为，报告期内申请人销售收现情况保持持续增长趋势，销售回款情况保持正常。由于申请人目前处于较快发展阶段，生产经营能力得到有效拓展，并通过新三板市场融资较好解决了日常生产经营所需的营运资金。因此，申请人随生产经营规模的扩大，相应的经营性支出增长较快，逐渐提高生产备货水平，从而对经营性资金形成占用。同时，申请人为有效占据市场，适当放宽信用额度。综上所述，申请人报告期内经营性活动现金流量的变化趋势与其所处发展阶段及经营策略相匹配，且未对申请人持续经营能力造成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jc w:val="both"/>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会计师经核查后认为，报告期内申请人销售回款情况保持正常，申请人目前处于较快发展阶段，为顺应销售增长，生产上逐渐提高生产备货水平，从而造成经营性资金支出较大，另外申请人基于拓展市场要求，适当放宽了对客户的信用额度。申请人报告期内经营性活动现金流量的变化趋势与其所处发展阶段及经营策略相匹配，未对申请人持续经营能力造成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20"/>
        <w:rPr>
          <w:rFonts w:hint="eastAsia" w:ascii="宋体" w:hAnsi="宋体" w:eastAsia="宋体" w:cs="宋体"/>
          <w:i w:val="0"/>
          <w:iCs w:val="0"/>
          <w:caps w:val="0"/>
          <w:color w:val="333333"/>
          <w:spacing w:val="0"/>
          <w:sz w:val="16"/>
          <w:szCs w:val="16"/>
          <w:u w:val="none"/>
        </w:rPr>
      </w:pPr>
      <w:r>
        <w:rPr>
          <w:rFonts w:hint="eastAsia" w:ascii="宋体" w:hAnsi="宋体" w:eastAsia="宋体" w:cs="宋体"/>
          <w:i w:val="0"/>
          <w:iCs w:val="0"/>
          <w:caps w:val="0"/>
          <w:color w:val="333333"/>
          <w:spacing w:val="0"/>
          <w:sz w:val="16"/>
          <w:szCs w:val="16"/>
          <w:u w:val="none"/>
          <w:bdr w:val="none" w:color="auto" w:sz="0" w:space="0"/>
          <w:shd w:val="clear" w:fill="FFFFFF"/>
        </w:rPr>
        <w:t>根据申请人提交的申请文件以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济南海能仪器股份有限公司向特定对象发行股票的申请。</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TYxYTQ2NWNhYzg0Yjk0NmNkZjcyOTY2YmEzMjMifQ=="/>
  </w:docVars>
  <w:rsids>
    <w:rsidRoot w:val="00000000"/>
    <w:rsid w:val="3B1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8809</Words>
  <Characters>11542</Characters>
  <Lines>0</Lines>
  <Paragraphs>0</Paragraphs>
  <TotalTime>1</TotalTime>
  <ScaleCrop>false</ScaleCrop>
  <LinksUpToDate>false</LinksUpToDate>
  <CharactersWithSpaces>11583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2022-09-02T09:23:28Z</dcterms:created>
  <dc:creator>Lenovo</dc:creator>
  <cp:lastModifiedBy>Lenovo</cp:lastModifiedBy>
  <dcterms:modified xsi:type="dcterms:W3CDTF">2022-09-02T09:24:48Z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3235D08DFCFD4B1B9FB18D03DF013A57</vt:lpwstr>
  </property>
</Properties>
</file>