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40"/>
        <w:jc w:val="center"/>
        <w:rPr>
          <w:rFonts w:hint="eastAsia" w:ascii="微软雅黑" w:hAnsi="微软雅黑" w:eastAsia="微软雅黑" w:cs="微软雅黑"/>
          <w:b w:val="0"/>
          <w:bCs w:val="0"/>
          <w:i w:val="0"/>
          <w:iCs w:val="0"/>
          <w:caps w:val="0"/>
          <w:color w:val="333333"/>
          <w:spacing w:val="0"/>
          <w:sz w:val="24"/>
          <w:szCs w:val="24"/>
          <w:u w:val="none"/>
          <w:bdr w:val="none" w:color="auto" w:sz="0" w:space="0"/>
          <w:shd w:val="clear" w:fill="FFFFFF"/>
        </w:rPr>
      </w:pPr>
      <w:r>
        <w:rPr>
          <w:rFonts w:hint="eastAsia" w:ascii="微软雅黑" w:hAnsi="微软雅黑" w:eastAsia="微软雅黑" w:cs="微软雅黑"/>
          <w:b w:val="0"/>
          <w:bCs w:val="0"/>
          <w:i w:val="0"/>
          <w:iCs w:val="0"/>
          <w:caps w:val="0"/>
          <w:color w:val="333333"/>
          <w:spacing w:val="0"/>
          <w:sz w:val="24"/>
          <w:szCs w:val="24"/>
          <w:u w:val="none"/>
          <w:bdr w:val="none" w:color="auto" w:sz="0" w:space="0"/>
          <w:shd w:val="clear" w:fill="FFFFFF"/>
        </w:rPr>
        <w:t>关于天津久日新材料股份有限公司向特定对象发行股票的审核意见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40"/>
        <w:jc w:val="left"/>
        <w:rPr>
          <w:rFonts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shd w:val="clear" w:fill="FFFFFF"/>
        </w:rPr>
        <w:t>一、</w:t>
      </w: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审核情况</w:t>
      </w:r>
      <w:bookmarkStart w:id="0" w:name="_GoBack"/>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416"/>
        <w:jc w:val="left"/>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shd w:val="clear" w:fill="FFFFFF"/>
        </w:rPr>
        <w:t>（一）</w:t>
      </w: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申请人基本情况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2" w:beforeAutospacing="0" w:after="62" w:afterAutospacing="0" w:line="288" w:lineRule="atLeast"/>
        <w:ind w:left="0" w:right="0" w:firstLine="48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天津久日新材料股份有限公司（以下简称申请人）为天津辖区挂牌公司，成立于1998年10月30日，于2011年6月21日改制为股份公司，2012年9月7日在全国中小企业股份转让系统（以下简称全国股转系统）挂牌公开转让。截至本次发行股权登记日（2018年7月9日），申请人共有股东422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2" w:beforeAutospacing="0" w:after="62" w:afterAutospacing="0" w:line="288" w:lineRule="atLeast"/>
        <w:ind w:left="0" w:right="0" w:firstLine="48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申请人法定代表人及实际控制人为赵国锋，总股本为7,947万股。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申请人主营业务为光引发剂的研发、生产和销售。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 </w:t>
      </w: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　（二）审核过程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申请人向特定对象发行股票的行政许可申请于2019年1月7日正式受理。依据《公司法》《证券法》《非上市公众公司监督管理办法》（以下简称《公众公司办法》）《非上市公众公司信息披露内容与格式准则第3号——定向发行说明书和发行情况报告书》《非上市公众公司信息披露内容与格式准则第4号——定向发行申请文件》等相关规定，我们对申请人提交的申请文件进行了合规性审核，于2019年1月22日向申请人进行了书面反馈，2019年2月1日，申请人对反馈意见进行了回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全国股转公司就本次发行出具了《</w:t>
      </w: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关于天津久日新材料股份有限公司股票发行的自律监管情况函</w:t>
      </w: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》，确认未发现申请人存在重大违法违规行为。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shd w:val="clear" w:fill="FFFFFF"/>
        </w:rPr>
        <w:t>二、</w:t>
      </w: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审核中关注的问题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jc w:val="left"/>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000000"/>
          <w:spacing w:val="0"/>
          <w:sz w:val="21"/>
          <w:szCs w:val="21"/>
          <w:u w:val="none"/>
          <w:bdr w:val="none" w:color="auto" w:sz="0" w:space="0"/>
          <w:shd w:val="clear" w:fill="FFFFFF"/>
        </w:rPr>
        <w:t>（一）关于毛利率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jc w:val="left"/>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000000"/>
          <w:spacing w:val="0"/>
          <w:sz w:val="21"/>
          <w:szCs w:val="21"/>
          <w:u w:val="none"/>
          <w:bdr w:val="none" w:color="auto" w:sz="0" w:space="0"/>
          <w:shd w:val="clear" w:fill="FFFFFF"/>
        </w:rPr>
        <w:t>审核中关注到，报告期内申请人毛利率分别为22.52%、23.99%和36.19%，其中，2018年1-9月，毛利率大幅增长，申请人仅披露了原因为销售单价大幅上涨，要求申请人结合主要产品的原材料单价变动、销量变动、单位成本变动、上下游产业波动等情况补充披露报告期内毛利率大幅上升的原因；结合公司与同行业产品结构、采购和销售模式、产品成本和定价等情况说明毛利率与同行业公司是否存在差异、差异的原因以及可比公司的选取标准。请主办券商及会计师核查并发表明确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jc w:val="left"/>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000000"/>
          <w:spacing w:val="0"/>
          <w:sz w:val="21"/>
          <w:szCs w:val="21"/>
          <w:u w:val="none"/>
          <w:bdr w:val="none" w:color="auto" w:sz="0" w:space="0"/>
          <w:shd w:val="clear" w:fill="FFFFFF"/>
        </w:rPr>
        <w:t>申请人回复如下：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jc w:val="left"/>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shd w:val="clear" w:fill="FFFFFF"/>
        </w:rPr>
        <w:t>1、</w:t>
      </w:r>
      <w:r>
        <w:rPr>
          <w:rFonts w:hint="eastAsia" w:ascii="微软雅黑" w:hAnsi="微软雅黑" w:eastAsia="微软雅黑" w:cs="微软雅黑"/>
          <w:b w:val="0"/>
          <w:bCs w:val="0"/>
          <w:i w:val="0"/>
          <w:iCs w:val="0"/>
          <w:caps w:val="0"/>
          <w:color w:val="000000"/>
          <w:spacing w:val="0"/>
          <w:sz w:val="21"/>
          <w:szCs w:val="21"/>
          <w:u w:val="none"/>
          <w:bdr w:val="none" w:color="auto" w:sz="0" w:space="0"/>
          <w:shd w:val="clear" w:fill="FFFFFF"/>
        </w:rPr>
        <w:t>主要产品原材料单价变动、销量变动、单位成本变动、上下游产业波动等情况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jc w:val="left"/>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000000"/>
          <w:spacing w:val="0"/>
          <w:sz w:val="21"/>
          <w:szCs w:val="21"/>
          <w:u w:val="none"/>
          <w:bdr w:val="none" w:color="auto" w:sz="0" w:space="0"/>
          <w:shd w:val="clear" w:fill="FFFFFF"/>
        </w:rPr>
        <w:t>申请人是专业性光引发剂制造商，主营业务为光引发剂的研发、生产和销售。收入来源主要为产品销售收入，其中光引发剂产品的收入在报告期内均占比80%以上。报告期内产品综合毛利率分别为22.52%、23.99%和36.19%，2017年毛利率较2016年变化较小，2018年1-9月（未经审计）毛利率较2017年度大幅上升，主要原因为光引发剂产品毛利率大幅上升所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jc w:val="left"/>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000000"/>
          <w:spacing w:val="0"/>
          <w:sz w:val="21"/>
          <w:szCs w:val="21"/>
          <w:u w:val="none"/>
          <w:bdr w:val="none" w:color="auto" w:sz="0" w:space="0"/>
          <w:shd w:val="clear" w:fill="FFFFFF"/>
        </w:rPr>
        <w:t>申请人光引发剂品种齐全，包括184、1173、907、118、BP和BDK等多个品种，主要品种184、1173和907等产品销量、销售收入、单位成本、主要原料单价等变动情况如下表所示：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93" w:beforeAutospacing="0" w:after="240" w:afterAutospacing="0" w:line="288" w:lineRule="atLeast"/>
        <w:ind w:left="0" w:right="0" w:firstLine="420"/>
        <w:jc w:val="right"/>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单位：吨、万元、元/千克、%</w:t>
      </w:r>
    </w:p>
    <w:tbl>
      <w:tblPr>
        <w:tblW w:w="830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993"/>
        <w:gridCol w:w="2335"/>
        <w:gridCol w:w="1659"/>
        <w:gridCol w:w="1659"/>
        <w:gridCol w:w="16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993" w:type="dxa"/>
            <w:tcBorders>
              <w:top w:val="double" w:color="auto" w:sz="6" w:space="0"/>
              <w:bottom w:val="single" w:color="auto" w:sz="4" w:space="0"/>
              <w:right w:val="single" w:color="auto" w:sz="4" w:space="0"/>
            </w:tcBorders>
            <w:shd w:val="clear" w:color="auto" w:fill="D9D9D9"/>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62"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主要产品名称</w:t>
            </w:r>
          </w:p>
        </w:tc>
        <w:tc>
          <w:tcPr>
            <w:tcW w:w="2335" w:type="dxa"/>
            <w:tcBorders>
              <w:top w:val="double" w:color="auto" w:sz="6" w:space="0"/>
              <w:left w:val="single" w:color="auto" w:sz="4" w:space="0"/>
              <w:bottom w:val="single" w:color="auto" w:sz="4" w:space="0"/>
              <w:right w:val="single" w:color="auto" w:sz="4" w:space="0"/>
            </w:tcBorders>
            <w:shd w:val="clear" w:color="auto" w:fill="D9D9D9"/>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62"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项目</w:t>
            </w:r>
          </w:p>
        </w:tc>
        <w:tc>
          <w:tcPr>
            <w:tcW w:w="1659" w:type="dxa"/>
            <w:tcBorders>
              <w:top w:val="double" w:color="auto" w:sz="6" w:space="0"/>
              <w:left w:val="single" w:color="auto" w:sz="4" w:space="0"/>
              <w:bottom w:val="single" w:color="auto" w:sz="4" w:space="0"/>
              <w:right w:val="single" w:color="auto" w:sz="4" w:space="0"/>
            </w:tcBorders>
            <w:shd w:val="clear" w:color="auto" w:fill="D9D9D9"/>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62"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2018年1-9月</w:t>
            </w:r>
          </w:p>
        </w:tc>
        <w:tc>
          <w:tcPr>
            <w:tcW w:w="1659" w:type="dxa"/>
            <w:tcBorders>
              <w:top w:val="double" w:color="auto" w:sz="6" w:space="0"/>
              <w:left w:val="single" w:color="auto" w:sz="4" w:space="0"/>
              <w:bottom w:val="single" w:color="auto" w:sz="4" w:space="0"/>
              <w:right w:val="single" w:color="auto" w:sz="4" w:space="0"/>
            </w:tcBorders>
            <w:shd w:val="clear" w:color="auto" w:fill="D9D9D9"/>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62"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2017年度</w:t>
            </w:r>
          </w:p>
        </w:tc>
        <w:tc>
          <w:tcPr>
            <w:tcW w:w="1660" w:type="dxa"/>
            <w:tcBorders>
              <w:top w:val="double" w:color="auto" w:sz="6" w:space="0"/>
              <w:left w:val="single" w:color="auto" w:sz="4" w:space="0"/>
              <w:bottom w:val="single" w:color="auto" w:sz="4" w:space="0"/>
            </w:tcBorders>
            <w:shd w:val="clear" w:color="auto" w:fill="D9D9D9"/>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62"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2016年度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993" w:type="dxa"/>
            <w:vMerge w:val="restart"/>
            <w:tcBorders>
              <w:top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62"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184</w:t>
            </w:r>
          </w:p>
        </w:tc>
        <w:tc>
          <w:tcPr>
            <w:tcW w:w="2335"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62"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销量</w:t>
            </w:r>
          </w:p>
        </w:tc>
        <w:tc>
          <w:tcPr>
            <w:tcW w:w="1659"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62"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2,987.64</w:t>
            </w:r>
          </w:p>
        </w:tc>
        <w:tc>
          <w:tcPr>
            <w:tcW w:w="1659"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62"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3,162.80</w:t>
            </w:r>
          </w:p>
        </w:tc>
        <w:tc>
          <w:tcPr>
            <w:tcW w:w="1660" w:type="dxa"/>
            <w:tcBorders>
              <w:top w:val="single" w:color="auto" w:sz="4" w:space="0"/>
              <w:left w:val="single" w:color="auto" w:sz="4" w:space="0"/>
              <w:bottom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62"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2,898.26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993" w:type="dxa"/>
            <w:vMerge w:val="continue"/>
            <w:tcBorders>
              <w:top w:val="single" w:color="auto" w:sz="4" w:space="0"/>
              <w:bottom w:val="single" w:color="auto" w:sz="4" w:space="0"/>
              <w:right w:val="single" w:color="auto" w:sz="4"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19"/>
                <w:szCs w:val="19"/>
                <w:u w:val="none"/>
              </w:rPr>
            </w:pPr>
          </w:p>
        </w:tc>
        <w:tc>
          <w:tcPr>
            <w:tcW w:w="2335"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62"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销售收入</w:t>
            </w:r>
          </w:p>
        </w:tc>
        <w:tc>
          <w:tcPr>
            <w:tcW w:w="1659"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62"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19,072.41</w:t>
            </w:r>
          </w:p>
        </w:tc>
        <w:tc>
          <w:tcPr>
            <w:tcW w:w="1659"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62"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16,681.09</w:t>
            </w:r>
          </w:p>
        </w:tc>
        <w:tc>
          <w:tcPr>
            <w:tcW w:w="1660" w:type="dxa"/>
            <w:tcBorders>
              <w:top w:val="single" w:color="auto" w:sz="4" w:space="0"/>
              <w:left w:val="single" w:color="auto" w:sz="4" w:space="0"/>
              <w:bottom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62"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13,219.53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993" w:type="dxa"/>
            <w:vMerge w:val="continue"/>
            <w:tcBorders>
              <w:top w:val="single" w:color="auto" w:sz="4" w:space="0"/>
              <w:bottom w:val="single" w:color="auto" w:sz="4" w:space="0"/>
              <w:right w:val="single" w:color="auto" w:sz="4"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19"/>
                <w:szCs w:val="19"/>
                <w:u w:val="none"/>
              </w:rPr>
            </w:pPr>
          </w:p>
        </w:tc>
        <w:tc>
          <w:tcPr>
            <w:tcW w:w="2335"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62"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单位售价</w:t>
            </w:r>
          </w:p>
        </w:tc>
        <w:tc>
          <w:tcPr>
            <w:tcW w:w="1659"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62"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63.84</w:t>
            </w:r>
          </w:p>
        </w:tc>
        <w:tc>
          <w:tcPr>
            <w:tcW w:w="1659"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62"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52.74</w:t>
            </w:r>
          </w:p>
        </w:tc>
        <w:tc>
          <w:tcPr>
            <w:tcW w:w="1660" w:type="dxa"/>
            <w:tcBorders>
              <w:top w:val="single" w:color="auto" w:sz="4" w:space="0"/>
              <w:left w:val="single" w:color="auto" w:sz="4" w:space="0"/>
              <w:bottom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62"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45.61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993" w:type="dxa"/>
            <w:vMerge w:val="continue"/>
            <w:tcBorders>
              <w:top w:val="single" w:color="auto" w:sz="4" w:space="0"/>
              <w:bottom w:val="single" w:color="auto" w:sz="4" w:space="0"/>
              <w:right w:val="single" w:color="auto" w:sz="4"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19"/>
                <w:szCs w:val="19"/>
                <w:u w:val="none"/>
              </w:rPr>
            </w:pPr>
          </w:p>
        </w:tc>
        <w:tc>
          <w:tcPr>
            <w:tcW w:w="2335"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62"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单位成本</w:t>
            </w:r>
          </w:p>
        </w:tc>
        <w:tc>
          <w:tcPr>
            <w:tcW w:w="1659"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62"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38.42</w:t>
            </w:r>
          </w:p>
        </w:tc>
        <w:tc>
          <w:tcPr>
            <w:tcW w:w="1659"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62"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32.18</w:t>
            </w:r>
          </w:p>
        </w:tc>
        <w:tc>
          <w:tcPr>
            <w:tcW w:w="1660" w:type="dxa"/>
            <w:tcBorders>
              <w:top w:val="single" w:color="auto" w:sz="4" w:space="0"/>
              <w:left w:val="single" w:color="auto" w:sz="4" w:space="0"/>
              <w:bottom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62"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33.36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993" w:type="dxa"/>
            <w:vMerge w:val="continue"/>
            <w:tcBorders>
              <w:top w:val="single" w:color="auto" w:sz="4" w:space="0"/>
              <w:bottom w:val="single" w:color="auto" w:sz="4" w:space="0"/>
              <w:right w:val="single" w:color="auto" w:sz="4"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19"/>
                <w:szCs w:val="19"/>
                <w:u w:val="none"/>
              </w:rPr>
            </w:pPr>
          </w:p>
        </w:tc>
        <w:tc>
          <w:tcPr>
            <w:tcW w:w="2335"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62"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原料-环己甲酸</w:t>
            </w:r>
          </w:p>
        </w:tc>
        <w:tc>
          <w:tcPr>
            <w:tcW w:w="1659"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62"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20.51</w:t>
            </w:r>
          </w:p>
        </w:tc>
        <w:tc>
          <w:tcPr>
            <w:tcW w:w="1659"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62"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18.30</w:t>
            </w:r>
          </w:p>
        </w:tc>
        <w:tc>
          <w:tcPr>
            <w:tcW w:w="1660" w:type="dxa"/>
            <w:tcBorders>
              <w:top w:val="single" w:color="auto" w:sz="4" w:space="0"/>
              <w:left w:val="single" w:color="auto" w:sz="4" w:space="0"/>
              <w:bottom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62"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18.38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993" w:type="dxa"/>
            <w:vMerge w:val="continue"/>
            <w:tcBorders>
              <w:top w:val="single" w:color="auto" w:sz="4" w:space="0"/>
              <w:bottom w:val="single" w:color="auto" w:sz="4" w:space="0"/>
              <w:right w:val="single" w:color="auto" w:sz="4"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19"/>
                <w:szCs w:val="19"/>
                <w:u w:val="none"/>
              </w:rPr>
            </w:pPr>
          </w:p>
        </w:tc>
        <w:tc>
          <w:tcPr>
            <w:tcW w:w="2335"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62"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原料-三氯化铝</w:t>
            </w:r>
          </w:p>
        </w:tc>
        <w:tc>
          <w:tcPr>
            <w:tcW w:w="1659"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62"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3.98</w:t>
            </w:r>
          </w:p>
        </w:tc>
        <w:tc>
          <w:tcPr>
            <w:tcW w:w="1659"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62"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3.78</w:t>
            </w:r>
          </w:p>
        </w:tc>
        <w:tc>
          <w:tcPr>
            <w:tcW w:w="1660" w:type="dxa"/>
            <w:tcBorders>
              <w:top w:val="single" w:color="auto" w:sz="4" w:space="0"/>
              <w:left w:val="single" w:color="auto" w:sz="4" w:space="0"/>
              <w:bottom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62"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3.73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993" w:type="dxa"/>
            <w:vMerge w:val="continue"/>
            <w:tcBorders>
              <w:top w:val="single" w:color="auto" w:sz="4" w:space="0"/>
              <w:bottom w:val="single" w:color="auto" w:sz="4" w:space="0"/>
              <w:right w:val="single" w:color="auto" w:sz="4"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19"/>
                <w:szCs w:val="19"/>
                <w:u w:val="none"/>
              </w:rPr>
            </w:pPr>
          </w:p>
        </w:tc>
        <w:tc>
          <w:tcPr>
            <w:tcW w:w="2335"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62"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毛利率</w:t>
            </w:r>
          </w:p>
        </w:tc>
        <w:tc>
          <w:tcPr>
            <w:tcW w:w="1659"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62"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39.82</w:t>
            </w:r>
          </w:p>
        </w:tc>
        <w:tc>
          <w:tcPr>
            <w:tcW w:w="1659"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62"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38.98</w:t>
            </w:r>
          </w:p>
        </w:tc>
        <w:tc>
          <w:tcPr>
            <w:tcW w:w="1660" w:type="dxa"/>
            <w:tcBorders>
              <w:top w:val="single" w:color="auto" w:sz="4" w:space="0"/>
              <w:left w:val="single" w:color="auto" w:sz="4" w:space="0"/>
              <w:bottom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62"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26.87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993" w:type="dxa"/>
            <w:vMerge w:val="restart"/>
            <w:tcBorders>
              <w:top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62"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1173</w:t>
            </w:r>
          </w:p>
        </w:tc>
        <w:tc>
          <w:tcPr>
            <w:tcW w:w="2335"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62"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销量</w:t>
            </w:r>
          </w:p>
        </w:tc>
        <w:tc>
          <w:tcPr>
            <w:tcW w:w="1659"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62"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2,141.41</w:t>
            </w:r>
          </w:p>
        </w:tc>
        <w:tc>
          <w:tcPr>
            <w:tcW w:w="1659"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62"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2,457.27</w:t>
            </w:r>
          </w:p>
        </w:tc>
        <w:tc>
          <w:tcPr>
            <w:tcW w:w="1660" w:type="dxa"/>
            <w:tcBorders>
              <w:top w:val="single" w:color="auto" w:sz="4" w:space="0"/>
              <w:left w:val="single" w:color="auto" w:sz="4" w:space="0"/>
              <w:bottom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62"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2,701.53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993" w:type="dxa"/>
            <w:vMerge w:val="continue"/>
            <w:tcBorders>
              <w:top w:val="single" w:color="auto" w:sz="4" w:space="0"/>
              <w:bottom w:val="single" w:color="auto" w:sz="4" w:space="0"/>
              <w:right w:val="single" w:color="auto" w:sz="4"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19"/>
                <w:szCs w:val="19"/>
                <w:u w:val="none"/>
              </w:rPr>
            </w:pPr>
          </w:p>
        </w:tc>
        <w:tc>
          <w:tcPr>
            <w:tcW w:w="2335"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62"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销售收入</w:t>
            </w:r>
          </w:p>
        </w:tc>
        <w:tc>
          <w:tcPr>
            <w:tcW w:w="1659"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62"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12,047.22</w:t>
            </w:r>
          </w:p>
        </w:tc>
        <w:tc>
          <w:tcPr>
            <w:tcW w:w="1659"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62"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7,447.04</w:t>
            </w:r>
          </w:p>
        </w:tc>
        <w:tc>
          <w:tcPr>
            <w:tcW w:w="1660" w:type="dxa"/>
            <w:tcBorders>
              <w:top w:val="single" w:color="auto" w:sz="4" w:space="0"/>
              <w:left w:val="single" w:color="auto" w:sz="4" w:space="0"/>
              <w:bottom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62"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7,419.30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993" w:type="dxa"/>
            <w:vMerge w:val="continue"/>
            <w:tcBorders>
              <w:top w:val="single" w:color="auto" w:sz="4" w:space="0"/>
              <w:bottom w:val="single" w:color="auto" w:sz="4" w:space="0"/>
              <w:right w:val="single" w:color="auto" w:sz="4"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19"/>
                <w:szCs w:val="19"/>
                <w:u w:val="none"/>
              </w:rPr>
            </w:pPr>
          </w:p>
        </w:tc>
        <w:tc>
          <w:tcPr>
            <w:tcW w:w="2335"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62"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单位售价</w:t>
            </w:r>
          </w:p>
        </w:tc>
        <w:tc>
          <w:tcPr>
            <w:tcW w:w="1659"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62"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56.26</w:t>
            </w:r>
          </w:p>
        </w:tc>
        <w:tc>
          <w:tcPr>
            <w:tcW w:w="1659"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62"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30.31</w:t>
            </w:r>
          </w:p>
        </w:tc>
        <w:tc>
          <w:tcPr>
            <w:tcW w:w="1660" w:type="dxa"/>
            <w:tcBorders>
              <w:top w:val="single" w:color="auto" w:sz="4" w:space="0"/>
              <w:left w:val="single" w:color="auto" w:sz="4" w:space="0"/>
              <w:bottom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62"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27.46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993" w:type="dxa"/>
            <w:vMerge w:val="continue"/>
            <w:tcBorders>
              <w:top w:val="single" w:color="auto" w:sz="4" w:space="0"/>
              <w:bottom w:val="single" w:color="auto" w:sz="4" w:space="0"/>
              <w:right w:val="single" w:color="auto" w:sz="4"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19"/>
                <w:szCs w:val="19"/>
                <w:u w:val="none"/>
              </w:rPr>
            </w:pPr>
          </w:p>
        </w:tc>
        <w:tc>
          <w:tcPr>
            <w:tcW w:w="2335"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62"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单位成本</w:t>
            </w:r>
          </w:p>
        </w:tc>
        <w:tc>
          <w:tcPr>
            <w:tcW w:w="1659"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62"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33.64</w:t>
            </w:r>
          </w:p>
        </w:tc>
        <w:tc>
          <w:tcPr>
            <w:tcW w:w="1659"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62"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21.86</w:t>
            </w:r>
          </w:p>
        </w:tc>
        <w:tc>
          <w:tcPr>
            <w:tcW w:w="1660" w:type="dxa"/>
            <w:tcBorders>
              <w:top w:val="single" w:color="auto" w:sz="4" w:space="0"/>
              <w:left w:val="single" w:color="auto" w:sz="4" w:space="0"/>
              <w:bottom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62"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24.24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993" w:type="dxa"/>
            <w:vMerge w:val="continue"/>
            <w:tcBorders>
              <w:top w:val="single" w:color="auto" w:sz="4" w:space="0"/>
              <w:bottom w:val="single" w:color="auto" w:sz="4" w:space="0"/>
              <w:right w:val="single" w:color="auto" w:sz="4"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19"/>
                <w:szCs w:val="19"/>
                <w:u w:val="none"/>
              </w:rPr>
            </w:pPr>
          </w:p>
        </w:tc>
        <w:tc>
          <w:tcPr>
            <w:tcW w:w="2335"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62"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原料-异丁酸</w:t>
            </w:r>
          </w:p>
        </w:tc>
        <w:tc>
          <w:tcPr>
            <w:tcW w:w="1659"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62"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12.50</w:t>
            </w:r>
          </w:p>
        </w:tc>
        <w:tc>
          <w:tcPr>
            <w:tcW w:w="1659"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62"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6.81</w:t>
            </w:r>
          </w:p>
        </w:tc>
        <w:tc>
          <w:tcPr>
            <w:tcW w:w="1660" w:type="dxa"/>
            <w:tcBorders>
              <w:top w:val="single" w:color="auto" w:sz="4" w:space="0"/>
              <w:left w:val="single" w:color="auto" w:sz="4" w:space="0"/>
              <w:bottom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62"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6.38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993" w:type="dxa"/>
            <w:vMerge w:val="continue"/>
            <w:tcBorders>
              <w:top w:val="single" w:color="auto" w:sz="4" w:space="0"/>
              <w:bottom w:val="single" w:color="auto" w:sz="4" w:space="0"/>
              <w:right w:val="single" w:color="auto" w:sz="4"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19"/>
                <w:szCs w:val="19"/>
                <w:u w:val="none"/>
              </w:rPr>
            </w:pPr>
          </w:p>
        </w:tc>
        <w:tc>
          <w:tcPr>
            <w:tcW w:w="2335"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62"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原料-三氯化铝</w:t>
            </w:r>
          </w:p>
        </w:tc>
        <w:tc>
          <w:tcPr>
            <w:tcW w:w="1659"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62"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3.98</w:t>
            </w:r>
          </w:p>
        </w:tc>
        <w:tc>
          <w:tcPr>
            <w:tcW w:w="1659"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62"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3.78</w:t>
            </w:r>
          </w:p>
        </w:tc>
        <w:tc>
          <w:tcPr>
            <w:tcW w:w="1660" w:type="dxa"/>
            <w:tcBorders>
              <w:top w:val="single" w:color="auto" w:sz="4" w:space="0"/>
              <w:left w:val="single" w:color="auto" w:sz="4" w:space="0"/>
              <w:bottom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62"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3.73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993" w:type="dxa"/>
            <w:vMerge w:val="continue"/>
            <w:tcBorders>
              <w:top w:val="single" w:color="auto" w:sz="4" w:space="0"/>
              <w:bottom w:val="single" w:color="auto" w:sz="4" w:space="0"/>
              <w:right w:val="single" w:color="auto" w:sz="4"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19"/>
                <w:szCs w:val="19"/>
                <w:u w:val="none"/>
              </w:rPr>
            </w:pPr>
          </w:p>
        </w:tc>
        <w:tc>
          <w:tcPr>
            <w:tcW w:w="2335"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62"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毛利率</w:t>
            </w:r>
          </w:p>
        </w:tc>
        <w:tc>
          <w:tcPr>
            <w:tcW w:w="1659"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62"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40.20</w:t>
            </w:r>
          </w:p>
        </w:tc>
        <w:tc>
          <w:tcPr>
            <w:tcW w:w="1659"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62"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27.86</w:t>
            </w:r>
          </w:p>
        </w:tc>
        <w:tc>
          <w:tcPr>
            <w:tcW w:w="1660" w:type="dxa"/>
            <w:tcBorders>
              <w:top w:val="single" w:color="auto" w:sz="4" w:space="0"/>
              <w:left w:val="single" w:color="auto" w:sz="4" w:space="0"/>
              <w:bottom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62"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11.73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93" w:type="dxa"/>
            <w:vMerge w:val="restart"/>
            <w:tcBorders>
              <w:top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62"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907</w:t>
            </w:r>
          </w:p>
        </w:tc>
        <w:tc>
          <w:tcPr>
            <w:tcW w:w="2335"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62"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销量</w:t>
            </w:r>
          </w:p>
        </w:tc>
        <w:tc>
          <w:tcPr>
            <w:tcW w:w="1659"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62"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594.83</w:t>
            </w:r>
          </w:p>
        </w:tc>
        <w:tc>
          <w:tcPr>
            <w:tcW w:w="1659"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62"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734.79</w:t>
            </w:r>
          </w:p>
        </w:tc>
        <w:tc>
          <w:tcPr>
            <w:tcW w:w="1660" w:type="dxa"/>
            <w:tcBorders>
              <w:top w:val="single" w:color="auto" w:sz="4" w:space="0"/>
              <w:left w:val="single" w:color="auto" w:sz="4" w:space="0"/>
              <w:bottom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62"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406.21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93" w:type="dxa"/>
            <w:vMerge w:val="continue"/>
            <w:tcBorders>
              <w:top w:val="single" w:color="auto" w:sz="4" w:space="0"/>
              <w:bottom w:val="single" w:color="auto" w:sz="4" w:space="0"/>
              <w:right w:val="single" w:color="auto" w:sz="4"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19"/>
                <w:szCs w:val="19"/>
                <w:u w:val="none"/>
              </w:rPr>
            </w:pPr>
          </w:p>
        </w:tc>
        <w:tc>
          <w:tcPr>
            <w:tcW w:w="2335"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62"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销售收入</w:t>
            </w:r>
          </w:p>
        </w:tc>
        <w:tc>
          <w:tcPr>
            <w:tcW w:w="1659"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62"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7,136.53</w:t>
            </w:r>
          </w:p>
        </w:tc>
        <w:tc>
          <w:tcPr>
            <w:tcW w:w="1659"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62"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6,995.18</w:t>
            </w:r>
          </w:p>
        </w:tc>
        <w:tc>
          <w:tcPr>
            <w:tcW w:w="1660" w:type="dxa"/>
            <w:tcBorders>
              <w:top w:val="single" w:color="auto" w:sz="4" w:space="0"/>
              <w:left w:val="single" w:color="auto" w:sz="4" w:space="0"/>
              <w:bottom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62"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3,265.12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93" w:type="dxa"/>
            <w:vMerge w:val="continue"/>
            <w:tcBorders>
              <w:top w:val="single" w:color="auto" w:sz="4" w:space="0"/>
              <w:bottom w:val="single" w:color="auto" w:sz="4" w:space="0"/>
              <w:right w:val="single" w:color="auto" w:sz="4"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19"/>
                <w:szCs w:val="19"/>
                <w:u w:val="none"/>
              </w:rPr>
            </w:pPr>
          </w:p>
        </w:tc>
        <w:tc>
          <w:tcPr>
            <w:tcW w:w="2335"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62"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单位售价</w:t>
            </w:r>
          </w:p>
        </w:tc>
        <w:tc>
          <w:tcPr>
            <w:tcW w:w="1659"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62"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119.98</w:t>
            </w:r>
          </w:p>
        </w:tc>
        <w:tc>
          <w:tcPr>
            <w:tcW w:w="1659"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62"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95.20</w:t>
            </w:r>
          </w:p>
        </w:tc>
        <w:tc>
          <w:tcPr>
            <w:tcW w:w="1660" w:type="dxa"/>
            <w:tcBorders>
              <w:top w:val="single" w:color="auto" w:sz="4" w:space="0"/>
              <w:left w:val="single" w:color="auto" w:sz="4" w:space="0"/>
              <w:bottom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62"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80.38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93" w:type="dxa"/>
            <w:vMerge w:val="continue"/>
            <w:tcBorders>
              <w:top w:val="single" w:color="auto" w:sz="4" w:space="0"/>
              <w:bottom w:val="single" w:color="auto" w:sz="4" w:space="0"/>
              <w:right w:val="single" w:color="auto" w:sz="4"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19"/>
                <w:szCs w:val="19"/>
                <w:u w:val="none"/>
              </w:rPr>
            </w:pPr>
          </w:p>
        </w:tc>
        <w:tc>
          <w:tcPr>
            <w:tcW w:w="2335"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62"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单位成本</w:t>
            </w:r>
          </w:p>
        </w:tc>
        <w:tc>
          <w:tcPr>
            <w:tcW w:w="1659"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62"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81.38</w:t>
            </w:r>
          </w:p>
        </w:tc>
        <w:tc>
          <w:tcPr>
            <w:tcW w:w="1659"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62"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69.39</w:t>
            </w:r>
          </w:p>
        </w:tc>
        <w:tc>
          <w:tcPr>
            <w:tcW w:w="1660" w:type="dxa"/>
            <w:tcBorders>
              <w:top w:val="single" w:color="auto" w:sz="4" w:space="0"/>
              <w:left w:val="single" w:color="auto" w:sz="4" w:space="0"/>
              <w:bottom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62"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67.47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993" w:type="dxa"/>
            <w:vMerge w:val="continue"/>
            <w:tcBorders>
              <w:top w:val="single" w:color="auto" w:sz="4" w:space="0"/>
              <w:bottom w:val="single" w:color="auto" w:sz="4" w:space="0"/>
              <w:right w:val="single" w:color="auto" w:sz="4"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19"/>
                <w:szCs w:val="19"/>
                <w:u w:val="none"/>
              </w:rPr>
            </w:pPr>
          </w:p>
        </w:tc>
        <w:tc>
          <w:tcPr>
            <w:tcW w:w="2335"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62"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原料-117C</w:t>
            </w:r>
          </w:p>
        </w:tc>
        <w:tc>
          <w:tcPr>
            <w:tcW w:w="1659"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62"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47.15</w:t>
            </w:r>
          </w:p>
        </w:tc>
        <w:tc>
          <w:tcPr>
            <w:tcW w:w="1659"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62"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40.59</w:t>
            </w:r>
          </w:p>
        </w:tc>
        <w:tc>
          <w:tcPr>
            <w:tcW w:w="1660" w:type="dxa"/>
            <w:tcBorders>
              <w:top w:val="single" w:color="auto" w:sz="4" w:space="0"/>
              <w:left w:val="single" w:color="auto" w:sz="4" w:space="0"/>
              <w:bottom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62"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36.76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 w:hRule="atLeast"/>
        </w:trPr>
        <w:tc>
          <w:tcPr>
            <w:tcW w:w="993" w:type="dxa"/>
            <w:vMerge w:val="continue"/>
            <w:tcBorders>
              <w:top w:val="single" w:color="auto" w:sz="4" w:space="0"/>
              <w:bottom w:val="single" w:color="auto" w:sz="4" w:space="0"/>
              <w:right w:val="single" w:color="auto" w:sz="4"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19"/>
                <w:szCs w:val="19"/>
                <w:u w:val="none"/>
              </w:rPr>
            </w:pPr>
          </w:p>
        </w:tc>
        <w:tc>
          <w:tcPr>
            <w:tcW w:w="2335"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62"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原料-溴素</w:t>
            </w:r>
          </w:p>
        </w:tc>
        <w:tc>
          <w:tcPr>
            <w:tcW w:w="1659"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62"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24.11</w:t>
            </w:r>
          </w:p>
        </w:tc>
        <w:tc>
          <w:tcPr>
            <w:tcW w:w="1659"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62"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24.29</w:t>
            </w:r>
          </w:p>
        </w:tc>
        <w:tc>
          <w:tcPr>
            <w:tcW w:w="1660" w:type="dxa"/>
            <w:tcBorders>
              <w:top w:val="single" w:color="auto" w:sz="4" w:space="0"/>
              <w:left w:val="single" w:color="auto" w:sz="4" w:space="0"/>
              <w:bottom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62"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22.16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93" w:type="dxa"/>
            <w:vMerge w:val="continue"/>
            <w:tcBorders>
              <w:top w:val="single" w:color="auto" w:sz="4" w:space="0"/>
              <w:bottom w:val="single" w:color="auto" w:sz="4" w:space="0"/>
              <w:right w:val="single" w:color="auto" w:sz="4"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19"/>
                <w:szCs w:val="19"/>
                <w:u w:val="none"/>
              </w:rPr>
            </w:pPr>
          </w:p>
        </w:tc>
        <w:tc>
          <w:tcPr>
            <w:tcW w:w="2335"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62"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毛利率</w:t>
            </w:r>
          </w:p>
        </w:tc>
        <w:tc>
          <w:tcPr>
            <w:tcW w:w="1659"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62"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32.17</w:t>
            </w:r>
          </w:p>
        </w:tc>
        <w:tc>
          <w:tcPr>
            <w:tcW w:w="1659"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62"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27.11</w:t>
            </w:r>
          </w:p>
        </w:tc>
        <w:tc>
          <w:tcPr>
            <w:tcW w:w="1660" w:type="dxa"/>
            <w:tcBorders>
              <w:top w:val="single" w:color="auto" w:sz="4" w:space="0"/>
              <w:left w:val="single" w:color="auto" w:sz="4" w:space="0"/>
              <w:bottom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62"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16.06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3328" w:type="dxa"/>
            <w:gridSpan w:val="2"/>
            <w:tcBorders>
              <w:top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62"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样本销售收入小计</w:t>
            </w:r>
          </w:p>
        </w:tc>
        <w:tc>
          <w:tcPr>
            <w:tcW w:w="1659"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62"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38,256.16</w:t>
            </w:r>
          </w:p>
        </w:tc>
        <w:tc>
          <w:tcPr>
            <w:tcW w:w="1659"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62"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31,123.31</w:t>
            </w:r>
          </w:p>
        </w:tc>
        <w:tc>
          <w:tcPr>
            <w:tcW w:w="1660" w:type="dxa"/>
            <w:tcBorders>
              <w:top w:val="single" w:color="auto" w:sz="4" w:space="0"/>
              <w:left w:val="single" w:color="auto" w:sz="4" w:space="0"/>
              <w:bottom w:val="single" w:color="auto" w:sz="4"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62"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23,903.95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3328" w:type="dxa"/>
            <w:gridSpan w:val="2"/>
            <w:tcBorders>
              <w:top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62"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当期收入合计</w:t>
            </w:r>
          </w:p>
        </w:tc>
        <w:tc>
          <w:tcPr>
            <w:tcW w:w="1659"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62"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 77,049.99 </w:t>
            </w:r>
          </w:p>
        </w:tc>
        <w:tc>
          <w:tcPr>
            <w:tcW w:w="1659"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62"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 74,285.79 </w:t>
            </w:r>
          </w:p>
        </w:tc>
        <w:tc>
          <w:tcPr>
            <w:tcW w:w="1660" w:type="dxa"/>
            <w:tcBorders>
              <w:top w:val="single" w:color="auto" w:sz="4" w:space="0"/>
              <w:left w:val="single" w:color="auto" w:sz="4" w:space="0"/>
              <w:bottom w:val="single" w:color="auto" w:sz="4"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62"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 64,213.80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3328" w:type="dxa"/>
            <w:gridSpan w:val="2"/>
            <w:tcBorders>
              <w:top w:val="single" w:color="auto" w:sz="4" w:space="0"/>
              <w:bottom w:val="double" w:color="auto" w:sz="6"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62"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样本收入占当期比例</w:t>
            </w:r>
          </w:p>
        </w:tc>
        <w:tc>
          <w:tcPr>
            <w:tcW w:w="1659" w:type="dxa"/>
            <w:tcBorders>
              <w:top w:val="single" w:color="auto" w:sz="4" w:space="0"/>
              <w:left w:val="single" w:color="auto" w:sz="4" w:space="0"/>
              <w:bottom w:val="double" w:color="auto" w:sz="6" w:space="0"/>
              <w:right w:val="single" w:color="auto" w:sz="4"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62"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49.65</w:t>
            </w:r>
          </w:p>
        </w:tc>
        <w:tc>
          <w:tcPr>
            <w:tcW w:w="1659" w:type="dxa"/>
            <w:tcBorders>
              <w:top w:val="single" w:color="auto" w:sz="4" w:space="0"/>
              <w:left w:val="single" w:color="auto" w:sz="4" w:space="0"/>
              <w:bottom w:val="double" w:color="auto" w:sz="6" w:space="0"/>
              <w:right w:val="single" w:color="auto" w:sz="4"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62"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41.90</w:t>
            </w:r>
          </w:p>
        </w:tc>
        <w:tc>
          <w:tcPr>
            <w:tcW w:w="1660" w:type="dxa"/>
            <w:tcBorders>
              <w:top w:val="single" w:color="auto" w:sz="4" w:space="0"/>
              <w:left w:val="single" w:color="auto" w:sz="4" w:space="0"/>
              <w:bottom w:val="double" w:color="auto" w:sz="6"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62"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37.23</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93" w:beforeAutospacing="0" w:after="240" w:afterAutospacing="0" w:line="384" w:lineRule="atLeast"/>
        <w:ind w:left="0" w:right="0" w:firstLine="48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000000"/>
          <w:spacing w:val="0"/>
          <w:sz w:val="21"/>
          <w:szCs w:val="21"/>
          <w:u w:val="none"/>
          <w:bdr w:val="none" w:color="auto" w:sz="0" w:space="0"/>
          <w:shd w:val="clear" w:fill="FFFFFF"/>
        </w:rPr>
        <w:t>2018年1-9月，申请人主要光引发剂184保持了较高的毛利率水平，同时主要光引发剂1173、907等品种产品的毛利率较上年均大幅上升，其原因为1173、907等主要产品的单位平均售价较上年分别增长了25.95元、24.78元，增长幅度分别为85.62%、26.03%，而单位平均成本较上年分别只增长了11.78元、11.99元，增长幅度分别为53.89%、17.28%，单位平均售价较上年的增长幅度远大于主要原料采购价格的增长幅度。由于受产业升级和环保政策的影响，市场对光固化涂料、光固化油墨、光固化胶粘剂等光固化材料的需求大幅提升，光引发剂作为光固化材料的核心原材料，其需求相应持续扩大，在市场供给有限的情况下，销售价格大幅提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93" w:beforeAutospacing="0" w:after="240" w:afterAutospacing="0" w:line="384" w:lineRule="atLeast"/>
        <w:ind w:left="0" w:right="0" w:firstLine="48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000000"/>
          <w:spacing w:val="0"/>
          <w:sz w:val="21"/>
          <w:szCs w:val="21"/>
          <w:u w:val="none"/>
          <w:bdr w:val="none" w:color="auto" w:sz="0" w:space="0"/>
          <w:shd w:val="clear" w:fill="FFFFFF"/>
        </w:rPr>
        <w:t>同时，申请人根据市场变化适时调整产品结构，扩大生产规模并开拓销售市场，提高了具有技术优势的高毛利光引发剂如184、1173等品种的生产规模和销售比重，并适量缩减其他低附加值的产品，使得2018年1-9月的毛利率大幅上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93" w:beforeAutospacing="0" w:after="240" w:afterAutospacing="0" w:line="384" w:lineRule="atLeast"/>
        <w:ind w:left="0" w:right="0" w:firstLine="48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000000"/>
          <w:spacing w:val="0"/>
          <w:sz w:val="21"/>
          <w:szCs w:val="21"/>
          <w:u w:val="none"/>
          <w:bdr w:val="none" w:color="auto" w:sz="0" w:space="0"/>
          <w:shd w:val="clear" w:fill="FFFFFF"/>
        </w:rPr>
        <w:t>2、申请人毛利率与同行业公司的对比情况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93" w:beforeAutospacing="0" w:after="240" w:afterAutospacing="0" w:line="384" w:lineRule="atLeast"/>
        <w:ind w:left="0" w:right="0" w:firstLine="48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000000"/>
          <w:spacing w:val="0"/>
          <w:sz w:val="21"/>
          <w:szCs w:val="21"/>
          <w:u w:val="none"/>
          <w:bdr w:val="none" w:color="auto" w:sz="0" w:space="0"/>
          <w:shd w:val="clear" w:fill="FFFFFF"/>
        </w:rPr>
        <w:t>申请人主要从事光引发剂的研发、生产和销售，可比公司选取标准为行业内光引发剂销售数据公开可查且毛利具有一定规模的可比上市及挂牌公司，主要为浙江扬帆新材料股份有限公司（以下简称“扬帆新材”）、湖北固润科技股份有限公司（以下简称“固润科技”）和常州强力电子新材料股份有限公司（以下简称“强力新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93" w:beforeAutospacing="0" w:after="240" w:afterAutospacing="0" w:line="384" w:lineRule="atLeast"/>
        <w:ind w:left="0" w:right="0" w:firstLine="48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000000"/>
          <w:spacing w:val="0"/>
          <w:sz w:val="21"/>
          <w:szCs w:val="21"/>
          <w:u w:val="none"/>
          <w:bdr w:val="none" w:color="auto" w:sz="0" w:space="0"/>
          <w:shd w:val="clear" w:fill="FFFFFF"/>
        </w:rPr>
        <w:t>扬帆新材为创业板上市公司，主要产品为907品种光引发剂、巯基化合物及其衍生物；固润科技为股转系统挂牌公司，主要产品为TPO、XBPO、FMT等品种光引发剂；强力新材为创业板上市公司，主要产品为光刻胶树脂、光刻胶用光引发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93" w:beforeAutospacing="0" w:after="240" w:afterAutospacing="0" w:line="384" w:lineRule="atLeast"/>
        <w:ind w:left="0" w:right="0" w:firstLine="48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000000"/>
          <w:spacing w:val="0"/>
          <w:sz w:val="21"/>
          <w:szCs w:val="21"/>
          <w:u w:val="none"/>
          <w:bdr w:val="none" w:color="auto" w:sz="0" w:space="0"/>
          <w:shd w:val="clear" w:fill="FFFFFF"/>
        </w:rPr>
        <w:t>申请人与同行业可比公司毛利率对比如下：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93" w:beforeAutospacing="0" w:after="240" w:afterAutospacing="0" w:line="288" w:lineRule="atLeast"/>
        <w:ind w:left="0" w:right="0" w:firstLine="420"/>
        <w:jc w:val="right"/>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单位：%</w:t>
      </w:r>
    </w:p>
    <w:tbl>
      <w:tblPr>
        <w:tblW w:w="829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2074"/>
        <w:gridCol w:w="2074"/>
        <w:gridCol w:w="2074"/>
        <w:gridCol w:w="20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2074" w:type="dxa"/>
            <w:tcBorders>
              <w:top w:val="double" w:color="auto" w:sz="6" w:space="0"/>
              <w:bottom w:val="single" w:color="auto" w:sz="4" w:space="0"/>
              <w:right w:val="single" w:color="auto" w:sz="4" w:space="0"/>
            </w:tcBorders>
            <w:shd w:val="clear" w:color="auto" w:fill="D9D9D9"/>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62"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公司名称</w:t>
            </w:r>
          </w:p>
        </w:tc>
        <w:tc>
          <w:tcPr>
            <w:tcW w:w="2074" w:type="dxa"/>
            <w:tcBorders>
              <w:top w:val="double" w:color="auto" w:sz="6" w:space="0"/>
              <w:left w:val="single" w:color="auto" w:sz="4" w:space="0"/>
              <w:bottom w:val="single" w:color="auto" w:sz="4" w:space="0"/>
              <w:right w:val="single" w:color="auto" w:sz="4" w:space="0"/>
            </w:tcBorders>
            <w:shd w:val="clear" w:color="auto" w:fill="D9D9D9"/>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62"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2018年1-6月</w:t>
            </w:r>
          </w:p>
        </w:tc>
        <w:tc>
          <w:tcPr>
            <w:tcW w:w="2074" w:type="dxa"/>
            <w:tcBorders>
              <w:top w:val="double" w:color="auto" w:sz="6" w:space="0"/>
              <w:left w:val="single" w:color="auto" w:sz="4" w:space="0"/>
              <w:bottom w:val="single" w:color="auto" w:sz="4" w:space="0"/>
              <w:right w:val="single" w:color="auto" w:sz="4" w:space="0"/>
            </w:tcBorders>
            <w:shd w:val="clear" w:color="auto" w:fill="D9D9D9"/>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62"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2017年度</w:t>
            </w:r>
          </w:p>
        </w:tc>
        <w:tc>
          <w:tcPr>
            <w:tcW w:w="2074" w:type="dxa"/>
            <w:tcBorders>
              <w:top w:val="double" w:color="auto" w:sz="6" w:space="0"/>
              <w:left w:val="single" w:color="auto" w:sz="4" w:space="0"/>
              <w:bottom w:val="single" w:color="auto" w:sz="4" w:space="0"/>
            </w:tcBorders>
            <w:shd w:val="clear" w:color="auto" w:fill="D9D9D9"/>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62"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2016年度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2074" w:type="dxa"/>
            <w:tcBorders>
              <w:top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62"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扬帆新材</w:t>
            </w:r>
          </w:p>
        </w:tc>
        <w:tc>
          <w:tcPr>
            <w:tcW w:w="2074"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62"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43.85</w:t>
            </w:r>
          </w:p>
        </w:tc>
        <w:tc>
          <w:tcPr>
            <w:tcW w:w="2074"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62"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32.50</w:t>
            </w:r>
          </w:p>
        </w:tc>
        <w:tc>
          <w:tcPr>
            <w:tcW w:w="2074" w:type="dxa"/>
            <w:tcBorders>
              <w:top w:val="single" w:color="auto" w:sz="4" w:space="0"/>
              <w:left w:val="single" w:color="auto" w:sz="4" w:space="0"/>
              <w:bottom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62"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34.83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2074" w:type="dxa"/>
            <w:tcBorders>
              <w:top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62"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固润科技</w:t>
            </w:r>
          </w:p>
        </w:tc>
        <w:tc>
          <w:tcPr>
            <w:tcW w:w="2074"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62"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48.20</w:t>
            </w:r>
          </w:p>
        </w:tc>
        <w:tc>
          <w:tcPr>
            <w:tcW w:w="2074"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62"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29.03</w:t>
            </w:r>
          </w:p>
        </w:tc>
        <w:tc>
          <w:tcPr>
            <w:tcW w:w="2074" w:type="dxa"/>
            <w:tcBorders>
              <w:top w:val="single" w:color="auto" w:sz="4" w:space="0"/>
              <w:left w:val="single" w:color="auto" w:sz="4" w:space="0"/>
              <w:bottom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62"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30.72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2074" w:type="dxa"/>
            <w:tcBorders>
              <w:top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62"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强力新材</w:t>
            </w:r>
          </w:p>
        </w:tc>
        <w:tc>
          <w:tcPr>
            <w:tcW w:w="2074"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62"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41.66</w:t>
            </w:r>
          </w:p>
        </w:tc>
        <w:tc>
          <w:tcPr>
            <w:tcW w:w="2074"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62"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41.21</w:t>
            </w:r>
          </w:p>
        </w:tc>
        <w:tc>
          <w:tcPr>
            <w:tcW w:w="2074" w:type="dxa"/>
            <w:tcBorders>
              <w:top w:val="single" w:color="auto" w:sz="4" w:space="0"/>
              <w:left w:val="single" w:color="auto" w:sz="4" w:space="0"/>
              <w:bottom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62"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43.19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2074" w:type="dxa"/>
            <w:tcBorders>
              <w:top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62"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算术平均值</w:t>
            </w:r>
          </w:p>
        </w:tc>
        <w:tc>
          <w:tcPr>
            <w:tcW w:w="2074"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62"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44.57</w:t>
            </w:r>
          </w:p>
        </w:tc>
        <w:tc>
          <w:tcPr>
            <w:tcW w:w="2074"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62"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34.25</w:t>
            </w:r>
          </w:p>
        </w:tc>
        <w:tc>
          <w:tcPr>
            <w:tcW w:w="2074" w:type="dxa"/>
            <w:tcBorders>
              <w:top w:val="single" w:color="auto" w:sz="4" w:space="0"/>
              <w:left w:val="single" w:color="auto" w:sz="4" w:space="0"/>
              <w:bottom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62"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36.25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2074" w:type="dxa"/>
            <w:tcBorders>
              <w:top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62"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公司</w:t>
            </w:r>
          </w:p>
        </w:tc>
        <w:tc>
          <w:tcPr>
            <w:tcW w:w="2074"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62"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34.57</w:t>
            </w:r>
          </w:p>
        </w:tc>
        <w:tc>
          <w:tcPr>
            <w:tcW w:w="2074"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62"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23.99</w:t>
            </w:r>
          </w:p>
        </w:tc>
        <w:tc>
          <w:tcPr>
            <w:tcW w:w="2074" w:type="dxa"/>
            <w:tcBorders>
              <w:top w:val="single" w:color="auto" w:sz="4" w:space="0"/>
              <w:left w:val="single" w:color="auto" w:sz="4" w:space="0"/>
              <w:bottom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62"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22.52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2074" w:type="dxa"/>
            <w:tcBorders>
              <w:top w:val="single" w:color="auto" w:sz="4" w:space="0"/>
              <w:bottom w:val="double" w:color="auto" w:sz="6"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62"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与平均值差额</w:t>
            </w:r>
          </w:p>
        </w:tc>
        <w:tc>
          <w:tcPr>
            <w:tcW w:w="2074" w:type="dxa"/>
            <w:tcBorders>
              <w:top w:val="single" w:color="auto" w:sz="4" w:space="0"/>
              <w:left w:val="single" w:color="auto" w:sz="4" w:space="0"/>
              <w:bottom w:val="double" w:color="auto" w:sz="6"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62"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-10.00</w:t>
            </w:r>
          </w:p>
        </w:tc>
        <w:tc>
          <w:tcPr>
            <w:tcW w:w="2074" w:type="dxa"/>
            <w:tcBorders>
              <w:top w:val="single" w:color="auto" w:sz="4" w:space="0"/>
              <w:left w:val="single" w:color="auto" w:sz="4" w:space="0"/>
              <w:bottom w:val="double" w:color="auto" w:sz="6"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62"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-10.26</w:t>
            </w:r>
          </w:p>
        </w:tc>
        <w:tc>
          <w:tcPr>
            <w:tcW w:w="2074" w:type="dxa"/>
            <w:tcBorders>
              <w:top w:val="single" w:color="auto" w:sz="4" w:space="0"/>
              <w:left w:val="single" w:color="auto" w:sz="4" w:space="0"/>
              <w:bottom w:val="double" w:color="auto" w:sz="6"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62"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-13.73</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20"/>
        <w:jc w:val="right"/>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数据来源：Wind资讯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93" w:beforeAutospacing="0" w:after="240" w:afterAutospacing="0" w:line="288" w:lineRule="atLeast"/>
        <w:ind w:left="0" w:right="0" w:firstLine="44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注：由于固润科技未公布2018年1-9月财务数据，故采用2018年1-6月作为对比。</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93" w:beforeAutospacing="0" w:after="240" w:afterAutospacing="0" w:line="384" w:lineRule="atLeast"/>
        <w:ind w:left="0" w:right="0" w:firstLine="48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000000"/>
          <w:spacing w:val="0"/>
          <w:sz w:val="21"/>
          <w:szCs w:val="21"/>
          <w:u w:val="none"/>
          <w:bdr w:val="none" w:color="auto" w:sz="0" w:space="0"/>
          <w:shd w:val="clear" w:fill="FFFFFF"/>
        </w:rPr>
        <w:t>申请人产品综合毛利率相对于可比公司较低，主要是由于申请人主要产品光引发剂产品毛利率低于可比公司同类产品，同时申请人精细化学品和单体等产品毛利率显著低于光引发剂产品。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93" w:beforeAutospacing="0" w:after="240" w:afterAutospacing="0" w:line="384" w:lineRule="atLeast"/>
        <w:ind w:left="0" w:right="0" w:firstLine="48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000000"/>
          <w:spacing w:val="0"/>
          <w:sz w:val="21"/>
          <w:szCs w:val="21"/>
          <w:u w:val="none"/>
          <w:bdr w:val="none" w:color="auto" w:sz="0" w:space="0"/>
          <w:shd w:val="clear" w:fill="FFFFFF"/>
        </w:rPr>
        <w:t>同行业可比公司光引发剂产品毛利及毛利率如下：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93" w:beforeAutospacing="0" w:after="240" w:afterAutospacing="0" w:line="288" w:lineRule="atLeast"/>
        <w:ind w:left="0" w:right="0" w:firstLine="420"/>
        <w:jc w:val="right"/>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单位：万元、%</w:t>
      </w:r>
    </w:p>
    <w:tbl>
      <w:tblPr>
        <w:tblW w:w="830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229"/>
        <w:gridCol w:w="994"/>
        <w:gridCol w:w="1088"/>
        <w:gridCol w:w="994"/>
        <w:gridCol w:w="1088"/>
        <w:gridCol w:w="922"/>
        <w:gridCol w:w="1088"/>
        <w:gridCol w:w="90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260" w:type="dxa"/>
            <w:vMerge w:val="restart"/>
            <w:tcBorders>
              <w:top w:val="double" w:color="auto" w:sz="6" w:space="0"/>
              <w:bottom w:val="single" w:color="auto" w:sz="4" w:space="0"/>
              <w:right w:val="single" w:color="auto" w:sz="4" w:space="0"/>
            </w:tcBorders>
            <w:shd w:val="clear" w:color="auto" w:fill="D9D9D9"/>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62"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公司名称</w:t>
            </w:r>
          </w:p>
        </w:tc>
        <w:tc>
          <w:tcPr>
            <w:tcW w:w="1016" w:type="dxa"/>
            <w:vMerge w:val="restart"/>
            <w:tcBorders>
              <w:top w:val="double" w:color="auto" w:sz="6" w:space="0"/>
              <w:left w:val="single" w:color="auto" w:sz="4" w:space="0"/>
              <w:bottom w:val="single" w:color="auto" w:sz="4" w:space="0"/>
              <w:right w:val="single" w:color="auto" w:sz="4" w:space="0"/>
            </w:tcBorders>
            <w:shd w:val="clear" w:color="auto" w:fill="D9D9D9"/>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62"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产品名称</w:t>
            </w:r>
          </w:p>
        </w:tc>
        <w:tc>
          <w:tcPr>
            <w:tcW w:w="2061" w:type="dxa"/>
            <w:gridSpan w:val="2"/>
            <w:tcBorders>
              <w:top w:val="double" w:color="auto" w:sz="6" w:space="0"/>
              <w:left w:val="single" w:color="auto" w:sz="4" w:space="0"/>
              <w:bottom w:val="single" w:color="auto" w:sz="4" w:space="0"/>
              <w:right w:val="single" w:color="auto" w:sz="4" w:space="0"/>
            </w:tcBorders>
            <w:shd w:val="clear" w:color="auto" w:fill="D9D9D9"/>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62"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2018年1-6月</w:t>
            </w:r>
          </w:p>
        </w:tc>
        <w:tc>
          <w:tcPr>
            <w:tcW w:w="1983" w:type="dxa"/>
            <w:gridSpan w:val="2"/>
            <w:tcBorders>
              <w:top w:val="double" w:color="auto" w:sz="6" w:space="0"/>
              <w:left w:val="single" w:color="auto" w:sz="4" w:space="0"/>
              <w:bottom w:val="single" w:color="auto" w:sz="4" w:space="0"/>
              <w:right w:val="single" w:color="auto" w:sz="4" w:space="0"/>
            </w:tcBorders>
            <w:shd w:val="clear" w:color="auto" w:fill="D9D9D9"/>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62"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2017年度</w:t>
            </w:r>
          </w:p>
        </w:tc>
        <w:tc>
          <w:tcPr>
            <w:tcW w:w="1986" w:type="dxa"/>
            <w:gridSpan w:val="2"/>
            <w:tcBorders>
              <w:top w:val="double" w:color="auto" w:sz="6" w:space="0"/>
              <w:left w:val="single" w:color="auto" w:sz="4" w:space="0"/>
              <w:bottom w:val="single" w:color="auto" w:sz="4" w:space="0"/>
            </w:tcBorders>
            <w:shd w:val="clear" w:color="auto" w:fill="D9D9D9"/>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62"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2016年度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1260" w:type="dxa"/>
            <w:vMerge w:val="continue"/>
            <w:tcBorders>
              <w:top w:val="double" w:color="auto" w:sz="6" w:space="0"/>
              <w:bottom w:val="single" w:color="auto" w:sz="4" w:space="0"/>
              <w:right w:val="single" w:color="auto" w:sz="4" w:space="0"/>
            </w:tcBorders>
            <w:shd w:val="clear" w:color="auto" w:fill="D9D9D9"/>
            <w:tcMar>
              <w:left w:w="108" w:type="dxa"/>
              <w:right w:w="108" w:type="dxa"/>
            </w:tcMar>
            <w:vAlign w:val="center"/>
          </w:tcPr>
          <w:p>
            <w:pPr>
              <w:rPr>
                <w:rFonts w:hint="eastAsia" w:ascii="微软雅黑" w:hAnsi="微软雅黑" w:eastAsia="微软雅黑" w:cs="微软雅黑"/>
                <w:i w:val="0"/>
                <w:iCs w:val="0"/>
                <w:caps w:val="0"/>
                <w:color w:val="333333"/>
                <w:spacing w:val="0"/>
                <w:sz w:val="19"/>
                <w:szCs w:val="19"/>
                <w:u w:val="none"/>
              </w:rPr>
            </w:pPr>
          </w:p>
        </w:tc>
        <w:tc>
          <w:tcPr>
            <w:tcW w:w="1016" w:type="dxa"/>
            <w:vMerge w:val="continue"/>
            <w:tcBorders>
              <w:top w:val="double" w:color="auto" w:sz="6" w:space="0"/>
              <w:left w:val="single" w:color="auto" w:sz="4" w:space="0"/>
              <w:bottom w:val="single" w:color="auto" w:sz="4" w:space="0"/>
              <w:right w:val="single" w:color="auto" w:sz="4" w:space="0"/>
            </w:tcBorders>
            <w:shd w:val="clear" w:color="auto" w:fill="D9D9D9"/>
            <w:tcMar>
              <w:left w:w="108" w:type="dxa"/>
              <w:right w:w="108" w:type="dxa"/>
            </w:tcMar>
            <w:vAlign w:val="center"/>
          </w:tcPr>
          <w:p>
            <w:pPr>
              <w:rPr>
                <w:rFonts w:hint="eastAsia" w:ascii="微软雅黑" w:hAnsi="微软雅黑" w:eastAsia="微软雅黑" w:cs="微软雅黑"/>
                <w:i w:val="0"/>
                <w:iCs w:val="0"/>
                <w:caps w:val="0"/>
                <w:color w:val="333333"/>
                <w:spacing w:val="0"/>
                <w:sz w:val="19"/>
                <w:szCs w:val="19"/>
                <w:u w:val="none"/>
              </w:rPr>
            </w:pPr>
          </w:p>
        </w:tc>
        <w:tc>
          <w:tcPr>
            <w:tcW w:w="1056" w:type="dxa"/>
            <w:tcBorders>
              <w:top w:val="single" w:color="auto" w:sz="4" w:space="0"/>
              <w:left w:val="single" w:color="auto" w:sz="4" w:space="0"/>
              <w:bottom w:val="single" w:color="auto" w:sz="4" w:space="0"/>
              <w:right w:val="single" w:color="auto" w:sz="4" w:space="0"/>
            </w:tcBorders>
            <w:shd w:val="clear" w:color="auto" w:fill="D9D9D9"/>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62"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毛利</w:t>
            </w:r>
          </w:p>
        </w:tc>
        <w:tc>
          <w:tcPr>
            <w:tcW w:w="1005" w:type="dxa"/>
            <w:tcBorders>
              <w:top w:val="single" w:color="auto" w:sz="4" w:space="0"/>
              <w:left w:val="single" w:color="auto" w:sz="4" w:space="0"/>
              <w:bottom w:val="single" w:color="auto" w:sz="4" w:space="0"/>
              <w:right w:val="single" w:color="auto" w:sz="4" w:space="0"/>
            </w:tcBorders>
            <w:shd w:val="clear" w:color="auto" w:fill="D9D9D9"/>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62"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毛利率</w:t>
            </w:r>
          </w:p>
        </w:tc>
        <w:tc>
          <w:tcPr>
            <w:tcW w:w="1056" w:type="dxa"/>
            <w:tcBorders>
              <w:top w:val="single" w:color="auto" w:sz="4" w:space="0"/>
              <w:left w:val="single" w:color="auto" w:sz="4" w:space="0"/>
              <w:bottom w:val="single" w:color="auto" w:sz="4" w:space="0"/>
              <w:right w:val="single" w:color="auto" w:sz="4" w:space="0"/>
            </w:tcBorders>
            <w:shd w:val="clear" w:color="auto" w:fill="D9D9D9"/>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62"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毛利</w:t>
            </w:r>
          </w:p>
        </w:tc>
        <w:tc>
          <w:tcPr>
            <w:tcW w:w="927" w:type="dxa"/>
            <w:tcBorders>
              <w:top w:val="single" w:color="auto" w:sz="4" w:space="0"/>
              <w:left w:val="single" w:color="auto" w:sz="4" w:space="0"/>
              <w:bottom w:val="single" w:color="auto" w:sz="4" w:space="0"/>
              <w:right w:val="single" w:color="auto" w:sz="4" w:space="0"/>
            </w:tcBorders>
            <w:shd w:val="clear" w:color="auto" w:fill="D9D9D9"/>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62"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毛利率</w:t>
            </w:r>
          </w:p>
        </w:tc>
        <w:tc>
          <w:tcPr>
            <w:tcW w:w="1079" w:type="dxa"/>
            <w:tcBorders>
              <w:top w:val="single" w:color="auto" w:sz="4" w:space="0"/>
              <w:left w:val="single" w:color="auto" w:sz="4" w:space="0"/>
              <w:bottom w:val="single" w:color="auto" w:sz="4" w:space="0"/>
              <w:right w:val="single" w:color="auto" w:sz="4" w:space="0"/>
            </w:tcBorders>
            <w:shd w:val="clear" w:color="auto" w:fill="D9D9D9"/>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62"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毛利</w:t>
            </w:r>
          </w:p>
        </w:tc>
        <w:tc>
          <w:tcPr>
            <w:tcW w:w="907" w:type="dxa"/>
            <w:tcBorders>
              <w:top w:val="single" w:color="auto" w:sz="4" w:space="0"/>
              <w:left w:val="single" w:color="auto" w:sz="4" w:space="0"/>
              <w:bottom w:val="single" w:color="auto" w:sz="4" w:space="0"/>
            </w:tcBorders>
            <w:shd w:val="clear" w:color="auto" w:fill="D9D9D9"/>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62"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毛利率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1260" w:type="dxa"/>
            <w:tcBorders>
              <w:top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62"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扬帆新材</w:t>
            </w:r>
          </w:p>
        </w:tc>
        <w:tc>
          <w:tcPr>
            <w:tcW w:w="101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62"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光引发剂</w:t>
            </w:r>
          </w:p>
        </w:tc>
        <w:tc>
          <w:tcPr>
            <w:tcW w:w="105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62"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5,064.38</w:t>
            </w:r>
          </w:p>
        </w:tc>
        <w:tc>
          <w:tcPr>
            <w:tcW w:w="1005"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62"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43.23</w:t>
            </w:r>
          </w:p>
        </w:tc>
        <w:tc>
          <w:tcPr>
            <w:tcW w:w="105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62"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5,163.66</w:t>
            </w:r>
          </w:p>
        </w:tc>
        <w:tc>
          <w:tcPr>
            <w:tcW w:w="927"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62"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28.81</w:t>
            </w:r>
          </w:p>
        </w:tc>
        <w:tc>
          <w:tcPr>
            <w:tcW w:w="1079"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62"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5,532.32</w:t>
            </w:r>
          </w:p>
        </w:tc>
        <w:tc>
          <w:tcPr>
            <w:tcW w:w="907" w:type="dxa"/>
            <w:tcBorders>
              <w:top w:val="single" w:color="auto" w:sz="4" w:space="0"/>
              <w:left w:val="single" w:color="auto" w:sz="4" w:space="0"/>
              <w:bottom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62"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32.14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1260" w:type="dxa"/>
            <w:tcBorders>
              <w:top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62"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固润科技</w:t>
            </w:r>
          </w:p>
        </w:tc>
        <w:tc>
          <w:tcPr>
            <w:tcW w:w="101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62"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光引发剂</w:t>
            </w:r>
          </w:p>
        </w:tc>
        <w:tc>
          <w:tcPr>
            <w:tcW w:w="105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62"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4,222.36</w:t>
            </w:r>
          </w:p>
        </w:tc>
        <w:tc>
          <w:tcPr>
            <w:tcW w:w="1005"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62"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48.20</w:t>
            </w:r>
          </w:p>
        </w:tc>
        <w:tc>
          <w:tcPr>
            <w:tcW w:w="105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62"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2,506.94</w:t>
            </w:r>
          </w:p>
        </w:tc>
        <w:tc>
          <w:tcPr>
            <w:tcW w:w="927"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62"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29.03</w:t>
            </w:r>
          </w:p>
        </w:tc>
        <w:tc>
          <w:tcPr>
            <w:tcW w:w="1079"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62"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2,224.40</w:t>
            </w:r>
          </w:p>
        </w:tc>
        <w:tc>
          <w:tcPr>
            <w:tcW w:w="907" w:type="dxa"/>
            <w:tcBorders>
              <w:top w:val="single" w:color="auto" w:sz="4" w:space="0"/>
              <w:left w:val="single" w:color="auto" w:sz="4" w:space="0"/>
              <w:bottom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62"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30.72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1260" w:type="dxa"/>
            <w:vMerge w:val="restart"/>
            <w:tcBorders>
              <w:top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62"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强力新材</w:t>
            </w:r>
          </w:p>
        </w:tc>
        <w:tc>
          <w:tcPr>
            <w:tcW w:w="101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62"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光刻胶用光引发剂</w:t>
            </w:r>
          </w:p>
        </w:tc>
        <w:tc>
          <w:tcPr>
            <w:tcW w:w="105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62"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9,430.24</w:t>
            </w:r>
          </w:p>
        </w:tc>
        <w:tc>
          <w:tcPr>
            <w:tcW w:w="1005"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62"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49.96</w:t>
            </w:r>
          </w:p>
        </w:tc>
        <w:tc>
          <w:tcPr>
            <w:tcW w:w="105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62"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18,107.88</w:t>
            </w:r>
          </w:p>
        </w:tc>
        <w:tc>
          <w:tcPr>
            <w:tcW w:w="927"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62"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57.59</w:t>
            </w:r>
          </w:p>
        </w:tc>
        <w:tc>
          <w:tcPr>
            <w:tcW w:w="1079"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62"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14,813.95</w:t>
            </w:r>
          </w:p>
        </w:tc>
        <w:tc>
          <w:tcPr>
            <w:tcW w:w="907" w:type="dxa"/>
            <w:tcBorders>
              <w:top w:val="single" w:color="auto" w:sz="4" w:space="0"/>
              <w:left w:val="single" w:color="auto" w:sz="4" w:space="0"/>
              <w:bottom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62"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57.25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1260" w:type="dxa"/>
            <w:vMerge w:val="continue"/>
            <w:tcBorders>
              <w:top w:val="single" w:color="auto" w:sz="4" w:space="0"/>
              <w:bottom w:val="single" w:color="auto" w:sz="4" w:space="0"/>
              <w:right w:val="single" w:color="auto" w:sz="4"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19"/>
                <w:szCs w:val="19"/>
                <w:u w:val="none"/>
              </w:rPr>
            </w:pPr>
          </w:p>
        </w:tc>
        <w:tc>
          <w:tcPr>
            <w:tcW w:w="101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62"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其他用途光引发剂</w:t>
            </w:r>
          </w:p>
        </w:tc>
        <w:tc>
          <w:tcPr>
            <w:tcW w:w="105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62"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4,053.08</w:t>
            </w:r>
          </w:p>
        </w:tc>
        <w:tc>
          <w:tcPr>
            <w:tcW w:w="1005"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62"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39.94</w:t>
            </w:r>
          </w:p>
        </w:tc>
        <w:tc>
          <w:tcPr>
            <w:tcW w:w="105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62"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4,971.66</w:t>
            </w:r>
          </w:p>
        </w:tc>
        <w:tc>
          <w:tcPr>
            <w:tcW w:w="927"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62"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28.23</w:t>
            </w:r>
          </w:p>
        </w:tc>
        <w:tc>
          <w:tcPr>
            <w:tcW w:w="1079"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62"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2,251.34</w:t>
            </w:r>
          </w:p>
        </w:tc>
        <w:tc>
          <w:tcPr>
            <w:tcW w:w="907" w:type="dxa"/>
            <w:tcBorders>
              <w:top w:val="single" w:color="auto" w:sz="4" w:space="0"/>
              <w:left w:val="single" w:color="auto" w:sz="4" w:space="0"/>
              <w:bottom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62"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31.72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1260" w:type="dxa"/>
            <w:tcBorders>
              <w:top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62"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算术平均值</w:t>
            </w:r>
          </w:p>
        </w:tc>
        <w:tc>
          <w:tcPr>
            <w:tcW w:w="101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62"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w:t>
            </w:r>
          </w:p>
        </w:tc>
        <w:tc>
          <w:tcPr>
            <w:tcW w:w="105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62"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w:t>
            </w:r>
          </w:p>
        </w:tc>
        <w:tc>
          <w:tcPr>
            <w:tcW w:w="1005"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62"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45.33</w:t>
            </w:r>
          </w:p>
        </w:tc>
        <w:tc>
          <w:tcPr>
            <w:tcW w:w="105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62"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w:t>
            </w:r>
          </w:p>
        </w:tc>
        <w:tc>
          <w:tcPr>
            <w:tcW w:w="927"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62"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35.92</w:t>
            </w:r>
          </w:p>
        </w:tc>
        <w:tc>
          <w:tcPr>
            <w:tcW w:w="1079"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62"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w:t>
            </w:r>
          </w:p>
        </w:tc>
        <w:tc>
          <w:tcPr>
            <w:tcW w:w="907" w:type="dxa"/>
            <w:tcBorders>
              <w:top w:val="single" w:color="auto" w:sz="4" w:space="0"/>
              <w:left w:val="single" w:color="auto" w:sz="4" w:space="0"/>
              <w:bottom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62"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37.96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1260" w:type="dxa"/>
            <w:tcBorders>
              <w:top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62"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公司</w:t>
            </w:r>
          </w:p>
        </w:tc>
        <w:tc>
          <w:tcPr>
            <w:tcW w:w="101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62"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光引发剂</w:t>
            </w:r>
          </w:p>
        </w:tc>
        <w:tc>
          <w:tcPr>
            <w:tcW w:w="105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62"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17,455.45</w:t>
            </w:r>
          </w:p>
        </w:tc>
        <w:tc>
          <w:tcPr>
            <w:tcW w:w="1005"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62"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35.81</w:t>
            </w:r>
          </w:p>
        </w:tc>
        <w:tc>
          <w:tcPr>
            <w:tcW w:w="105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62"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16,650.02</w:t>
            </w:r>
          </w:p>
        </w:tc>
        <w:tc>
          <w:tcPr>
            <w:tcW w:w="927"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62"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24.79</w:t>
            </w:r>
          </w:p>
        </w:tc>
        <w:tc>
          <w:tcPr>
            <w:tcW w:w="1079"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62"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12,254.93</w:t>
            </w:r>
          </w:p>
        </w:tc>
        <w:tc>
          <w:tcPr>
            <w:tcW w:w="907" w:type="dxa"/>
            <w:tcBorders>
              <w:top w:val="single" w:color="auto" w:sz="4" w:space="0"/>
              <w:left w:val="single" w:color="auto" w:sz="4" w:space="0"/>
              <w:bottom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62"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22.58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1260" w:type="dxa"/>
            <w:tcBorders>
              <w:top w:val="single" w:color="auto" w:sz="4" w:space="0"/>
              <w:bottom w:val="double" w:color="auto" w:sz="6"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62"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与平均值差额</w:t>
            </w:r>
          </w:p>
        </w:tc>
        <w:tc>
          <w:tcPr>
            <w:tcW w:w="1016" w:type="dxa"/>
            <w:tcBorders>
              <w:top w:val="single" w:color="auto" w:sz="4" w:space="0"/>
              <w:left w:val="single" w:color="auto" w:sz="4" w:space="0"/>
              <w:bottom w:val="double" w:color="auto" w:sz="6"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62"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w:t>
            </w:r>
          </w:p>
        </w:tc>
        <w:tc>
          <w:tcPr>
            <w:tcW w:w="1056" w:type="dxa"/>
            <w:tcBorders>
              <w:top w:val="single" w:color="auto" w:sz="4" w:space="0"/>
              <w:left w:val="single" w:color="auto" w:sz="4" w:space="0"/>
              <w:bottom w:val="double" w:color="auto" w:sz="6"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62"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w:t>
            </w:r>
          </w:p>
        </w:tc>
        <w:tc>
          <w:tcPr>
            <w:tcW w:w="1005" w:type="dxa"/>
            <w:tcBorders>
              <w:top w:val="single" w:color="auto" w:sz="4" w:space="0"/>
              <w:left w:val="single" w:color="auto" w:sz="4" w:space="0"/>
              <w:bottom w:val="double" w:color="auto" w:sz="6"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62"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-9.52</w:t>
            </w:r>
          </w:p>
        </w:tc>
        <w:tc>
          <w:tcPr>
            <w:tcW w:w="1056" w:type="dxa"/>
            <w:tcBorders>
              <w:top w:val="single" w:color="auto" w:sz="4" w:space="0"/>
              <w:left w:val="single" w:color="auto" w:sz="4" w:space="0"/>
              <w:bottom w:val="double" w:color="auto" w:sz="6"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62"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w:t>
            </w:r>
          </w:p>
        </w:tc>
        <w:tc>
          <w:tcPr>
            <w:tcW w:w="927" w:type="dxa"/>
            <w:tcBorders>
              <w:top w:val="single" w:color="auto" w:sz="4" w:space="0"/>
              <w:left w:val="single" w:color="auto" w:sz="4" w:space="0"/>
              <w:bottom w:val="double" w:color="auto" w:sz="6"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62"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-11.13</w:t>
            </w:r>
          </w:p>
        </w:tc>
        <w:tc>
          <w:tcPr>
            <w:tcW w:w="1079" w:type="dxa"/>
            <w:tcBorders>
              <w:top w:val="single" w:color="auto" w:sz="4" w:space="0"/>
              <w:left w:val="single" w:color="auto" w:sz="4" w:space="0"/>
              <w:bottom w:val="double" w:color="auto" w:sz="6"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62"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w:t>
            </w:r>
          </w:p>
        </w:tc>
        <w:tc>
          <w:tcPr>
            <w:tcW w:w="907" w:type="dxa"/>
            <w:tcBorders>
              <w:top w:val="single" w:color="auto" w:sz="4" w:space="0"/>
              <w:left w:val="single" w:color="auto" w:sz="4" w:space="0"/>
              <w:bottom w:val="double" w:color="auto" w:sz="6"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62"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-15.38</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93" w:beforeAutospacing="0" w:after="240" w:afterAutospacing="0" w:line="384" w:lineRule="atLeast"/>
        <w:ind w:left="0" w:right="0" w:firstLine="48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000000"/>
          <w:spacing w:val="0"/>
          <w:sz w:val="21"/>
          <w:szCs w:val="21"/>
          <w:u w:val="none"/>
          <w:bdr w:val="none" w:color="auto" w:sz="0" w:space="0"/>
          <w:shd w:val="clear" w:fill="FFFFFF"/>
        </w:rPr>
        <w:t>扬帆新材、固润科技光引发剂产品2018年1-6月（未经审计）毛利率相比2016年度和2017年度大幅提升，与申请人的趋势一致。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93" w:beforeAutospacing="0" w:after="240" w:afterAutospacing="0" w:line="384" w:lineRule="atLeast"/>
        <w:ind w:left="0" w:right="0" w:firstLine="48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000000"/>
          <w:spacing w:val="0"/>
          <w:sz w:val="21"/>
          <w:szCs w:val="21"/>
          <w:u w:val="none"/>
          <w:bdr w:val="none" w:color="auto" w:sz="0" w:space="0"/>
          <w:shd w:val="clear" w:fill="FFFFFF"/>
        </w:rPr>
        <w:t>在光引发剂原材料采购方面，申请人与扬帆新材、固润科技均主要依据生产订单确定原材料的采购品种与数量，通过市场询价与供应商评价机制确定采购对象，并根据原材料的价格波动及供应商的变化等因素适时做出调整；光引发剂产品销售方面，申请人与扬帆新材、固润科技均存在内销与外销、直销与经销相结合的销售模式，对国内外规模较大、市场影响力较强的公司采取直销的方式，对中小客户采用区域经销商的形式以扩大客户群体，并依据国内外成熟的光引发剂市场的需求变化适时进行产品定价。申请人光引发剂毛利率相对于扬帆新材、固润科技等可比公司较低，主要是因申请人产品与上述同行业公司产品结构存在较大差异导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93" w:beforeAutospacing="0" w:after="240" w:afterAutospacing="0" w:line="384" w:lineRule="atLeast"/>
        <w:ind w:left="0" w:right="0" w:firstLine="48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000000"/>
          <w:spacing w:val="0"/>
          <w:sz w:val="21"/>
          <w:szCs w:val="21"/>
          <w:u w:val="none"/>
          <w:bdr w:val="none" w:color="auto" w:sz="0" w:space="0"/>
          <w:shd w:val="clear" w:fill="FFFFFF"/>
        </w:rPr>
        <w:t>申请人光引发剂品种全、规模大，主要包括了184、1173、907、118、BP、BDK等多个品种产品；扬帆新材主要产品为907，固润科技主要产品为TPO、XBPO、FMT等，品种相对较少。申请人既生产与同行业毛利率水平相当的184、1173等主要品种，也生产毛利率较低的其他品种，各品种光引发剂产品毛利率高低不一，一定程度上降低了申请人综合毛利率水平，导致了光引发剂平均毛利率的下降；此外，申请人存在一定规模的贸易类光引发剂如BP、BDK等品种产品的销售，在增加申请人毛利的同时会进一步降低光引发剂的整体毛利率水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93" w:beforeAutospacing="0" w:after="240" w:afterAutospacing="0" w:line="384" w:lineRule="atLeast"/>
        <w:ind w:left="0" w:right="0" w:firstLine="48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000000"/>
          <w:spacing w:val="0"/>
          <w:sz w:val="21"/>
          <w:szCs w:val="21"/>
          <w:u w:val="none"/>
          <w:bdr w:val="none" w:color="auto" w:sz="0" w:space="0"/>
          <w:shd w:val="clear" w:fill="FFFFFF"/>
        </w:rPr>
        <w:t>强力新材主要产品为光刻胶树脂、光刻胶用光引发剂，因需求相对稳定，售价波动较小，其毛利率在2018年并未大幅上升。由于光刻胶专用光引发剂是通过配方将不同类型的光引发剂按照一定的比例进行混配加工而成，是对光引发剂产品的进一步深加工，因此强力新材的光刻胶用光引发剂毛利率高于公司光引发剂产品的毛利率水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93" w:beforeAutospacing="0" w:after="156" w:afterAutospacing="0" w:line="384" w:lineRule="atLeast"/>
        <w:ind w:left="0" w:right="0" w:firstLine="48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000000"/>
          <w:spacing w:val="0"/>
          <w:sz w:val="21"/>
          <w:szCs w:val="21"/>
          <w:u w:val="none"/>
          <w:bdr w:val="none" w:color="auto" w:sz="0" w:space="0"/>
          <w:shd w:val="clear" w:fill="FFFFFF"/>
        </w:rPr>
        <w:t>3、中介机构核查意见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93" w:beforeAutospacing="0" w:after="240" w:afterAutospacing="0" w:line="384" w:lineRule="atLeast"/>
        <w:ind w:left="0" w:right="0" w:firstLine="48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000000"/>
          <w:spacing w:val="0"/>
          <w:sz w:val="21"/>
          <w:szCs w:val="21"/>
          <w:u w:val="none"/>
          <w:bdr w:val="none" w:color="auto" w:sz="0" w:space="0"/>
          <w:shd w:val="clear" w:fill="FFFFFF"/>
        </w:rPr>
        <w:t>主办券商和会计师认为，申请人的毛利率波动符合申请人的战略规划、产品结构分布及市场供需变化趋势，具有合理性。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48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000000"/>
          <w:spacing w:val="0"/>
          <w:sz w:val="21"/>
          <w:szCs w:val="21"/>
          <w:u w:val="none"/>
          <w:bdr w:val="none" w:color="auto" w:sz="0" w:space="0"/>
          <w:shd w:val="clear" w:fill="FFFFFF"/>
        </w:rPr>
        <w:t>（二）关于股份支付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48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000000"/>
          <w:spacing w:val="0"/>
          <w:sz w:val="21"/>
          <w:szCs w:val="21"/>
          <w:u w:val="none"/>
          <w:bdr w:val="none" w:color="auto" w:sz="0" w:space="0"/>
          <w:shd w:val="clear" w:fill="FFFFFF"/>
        </w:rPr>
        <w:t>审核中关注到，本次发行对象为申请人股权激励对象，发行定价为12元，以申请人第三届董事会第九次会议召开日前的90个交易日加权平均价格为基础确定，要求申请人补充披露本次发行是否有对应的股权激励计划，是否构成股份支付。如构成股份支付，请披露股份支付公允价值的确定依据并说明对申请人净利润的影响。请主办券商及会计师核查并发表明确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48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000000"/>
          <w:spacing w:val="0"/>
          <w:sz w:val="21"/>
          <w:szCs w:val="21"/>
          <w:u w:val="none"/>
          <w:bdr w:val="none" w:color="auto" w:sz="0" w:space="0"/>
          <w:shd w:val="clear" w:fill="FFFFFF"/>
        </w:rPr>
        <w:t>申请人回复如下：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156" w:afterAutospacing="0" w:line="384" w:lineRule="atLeast"/>
        <w:ind w:left="0" w:right="0" w:firstLine="482"/>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000000"/>
          <w:spacing w:val="0"/>
          <w:sz w:val="21"/>
          <w:szCs w:val="21"/>
          <w:u w:val="none"/>
          <w:bdr w:val="none" w:color="auto" w:sz="0" w:space="0"/>
          <w:shd w:val="clear" w:fill="FFFFFF"/>
        </w:rPr>
        <w:t>1、本次发行是否有对应的股权激励计划，是否构成股份支付的说明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93" w:beforeAutospacing="0" w:after="240" w:afterAutospacing="0" w:line="384" w:lineRule="atLeast"/>
        <w:ind w:left="0" w:right="0" w:firstLine="48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000000"/>
          <w:spacing w:val="0"/>
          <w:sz w:val="21"/>
          <w:szCs w:val="21"/>
          <w:u w:val="none"/>
          <w:bdr w:val="none" w:color="auto" w:sz="0" w:space="0"/>
          <w:shd w:val="clear" w:fill="FFFFFF"/>
        </w:rPr>
        <w:t>2018年6月29日，申请人公告的《天津久日新材料股份有限公司股票发行方案》确认了本次股票发行的发行目的是为吸引和留住优秀人才，充分调动员工的积极性，增强核心团队的凝聚力，共同关注公司长远发展，保持生产经营的稳定性，确保申请人未来发展战略及经营目标得以加速实现，发行对象为申请人部分董事、监事、高级管理人员、核心员工及在册股东（持有公司股份的员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93" w:beforeAutospacing="0" w:after="240" w:afterAutospacing="0" w:line="384" w:lineRule="atLeast"/>
        <w:ind w:left="0" w:right="0" w:firstLine="48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000000"/>
          <w:spacing w:val="0"/>
          <w:sz w:val="21"/>
          <w:szCs w:val="21"/>
          <w:u w:val="none"/>
          <w:bdr w:val="none" w:color="auto" w:sz="0" w:space="0"/>
          <w:shd w:val="clear" w:fill="FFFFFF"/>
        </w:rPr>
        <w:t>发行价格为人民币12.00元/股，是以申请人第三届董事会第九次会议召开日前的90个交易日加权平均价为基础，并综合考虑了股票市场活跃程度以及股价的波动情况最终确定。申请人股票在第三届董事会第九次会议召开日（2019年6月27日）前90个交易日累计成交数量198.03万股、金额2,944.24万元，股票成交加权平均价格为14.87元/股。折价比例为：发行价格/股票成交加权平均价格=80.70%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93" w:beforeAutospacing="0" w:after="240" w:afterAutospacing="0" w:line="384" w:lineRule="atLeast"/>
        <w:ind w:left="0" w:right="0" w:firstLine="48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000000"/>
          <w:spacing w:val="0"/>
          <w:sz w:val="21"/>
          <w:szCs w:val="21"/>
          <w:u w:val="none"/>
          <w:bdr w:val="none" w:color="auto" w:sz="0" w:space="0"/>
          <w:shd w:val="clear" w:fill="FFFFFF"/>
        </w:rPr>
        <w:t>综上，本次股票发行，除实际控制人赵国锋以外，其他人员是申请人以为获取职工服务为目的、与职工之间发生的以股份作为对价的交易，故构成以权益结算的股份支付。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93" w:beforeAutospacing="0" w:after="240" w:afterAutospacing="0" w:line="384" w:lineRule="atLeast"/>
        <w:ind w:left="0" w:right="0" w:firstLine="48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000000"/>
          <w:spacing w:val="0"/>
          <w:sz w:val="21"/>
          <w:szCs w:val="21"/>
          <w:u w:val="none"/>
          <w:bdr w:val="none" w:color="auto" w:sz="0" w:space="0"/>
          <w:shd w:val="clear" w:fill="FFFFFF"/>
        </w:rPr>
        <w:t>2、股份支付公允价值的确定依据以及对申请人净利润的影响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93" w:beforeAutospacing="0" w:after="240" w:afterAutospacing="0" w:line="384" w:lineRule="atLeast"/>
        <w:ind w:left="0" w:right="0" w:firstLine="48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000000"/>
          <w:spacing w:val="0"/>
          <w:sz w:val="21"/>
          <w:szCs w:val="21"/>
          <w:u w:val="none"/>
          <w:bdr w:val="none" w:color="auto" w:sz="0" w:space="0"/>
          <w:shd w:val="clear" w:fill="FFFFFF"/>
        </w:rPr>
        <w:t>2018年6月27日，申请人与发行对象签订了《股份认购及增资协议》。2018年7月15日，申请人2018年第二次临时股东大会，审议通过《关于公司股票发行方案的议案》《关于签署&lt;天津久日新材料股份有限公司股份认购及增资协议&gt;的议案》等与本次股票发行的相关议案，《股份认购及增资协议》获得申请人股东大会批准，故股份支付授予日为上述股东大会决议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93" w:beforeAutospacing="0" w:after="240" w:afterAutospacing="0" w:line="384" w:lineRule="atLeast"/>
        <w:ind w:left="0" w:right="0" w:firstLine="48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000000"/>
          <w:spacing w:val="0"/>
          <w:sz w:val="21"/>
          <w:szCs w:val="21"/>
          <w:u w:val="none"/>
          <w:bdr w:val="none" w:color="auto" w:sz="0" w:space="0"/>
          <w:shd w:val="clear" w:fill="FFFFFF"/>
        </w:rPr>
        <w:t>申请人以授予日前多个交易日收盘价加权平均价作为权益工具的公允价值。经统计，股东大会决议日前90、120个交易日的交易额、交易量及平均价格情况如下：</w:t>
      </w:r>
    </w:p>
    <w:tbl>
      <w:tblPr>
        <w:tblW w:w="827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2066"/>
        <w:gridCol w:w="2072"/>
        <w:gridCol w:w="2071"/>
        <w:gridCol w:w="20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7" w:hRule="atLeast"/>
        </w:trPr>
        <w:tc>
          <w:tcPr>
            <w:tcW w:w="2066" w:type="dxa"/>
            <w:tcBorders>
              <w:top w:val="double" w:color="auto" w:sz="6" w:space="0"/>
              <w:bottom w:val="single" w:color="auto" w:sz="4" w:space="0"/>
              <w:right w:val="single" w:color="auto" w:sz="4" w:space="0"/>
            </w:tcBorders>
            <w:shd w:val="clear" w:color="auto" w:fill="D9D9D9"/>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62"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交易日</w:t>
            </w:r>
          </w:p>
        </w:tc>
        <w:tc>
          <w:tcPr>
            <w:tcW w:w="2072" w:type="dxa"/>
            <w:tcBorders>
              <w:top w:val="double" w:color="auto" w:sz="6" w:space="0"/>
              <w:left w:val="single" w:color="auto" w:sz="4" w:space="0"/>
              <w:bottom w:val="single" w:color="auto" w:sz="4" w:space="0"/>
              <w:right w:val="single" w:color="auto" w:sz="4" w:space="0"/>
            </w:tcBorders>
            <w:shd w:val="clear" w:color="auto" w:fill="D9D9D9"/>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62"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交易额（元）</w:t>
            </w:r>
          </w:p>
        </w:tc>
        <w:tc>
          <w:tcPr>
            <w:tcW w:w="2071" w:type="dxa"/>
            <w:tcBorders>
              <w:top w:val="double" w:color="auto" w:sz="6" w:space="0"/>
              <w:left w:val="single" w:color="auto" w:sz="4" w:space="0"/>
              <w:bottom w:val="single" w:color="auto" w:sz="4" w:space="0"/>
              <w:right w:val="single" w:color="auto" w:sz="4" w:space="0"/>
            </w:tcBorders>
            <w:shd w:val="clear" w:color="auto" w:fill="D9D9D9"/>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62"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交易量（股）</w:t>
            </w:r>
          </w:p>
        </w:tc>
        <w:tc>
          <w:tcPr>
            <w:tcW w:w="2067" w:type="dxa"/>
            <w:tcBorders>
              <w:top w:val="double" w:color="auto" w:sz="6" w:space="0"/>
              <w:left w:val="single" w:color="auto" w:sz="4" w:space="0"/>
              <w:bottom w:val="single" w:color="auto" w:sz="4" w:space="0"/>
            </w:tcBorders>
            <w:shd w:val="clear" w:color="auto" w:fill="D9D9D9"/>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62"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平均价格（元/股）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7" w:hRule="atLeast"/>
        </w:trPr>
        <w:tc>
          <w:tcPr>
            <w:tcW w:w="2066" w:type="dxa"/>
            <w:tcBorders>
              <w:top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62"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前1日</w:t>
            </w:r>
          </w:p>
        </w:tc>
        <w:tc>
          <w:tcPr>
            <w:tcW w:w="2072"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62"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391,200.00</w:t>
            </w:r>
          </w:p>
        </w:tc>
        <w:tc>
          <w:tcPr>
            <w:tcW w:w="2071"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62"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24,000.00</w:t>
            </w:r>
          </w:p>
        </w:tc>
        <w:tc>
          <w:tcPr>
            <w:tcW w:w="2067" w:type="dxa"/>
            <w:tcBorders>
              <w:top w:val="single" w:color="auto" w:sz="4" w:space="0"/>
              <w:left w:val="single" w:color="auto" w:sz="4" w:space="0"/>
              <w:bottom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62"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16.30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7" w:hRule="atLeast"/>
        </w:trPr>
        <w:tc>
          <w:tcPr>
            <w:tcW w:w="2066" w:type="dxa"/>
            <w:tcBorders>
              <w:top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62"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前90日</w:t>
            </w:r>
          </w:p>
        </w:tc>
        <w:tc>
          <w:tcPr>
            <w:tcW w:w="2072"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62"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31,625,433.00</w:t>
            </w:r>
          </w:p>
        </w:tc>
        <w:tc>
          <w:tcPr>
            <w:tcW w:w="2071"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62"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2,102,300.00</w:t>
            </w:r>
          </w:p>
        </w:tc>
        <w:tc>
          <w:tcPr>
            <w:tcW w:w="2067" w:type="dxa"/>
            <w:tcBorders>
              <w:top w:val="single" w:color="auto" w:sz="4" w:space="0"/>
              <w:left w:val="single" w:color="auto" w:sz="4" w:space="0"/>
              <w:bottom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62"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15.04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trPr>
        <w:tc>
          <w:tcPr>
            <w:tcW w:w="2066" w:type="dxa"/>
            <w:tcBorders>
              <w:top w:val="single" w:color="auto" w:sz="4" w:space="0"/>
              <w:bottom w:val="double" w:color="auto" w:sz="6"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62"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前120日</w:t>
            </w:r>
          </w:p>
        </w:tc>
        <w:tc>
          <w:tcPr>
            <w:tcW w:w="2072" w:type="dxa"/>
            <w:tcBorders>
              <w:top w:val="single" w:color="auto" w:sz="4" w:space="0"/>
              <w:left w:val="single" w:color="auto" w:sz="4" w:space="0"/>
              <w:bottom w:val="double" w:color="auto" w:sz="6"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62"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35,042,493.00</w:t>
            </w:r>
          </w:p>
        </w:tc>
        <w:tc>
          <w:tcPr>
            <w:tcW w:w="2071" w:type="dxa"/>
            <w:tcBorders>
              <w:top w:val="single" w:color="auto" w:sz="4" w:space="0"/>
              <w:left w:val="single" w:color="auto" w:sz="4" w:space="0"/>
              <w:bottom w:val="double" w:color="auto" w:sz="6"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62"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2,353,300.00</w:t>
            </w:r>
          </w:p>
        </w:tc>
        <w:tc>
          <w:tcPr>
            <w:tcW w:w="2067" w:type="dxa"/>
            <w:tcBorders>
              <w:top w:val="single" w:color="auto" w:sz="4" w:space="0"/>
              <w:left w:val="single" w:color="auto" w:sz="4" w:space="0"/>
              <w:bottom w:val="double" w:color="auto" w:sz="6"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62"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14.89</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2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注：股东大会日当日为非交易日，数据来源wind</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93" w:beforeAutospacing="0" w:after="240" w:afterAutospacing="0" w:line="384" w:lineRule="atLeast"/>
        <w:ind w:left="0" w:right="0" w:firstLine="48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000000"/>
          <w:spacing w:val="0"/>
          <w:sz w:val="21"/>
          <w:szCs w:val="21"/>
          <w:u w:val="none"/>
          <w:bdr w:val="none" w:color="auto" w:sz="0" w:space="0"/>
          <w:shd w:val="clear" w:fill="FFFFFF"/>
        </w:rPr>
        <w:t>考虑到2018年7月13日的成交金额较小，前120日交易日的时间跨度较长，最终申请人确定以前90个交易日的平均价格15.04元/股，作为授予日权益工具的公允价值。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93" w:beforeAutospacing="0" w:after="240" w:afterAutospacing="0" w:line="384" w:lineRule="atLeast"/>
        <w:ind w:left="0" w:right="0" w:firstLine="48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000000"/>
          <w:spacing w:val="0"/>
          <w:sz w:val="21"/>
          <w:szCs w:val="21"/>
          <w:u w:val="none"/>
          <w:bdr w:val="none" w:color="auto" w:sz="0" w:space="0"/>
          <w:shd w:val="clear" w:fill="FFFFFF"/>
        </w:rPr>
        <w:t>此次定增，认股对象为申请人部分董事、监事、高级管理人员、核心员工及在册股东（持有公司股份的员工），不涉及外部人员，其中实际控制人赵国锋认购245万股，其他人员认购152万股，合计397万股。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93" w:beforeAutospacing="0" w:after="240" w:afterAutospacing="0" w:line="384" w:lineRule="atLeast"/>
        <w:ind w:left="0" w:right="0" w:firstLine="48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000000"/>
          <w:spacing w:val="0"/>
          <w:sz w:val="21"/>
          <w:szCs w:val="21"/>
          <w:u w:val="none"/>
          <w:bdr w:val="none" w:color="auto" w:sz="0" w:space="0"/>
          <w:shd w:val="clear" w:fill="FFFFFF"/>
        </w:rPr>
        <w:t>本次发行前，实际控制人赵国锋为申请人股东，兼任董事长、总经理。申请人对赵国锋发行股份的目的，不是基于获取赵国锋作为员工提供的服务，而是提高实际控制人持股比例，进一步完善公司治理结构。但出于谨慎性考虑，对于赵国锋超出原持股比例部分，仍确认为股份支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93" w:beforeAutospacing="0" w:after="240" w:afterAutospacing="0" w:line="384" w:lineRule="atLeast"/>
        <w:ind w:left="0" w:right="0" w:firstLine="48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000000"/>
          <w:spacing w:val="0"/>
          <w:sz w:val="21"/>
          <w:szCs w:val="21"/>
          <w:u w:val="none"/>
          <w:bdr w:val="none" w:color="auto" w:sz="0" w:space="0"/>
          <w:shd w:val="clear" w:fill="FFFFFF"/>
        </w:rPr>
        <w:t>增发前赵国锋直接持股17,320,609股，占比21.7952%，超出原有直接持股比例的股数为2,450,000-3,970,000*21.7952%= 1,584,731股。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93" w:beforeAutospacing="0" w:after="240" w:afterAutospacing="0" w:line="384" w:lineRule="atLeast"/>
        <w:ind w:left="0" w:right="0" w:firstLine="48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000000"/>
          <w:spacing w:val="0"/>
          <w:sz w:val="21"/>
          <w:szCs w:val="21"/>
          <w:u w:val="none"/>
          <w:bdr w:val="none" w:color="auto" w:sz="0" w:space="0"/>
          <w:shd w:val="clear" w:fill="FFFFFF"/>
        </w:rPr>
        <w:t>综上，申请人本次发行涉及股份支付股数为1,584,731+1,520,000=3,104,731股。按照公允价值15.04元/股与认购价格12元/股的差额部分，相应计算股份支付费用金额为（15.04-12）*3,104,731=9,438,382.24元，拟增加当期管理费用并减少利润总额。</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93" w:beforeAutospacing="0" w:after="240" w:afterAutospacing="0" w:line="384" w:lineRule="atLeast"/>
        <w:ind w:left="0" w:right="0" w:firstLine="48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000000"/>
          <w:spacing w:val="0"/>
          <w:sz w:val="21"/>
          <w:szCs w:val="21"/>
          <w:u w:val="none"/>
          <w:bdr w:val="none" w:color="auto" w:sz="0" w:space="0"/>
          <w:shd w:val="clear" w:fill="FFFFFF"/>
        </w:rPr>
        <w:t>3、中介机构核查意见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93" w:beforeAutospacing="0" w:after="240" w:afterAutospacing="0" w:line="384" w:lineRule="atLeast"/>
        <w:ind w:left="0" w:right="0" w:firstLine="48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000000"/>
          <w:spacing w:val="0"/>
          <w:sz w:val="21"/>
          <w:szCs w:val="21"/>
          <w:u w:val="none"/>
          <w:bdr w:val="none" w:color="auto" w:sz="0" w:space="0"/>
          <w:shd w:val="clear" w:fill="FFFFFF"/>
        </w:rPr>
        <w:t>主办券商及会计师认为，申请人本次发行涉及股份支付的会计处理符合企业会计准则的相关规定。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41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（三）关于募集资金专户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41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审核中关注到，申请人未披露是否已开立本次发行募集资金账户，要求申请人补充披露是否已开立本次发行募集资金账户，如无，请按照《关于挂牌公司股票发行有关事项的规定》要求，开立本次发行的募集资金专项账户。请主办券商、律师核查并发表明确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　　申请人回复如下：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　　2018年6月27日，申请人召开第三届董事会第九次会议，审议通过了《关于设立本次股票发行募集资金专项账户的议案》。申请人已为本次股票发行设立专项账户，账户信息如下：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　　开户银行：上海浦东发展银行股份有限公司天津科技支行；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　　账户号：77230078801900000653；</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　　户名：天津久日新材料股份有限公司。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主办券商和律师认为：申请人已为本次股票发行开立募集资金专项账户，符合《关于挂牌公司股票发行有关事项的规定》的相关要求。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384"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000000"/>
          <w:spacing w:val="0"/>
          <w:sz w:val="21"/>
          <w:szCs w:val="21"/>
          <w:u w:val="none"/>
          <w:bdr w:val="none" w:color="auto" w:sz="0" w:space="0"/>
          <w:shd w:val="clear" w:fill="FFFFFF"/>
        </w:rPr>
        <w:t>（四）关于核心员工的认定程序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384"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000000"/>
          <w:spacing w:val="0"/>
          <w:sz w:val="21"/>
          <w:szCs w:val="21"/>
          <w:u w:val="none"/>
          <w:bdr w:val="none" w:color="auto" w:sz="0" w:space="0"/>
          <w:shd w:val="clear" w:fill="FFFFFF"/>
        </w:rPr>
        <w:t>审核中关注到，本次定向发行的对象为</w:t>
      </w:r>
      <w:r>
        <w:rPr>
          <w:rFonts w:hint="eastAsia" w:ascii="微软雅黑" w:hAnsi="微软雅黑" w:eastAsia="微软雅黑" w:cs="微软雅黑"/>
          <w:i w:val="0"/>
          <w:iCs w:val="0"/>
          <w:caps w:val="0"/>
          <w:color w:val="000000"/>
          <w:spacing w:val="0"/>
          <w:sz w:val="21"/>
          <w:szCs w:val="21"/>
          <w:u w:val="none"/>
          <w:bdr w:val="none" w:color="auto" w:sz="0" w:space="0"/>
          <w:shd w:val="clear" w:fill="FFFFFF"/>
        </w:rPr>
        <w:t>申请人部分董事、监事、高级管理人员、核心员工及在册股东（持有申请人股份的员工），但申请人未披露核心员工的认定情况，要求申请人按照《非上市公众公司监督管理办法》规定，披露核心员工的认定情况，包括但不限于申请人董事会提名，向全体员工公示和征求意见，监事会发表明确意见以及经股东大会审议批准等相关情况。请主办券商和律师核查并发表明确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384"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000000"/>
          <w:spacing w:val="0"/>
          <w:sz w:val="21"/>
          <w:szCs w:val="21"/>
          <w:u w:val="none"/>
          <w:bdr w:val="none" w:color="auto" w:sz="0" w:space="0"/>
          <w:shd w:val="clear" w:fill="FFFFFF"/>
        </w:rPr>
        <w:t>申请人回复如下：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384"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000000"/>
          <w:spacing w:val="0"/>
          <w:sz w:val="21"/>
          <w:szCs w:val="21"/>
          <w:u w:val="none"/>
          <w:bdr w:val="none" w:color="auto" w:sz="0" w:space="0"/>
          <w:shd w:val="clear" w:fill="FFFFFF"/>
        </w:rPr>
        <w:t>1、核心员工的认定情况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93" w:beforeAutospacing="0" w:after="240" w:afterAutospacing="0" w:line="384" w:lineRule="atLeast"/>
        <w:ind w:left="0" w:right="0" w:firstLine="48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000000"/>
          <w:spacing w:val="0"/>
          <w:sz w:val="21"/>
          <w:szCs w:val="21"/>
          <w:u w:val="none"/>
          <w:bdr w:val="none" w:color="auto" w:sz="0" w:space="0"/>
          <w:shd w:val="clear" w:fill="FFFFFF"/>
        </w:rPr>
        <w:t>根据本次发行方案，发行对象中包含核心员工17名。上述核心员工的认定已履行程序如下：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93" w:beforeAutospacing="0" w:after="240" w:afterAutospacing="0" w:line="384" w:lineRule="atLeast"/>
        <w:ind w:left="0" w:right="0" w:firstLine="48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000000"/>
          <w:spacing w:val="0"/>
          <w:sz w:val="21"/>
          <w:szCs w:val="21"/>
          <w:u w:val="none"/>
          <w:bdr w:val="none" w:color="auto" w:sz="0" w:space="0"/>
          <w:shd w:val="clear" w:fill="FFFFFF"/>
        </w:rPr>
        <w:t>（1）第一次核心员工认定情况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93" w:beforeAutospacing="0" w:after="240" w:afterAutospacing="0" w:line="384" w:lineRule="atLeast"/>
        <w:ind w:left="0" w:right="0" w:firstLine="48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000000"/>
          <w:spacing w:val="0"/>
          <w:sz w:val="21"/>
          <w:szCs w:val="21"/>
          <w:u w:val="none"/>
          <w:bdr w:val="none" w:color="auto" w:sz="0" w:space="0"/>
          <w:shd w:val="clear" w:fill="FFFFFF"/>
        </w:rPr>
        <w:t>2014年5月28日，申请人第一届董事会第十八次会议审议通过了《关于提名郝蕾等29名员工为公司核心员工的议案》，提名包括刘鹏、李欢欢、罗想、赵忠仁、唐西博在内的29名员工为核心员工（其中5人参与本次定向发行）。拟提名核心员工名单已于申请人公示栏进行公示，《关于提名郝蕾等29名员工为公司核心员工的议案》后分别经申请人第一届监事会第七次会议及2014年第二次临时股东大会审议通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93" w:beforeAutospacing="0" w:after="240" w:afterAutospacing="0" w:line="384" w:lineRule="atLeast"/>
        <w:ind w:left="0" w:right="0" w:firstLine="48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000000"/>
          <w:spacing w:val="0"/>
          <w:sz w:val="21"/>
          <w:szCs w:val="21"/>
          <w:u w:val="none"/>
          <w:bdr w:val="none" w:color="auto" w:sz="0" w:space="0"/>
          <w:shd w:val="clear" w:fill="FFFFFF"/>
        </w:rPr>
        <w:t>（2）第二次核心员工认定情况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93" w:beforeAutospacing="0" w:after="240" w:afterAutospacing="0" w:line="384" w:lineRule="atLeast"/>
        <w:ind w:left="0" w:right="0" w:firstLine="48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000000"/>
          <w:spacing w:val="0"/>
          <w:sz w:val="21"/>
          <w:szCs w:val="21"/>
          <w:u w:val="none"/>
          <w:bdr w:val="none" w:color="auto" w:sz="0" w:space="0"/>
          <w:shd w:val="clear" w:fill="FFFFFF"/>
        </w:rPr>
        <w:t>2018年6月27日，申请人第三届董事会第九次会议审议通过了《关于提名公司核心员工的议案》，董事会提名刘代红、周海兵、孙建忠、乔翔、陶生荣、王家元、连守春、何昶、张东湖、刘建敏、刘洪、赵志勇等12名员工为核心员工。拟提名核心员工名单已于申请人公示栏进行公示，《关于提名公司核心员工的议案》后分别经申请人第三届监事会第四次会议及2018年第二次临时股东大会审议通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93" w:beforeAutospacing="0" w:after="240" w:afterAutospacing="0" w:line="384" w:lineRule="atLeast"/>
        <w:ind w:left="0" w:right="0" w:firstLine="48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000000"/>
          <w:spacing w:val="0"/>
          <w:sz w:val="21"/>
          <w:szCs w:val="21"/>
          <w:u w:val="none"/>
          <w:bdr w:val="none" w:color="auto" w:sz="0" w:space="0"/>
          <w:shd w:val="clear" w:fill="FFFFFF"/>
        </w:rPr>
        <w:t>2、中介机构意见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93" w:beforeAutospacing="0" w:after="240" w:afterAutospacing="0" w:line="384" w:lineRule="atLeast"/>
        <w:ind w:left="0" w:right="0" w:firstLine="48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000000"/>
          <w:spacing w:val="0"/>
          <w:sz w:val="21"/>
          <w:szCs w:val="21"/>
          <w:u w:val="none"/>
          <w:bdr w:val="none" w:color="auto" w:sz="0" w:space="0"/>
          <w:shd w:val="clear" w:fill="FFFFFF"/>
        </w:rPr>
        <w:t>主办券商和律师认为：本次发行的认购对象中，属于申请人核心员工的认购对象的认定已履行《公众公司办法》规定的法定程序，认定核心员工事宜合法、有效。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384"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000000"/>
          <w:spacing w:val="0"/>
          <w:sz w:val="21"/>
          <w:szCs w:val="21"/>
          <w:u w:val="none"/>
          <w:bdr w:val="none" w:color="auto" w:sz="0" w:space="0"/>
          <w:shd w:val="clear" w:fill="FFFFFF"/>
        </w:rPr>
        <w:t>（五）关于中介机构发表意见事项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384"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000000"/>
          <w:spacing w:val="0"/>
          <w:sz w:val="21"/>
          <w:szCs w:val="21"/>
          <w:u w:val="none"/>
          <w:bdr w:val="none" w:color="auto" w:sz="0" w:space="0"/>
          <w:shd w:val="clear" w:fill="FFFFFF"/>
        </w:rPr>
        <w:t>审核中关注到，申请人未披露报告期内股权质押情况，律师也未对申请人报告期内资金占用、违规担保以及股权质押等情况发表意见，要求申请人补充披露报告期内的股权质押情况，主办券商与律师进行核查并发表明确意见；请律师对申请人报告期内资金占用、违规担保情况进行核查并发表明确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384"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000000"/>
          <w:spacing w:val="0"/>
          <w:sz w:val="21"/>
          <w:szCs w:val="21"/>
          <w:u w:val="none"/>
          <w:bdr w:val="none" w:color="auto" w:sz="0" w:space="0"/>
          <w:shd w:val="clear" w:fill="FFFFFF"/>
        </w:rPr>
        <w:t>申请人回复如下：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156" w:afterAutospacing="0" w:line="384" w:lineRule="atLeast"/>
        <w:ind w:left="0" w:right="0" w:firstLine="482"/>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000000"/>
          <w:spacing w:val="0"/>
          <w:sz w:val="21"/>
          <w:szCs w:val="21"/>
          <w:u w:val="none"/>
          <w:bdr w:val="none" w:color="auto" w:sz="0" w:space="0"/>
          <w:shd w:val="clear" w:fill="FFFFFF"/>
        </w:rPr>
        <w:t>1、股权质押情况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93" w:beforeAutospacing="0" w:after="240" w:afterAutospacing="0" w:line="384" w:lineRule="atLeast"/>
        <w:ind w:left="0" w:right="0" w:firstLine="48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000000"/>
          <w:spacing w:val="0"/>
          <w:sz w:val="21"/>
          <w:szCs w:val="21"/>
          <w:u w:val="none"/>
          <w:bdr w:val="none" w:color="auto" w:sz="0" w:space="0"/>
          <w:shd w:val="clear" w:fill="FFFFFF"/>
        </w:rPr>
        <w:t>根据申请人报告期内的年度报告、全国股转系统的公告信息以及中国证券登记结算有限责任公司北京分公司出具的《证券质押及司法冻结明细表》报告期内，申请人股东股份质押情况如下：</w:t>
      </w:r>
    </w:p>
    <w:tbl>
      <w:tblPr>
        <w:tblW w:w="85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2171"/>
        <w:gridCol w:w="2628"/>
        <w:gridCol w:w="1455"/>
        <w:gridCol w:w="1020"/>
        <w:gridCol w:w="12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2171" w:type="dxa"/>
            <w:tcBorders>
              <w:top w:val="double" w:color="auto" w:sz="6" w:space="0"/>
              <w:bottom w:val="single" w:color="auto" w:sz="4" w:space="0"/>
              <w:right w:val="single" w:color="auto" w:sz="4" w:space="0"/>
            </w:tcBorders>
            <w:shd w:val="clear" w:color="auto" w:fill="D9D9D9"/>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62"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出质方</w:t>
            </w:r>
          </w:p>
        </w:tc>
        <w:tc>
          <w:tcPr>
            <w:tcW w:w="2628" w:type="dxa"/>
            <w:tcBorders>
              <w:top w:val="double" w:color="auto" w:sz="6" w:space="0"/>
              <w:left w:val="single" w:color="auto" w:sz="4" w:space="0"/>
              <w:bottom w:val="single" w:color="auto" w:sz="4" w:space="0"/>
              <w:right w:val="single" w:color="auto" w:sz="4" w:space="0"/>
            </w:tcBorders>
            <w:shd w:val="clear" w:color="auto" w:fill="D9D9D9"/>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62"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质权人</w:t>
            </w:r>
          </w:p>
        </w:tc>
        <w:tc>
          <w:tcPr>
            <w:tcW w:w="1455" w:type="dxa"/>
            <w:tcBorders>
              <w:top w:val="double" w:color="auto" w:sz="6" w:space="0"/>
              <w:left w:val="single" w:color="auto" w:sz="4" w:space="0"/>
              <w:bottom w:val="single" w:color="auto" w:sz="4" w:space="0"/>
              <w:right w:val="single" w:color="auto" w:sz="4" w:space="0"/>
            </w:tcBorders>
            <w:shd w:val="clear" w:color="auto" w:fill="D9D9D9"/>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62"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质押股份数额（股）</w:t>
            </w:r>
          </w:p>
        </w:tc>
        <w:tc>
          <w:tcPr>
            <w:tcW w:w="1020" w:type="dxa"/>
            <w:tcBorders>
              <w:top w:val="double" w:color="auto" w:sz="6" w:space="0"/>
              <w:left w:val="single" w:color="auto" w:sz="4" w:space="0"/>
              <w:bottom w:val="single" w:color="auto" w:sz="4" w:space="0"/>
              <w:right w:val="single" w:color="auto" w:sz="4" w:space="0"/>
            </w:tcBorders>
            <w:shd w:val="clear" w:color="auto" w:fill="D9D9D9"/>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62"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股份质押时间</w:t>
            </w:r>
          </w:p>
        </w:tc>
        <w:tc>
          <w:tcPr>
            <w:tcW w:w="1248" w:type="dxa"/>
            <w:tcBorders>
              <w:top w:val="double" w:color="auto" w:sz="6" w:space="0"/>
              <w:left w:val="single" w:color="auto" w:sz="4" w:space="0"/>
              <w:bottom w:val="single" w:color="auto" w:sz="4" w:space="0"/>
            </w:tcBorders>
            <w:shd w:val="clear" w:color="auto" w:fill="D9D9D9"/>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62"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股份质押解除时间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2171" w:type="dxa"/>
            <w:tcBorders>
              <w:top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62"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王立新</w:t>
            </w:r>
          </w:p>
        </w:tc>
        <w:tc>
          <w:tcPr>
            <w:tcW w:w="2628"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62"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张润梅</w:t>
            </w:r>
          </w:p>
        </w:tc>
        <w:tc>
          <w:tcPr>
            <w:tcW w:w="1455"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62"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1,540,000</w:t>
            </w:r>
          </w:p>
        </w:tc>
        <w:tc>
          <w:tcPr>
            <w:tcW w:w="1020"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62"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2014.6</w:t>
            </w:r>
          </w:p>
        </w:tc>
        <w:tc>
          <w:tcPr>
            <w:tcW w:w="1248" w:type="dxa"/>
            <w:tcBorders>
              <w:top w:val="single" w:color="auto" w:sz="4" w:space="0"/>
              <w:left w:val="single" w:color="auto" w:sz="4" w:space="0"/>
              <w:bottom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62"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2016.4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2171" w:type="dxa"/>
            <w:tcBorders>
              <w:top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62"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赵国锋</w:t>
            </w:r>
          </w:p>
        </w:tc>
        <w:tc>
          <w:tcPr>
            <w:tcW w:w="2628"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62"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贺明远</w:t>
            </w:r>
          </w:p>
        </w:tc>
        <w:tc>
          <w:tcPr>
            <w:tcW w:w="1455"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62"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3,500,000</w:t>
            </w:r>
          </w:p>
        </w:tc>
        <w:tc>
          <w:tcPr>
            <w:tcW w:w="1020"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62"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2015.11</w:t>
            </w:r>
          </w:p>
        </w:tc>
        <w:tc>
          <w:tcPr>
            <w:tcW w:w="1248" w:type="dxa"/>
            <w:tcBorders>
              <w:top w:val="single" w:color="auto" w:sz="4" w:space="0"/>
              <w:left w:val="single" w:color="auto" w:sz="4" w:space="0"/>
              <w:bottom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62"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2016.5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2171" w:type="dxa"/>
            <w:tcBorders>
              <w:top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62"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赵国锋</w:t>
            </w:r>
          </w:p>
        </w:tc>
        <w:tc>
          <w:tcPr>
            <w:tcW w:w="2628"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62"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交通银行股份有限公司天津市分行</w:t>
            </w:r>
          </w:p>
        </w:tc>
        <w:tc>
          <w:tcPr>
            <w:tcW w:w="1455"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62"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1,500,000</w:t>
            </w:r>
          </w:p>
        </w:tc>
        <w:tc>
          <w:tcPr>
            <w:tcW w:w="1020"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62"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2015.12</w:t>
            </w:r>
          </w:p>
        </w:tc>
        <w:tc>
          <w:tcPr>
            <w:tcW w:w="1248" w:type="dxa"/>
            <w:tcBorders>
              <w:top w:val="single" w:color="auto" w:sz="4" w:space="0"/>
              <w:left w:val="single" w:color="auto" w:sz="4" w:space="0"/>
              <w:bottom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62"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2017.1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2171" w:type="dxa"/>
            <w:tcBorders>
              <w:top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62"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赵国锋</w:t>
            </w:r>
          </w:p>
        </w:tc>
        <w:tc>
          <w:tcPr>
            <w:tcW w:w="2628"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62"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交通银行股份有限公司天津市分行</w:t>
            </w:r>
          </w:p>
        </w:tc>
        <w:tc>
          <w:tcPr>
            <w:tcW w:w="1455"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62"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1,500,000</w:t>
            </w:r>
          </w:p>
        </w:tc>
        <w:tc>
          <w:tcPr>
            <w:tcW w:w="1020"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62"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2016.6</w:t>
            </w:r>
          </w:p>
        </w:tc>
        <w:tc>
          <w:tcPr>
            <w:tcW w:w="1248" w:type="dxa"/>
            <w:tcBorders>
              <w:top w:val="single" w:color="auto" w:sz="4" w:space="0"/>
              <w:left w:val="single" w:color="auto" w:sz="4" w:space="0"/>
              <w:bottom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62"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2017.6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2171" w:type="dxa"/>
            <w:tcBorders>
              <w:top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62"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赵国锋</w:t>
            </w:r>
          </w:p>
        </w:tc>
        <w:tc>
          <w:tcPr>
            <w:tcW w:w="2628"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62"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贺明远</w:t>
            </w:r>
          </w:p>
        </w:tc>
        <w:tc>
          <w:tcPr>
            <w:tcW w:w="1455"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62"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2,500,000</w:t>
            </w:r>
          </w:p>
        </w:tc>
        <w:tc>
          <w:tcPr>
            <w:tcW w:w="1020"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62"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2016.9</w:t>
            </w:r>
          </w:p>
        </w:tc>
        <w:tc>
          <w:tcPr>
            <w:tcW w:w="1248" w:type="dxa"/>
            <w:tcBorders>
              <w:top w:val="single" w:color="auto" w:sz="4" w:space="0"/>
              <w:left w:val="single" w:color="auto" w:sz="4" w:space="0"/>
              <w:bottom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62"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2017.2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171" w:type="dxa"/>
            <w:tcBorders>
              <w:top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62"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北京汇森东方投资管理中心（有限合伙）</w:t>
            </w:r>
          </w:p>
        </w:tc>
        <w:tc>
          <w:tcPr>
            <w:tcW w:w="2628"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62"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太平洋证券股份有限公司</w:t>
            </w:r>
          </w:p>
        </w:tc>
        <w:tc>
          <w:tcPr>
            <w:tcW w:w="1455"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62"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500,000</w:t>
            </w:r>
          </w:p>
        </w:tc>
        <w:tc>
          <w:tcPr>
            <w:tcW w:w="1020"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62"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2015.3</w:t>
            </w:r>
          </w:p>
        </w:tc>
        <w:tc>
          <w:tcPr>
            <w:tcW w:w="1248" w:type="dxa"/>
            <w:tcBorders>
              <w:top w:val="single" w:color="auto" w:sz="4" w:space="0"/>
              <w:left w:val="single" w:color="auto" w:sz="4" w:space="0"/>
              <w:bottom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62"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2016.8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2171" w:type="dxa"/>
            <w:tcBorders>
              <w:top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62"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北京汇森东方投资管理中心（有限合伙）</w:t>
            </w:r>
          </w:p>
        </w:tc>
        <w:tc>
          <w:tcPr>
            <w:tcW w:w="2628"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62"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太平洋证券股份有限公司</w:t>
            </w:r>
          </w:p>
        </w:tc>
        <w:tc>
          <w:tcPr>
            <w:tcW w:w="1455"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62"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500,000</w:t>
            </w:r>
          </w:p>
        </w:tc>
        <w:tc>
          <w:tcPr>
            <w:tcW w:w="1020"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62"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2016.9</w:t>
            </w:r>
          </w:p>
        </w:tc>
        <w:tc>
          <w:tcPr>
            <w:tcW w:w="1248" w:type="dxa"/>
            <w:tcBorders>
              <w:top w:val="single" w:color="auto" w:sz="4" w:space="0"/>
              <w:left w:val="single" w:color="auto" w:sz="4" w:space="0"/>
              <w:bottom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62"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2017.1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2171" w:type="dxa"/>
            <w:tcBorders>
              <w:top w:val="single" w:color="auto" w:sz="4" w:space="0"/>
              <w:bottom w:val="double" w:color="auto" w:sz="6"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62"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北京汇森东方投资管理中心（有限合伙）</w:t>
            </w:r>
          </w:p>
        </w:tc>
        <w:tc>
          <w:tcPr>
            <w:tcW w:w="2628" w:type="dxa"/>
            <w:tcBorders>
              <w:top w:val="single" w:color="auto" w:sz="4" w:space="0"/>
              <w:left w:val="single" w:color="auto" w:sz="4" w:space="0"/>
              <w:bottom w:val="double" w:color="auto" w:sz="6"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62"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太平洋证券股份有限公司</w:t>
            </w:r>
          </w:p>
        </w:tc>
        <w:tc>
          <w:tcPr>
            <w:tcW w:w="1455" w:type="dxa"/>
            <w:tcBorders>
              <w:top w:val="single" w:color="auto" w:sz="4" w:space="0"/>
              <w:left w:val="single" w:color="auto" w:sz="4" w:space="0"/>
              <w:bottom w:val="double" w:color="auto" w:sz="6"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62"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186,000</w:t>
            </w:r>
          </w:p>
        </w:tc>
        <w:tc>
          <w:tcPr>
            <w:tcW w:w="1020" w:type="dxa"/>
            <w:tcBorders>
              <w:top w:val="single" w:color="auto" w:sz="4" w:space="0"/>
              <w:left w:val="single" w:color="auto" w:sz="4" w:space="0"/>
              <w:bottom w:val="double" w:color="auto" w:sz="6"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62"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2016.10</w:t>
            </w:r>
          </w:p>
        </w:tc>
        <w:tc>
          <w:tcPr>
            <w:tcW w:w="1248" w:type="dxa"/>
            <w:tcBorders>
              <w:top w:val="single" w:color="auto" w:sz="4" w:space="0"/>
              <w:left w:val="single" w:color="auto" w:sz="4" w:space="0"/>
              <w:bottom w:val="double" w:color="auto" w:sz="6"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62"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2016.12</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93" w:beforeAutospacing="0" w:after="240" w:afterAutospacing="0" w:line="384" w:lineRule="atLeast"/>
        <w:ind w:left="0" w:right="0" w:firstLine="48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000000"/>
          <w:spacing w:val="0"/>
          <w:sz w:val="21"/>
          <w:szCs w:val="21"/>
          <w:u w:val="none"/>
          <w:bdr w:val="none" w:color="auto" w:sz="0" w:space="0"/>
          <w:shd w:val="clear" w:fill="FFFFFF"/>
        </w:rPr>
        <w:t>根据中国证券登记结算有限责任公司北京分公司出具的《证券持有人名册》《证券质押及司法冻结明细表》，截至2019年1月18日，申请人各股东持有的发行人股份不存在股份质押的情形。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93" w:beforeAutospacing="0" w:after="240" w:afterAutospacing="0" w:line="384" w:lineRule="atLeast"/>
        <w:ind w:left="0" w:right="0" w:firstLine="48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000000"/>
          <w:spacing w:val="0"/>
          <w:sz w:val="21"/>
          <w:szCs w:val="21"/>
          <w:u w:val="none"/>
          <w:bdr w:val="none" w:color="auto" w:sz="0" w:space="0"/>
          <w:shd w:val="clear" w:fill="FFFFFF"/>
        </w:rPr>
        <w:t>主办券商和律师认为，报告期内，申请人控股股东、实际控制人、董监高人员及其他持股5%以上股东的股份质押均已在中国证券登记结算有限责任公司北京分公司办理了股份质押登记并按照法律、法规的相关规定履行了必要的信息披露义务；截至2019年1月18日，申请人各股东持有的发行人股份不存在股份质押的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93" w:beforeAutospacing="0" w:after="240" w:afterAutospacing="0" w:line="384" w:lineRule="atLeast"/>
        <w:ind w:left="0" w:right="0" w:firstLine="48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000000"/>
          <w:spacing w:val="0"/>
          <w:sz w:val="21"/>
          <w:szCs w:val="21"/>
          <w:u w:val="none"/>
          <w:bdr w:val="none" w:color="auto" w:sz="0" w:space="0"/>
          <w:shd w:val="clear" w:fill="FFFFFF"/>
        </w:rPr>
        <w:t>2、资金占用与违规担保的情况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93" w:beforeAutospacing="0" w:after="240" w:afterAutospacing="0" w:line="384" w:lineRule="atLeast"/>
        <w:ind w:left="0" w:right="0" w:firstLine="48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000000"/>
          <w:spacing w:val="0"/>
          <w:sz w:val="21"/>
          <w:szCs w:val="21"/>
          <w:u w:val="none"/>
          <w:bdr w:val="none" w:color="auto" w:sz="0" w:space="0"/>
          <w:shd w:val="clear" w:fill="FFFFFF"/>
        </w:rPr>
        <w:t>律师经核查认为，报告期内，申请人存在资金占用的情况，截至2016年12月20日，被占用资金已全部偿还完毕；报告期内，申请人为全资子公司的融资提供担保，上述担保事项已经申请人股东大会审议通过，履行了必要的决策程序，不存在违规担保的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　　三、合规性审核意见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0"/>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　　根据申请人提交的申请文件及对反馈意见的回复，我会认为，申请人信息披露基本符合《公司法》《证券法》《公众公司办法》、《非上市公众公司信息披露内容与格式准则第3号——定向发行说明书和发行情况报告书》《非上市公众公司信息披露内容与格式准则第4号——定向发行申请文件》等法律法规的规定，相关中介机构已就本次申请的</w:t>
      </w: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相关问题依法发</w:t>
      </w: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表了明确的意见。据此，我会同意天津久日新材料股份有限公司向特定对象发行股票的申请。</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5ZWIxOTE2OTBjZTc4MDVmMzIxNzFkNTM4MjUzYTQifQ=="/>
  </w:docVars>
  <w:rsids>
    <w:rsidRoot w:val="3A31186B"/>
    <w:rsid w:val="3A3118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2022-09-02T08:52:00Z</dcterms:created>
  <dc:creator>程晋</dc:creator>
  <cp:lastModifiedBy>程晋</cp:lastModifiedBy>
  <dcterms:modified xsi:type="dcterms:W3CDTF">2022-09-02T08:53:26Z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7CCCB9B9031F4DD8B1C3911BA05D462C</vt:lpwstr>
  </property>
</Properties>
</file>