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napToGrid w:val="0"/>
        <w:spacing w:line="560" w:lineRule="exact"/>
        <w:jc w:val="center"/>
        <w:textAlignment w:val="baseline"/>
        <w:rPr>
          <w:rFonts w:hint="eastAsia" w:ascii="方正大标宋简体" w:hAnsi="宋体" w:eastAsia="方正大标宋简体"/>
          <w:b/>
          <w:kern w:val="0"/>
          <w:sz w:val="42"/>
          <w:szCs w:val="42"/>
        </w:rPr>
      </w:pPr>
      <w:bookmarkStart w:id="0" w:name="_GoBack"/>
      <w:bookmarkEnd w:id="0"/>
      <w:r>
        <w:rPr>
          <w:rFonts w:hint="eastAsia" w:ascii="方正大标宋简体" w:hAnsi="宋体" w:eastAsia="方正大标宋简体"/>
          <w:b/>
          <w:sz w:val="42"/>
          <w:szCs w:val="42"/>
        </w:rPr>
        <w:t>宁波博汇化工科技</w:t>
      </w:r>
      <w:r>
        <w:rPr>
          <w:rFonts w:hint="eastAsia" w:ascii="方正大标宋简体" w:hAnsi="宋体" w:eastAsia="方正大标宋简体"/>
          <w:b/>
          <w:kern w:val="0"/>
          <w:sz w:val="42"/>
          <w:szCs w:val="42"/>
          <w:lang w:val="zh-CN"/>
        </w:rPr>
        <w:t>股份有限公司</w:t>
      </w:r>
      <w:r>
        <w:rPr>
          <w:rFonts w:hint="eastAsia" w:ascii="方正大标宋简体" w:hAnsi="宋体" w:eastAsia="方正大标宋简体"/>
          <w:b/>
          <w:kern w:val="0"/>
          <w:sz w:val="42"/>
          <w:szCs w:val="42"/>
        </w:rPr>
        <w:t>创业板</w:t>
      </w:r>
      <w:r>
        <w:rPr>
          <w:rFonts w:hint="eastAsia" w:ascii="方正大标宋简体" w:hAnsi="宋体" w:eastAsia="方正大标宋简体"/>
          <w:b/>
          <w:kern w:val="0"/>
          <w:sz w:val="42"/>
          <w:szCs w:val="42"/>
          <w:lang w:val="zh-CN"/>
        </w:rPr>
        <w:t>首次公开发行股票</w:t>
      </w:r>
      <w:r>
        <w:rPr>
          <w:rFonts w:hint="eastAsia" w:ascii="方正大标宋简体" w:hAnsi="宋体" w:eastAsia="方正大标宋简体"/>
          <w:b/>
          <w:kern w:val="0"/>
          <w:sz w:val="42"/>
          <w:szCs w:val="42"/>
        </w:rPr>
        <w:t>申请文件反馈意见</w:t>
      </w:r>
    </w:p>
    <w:p>
      <w:pPr>
        <w:pStyle w:val="10"/>
        <w:tabs>
          <w:tab w:val="left" w:pos="420"/>
        </w:tabs>
        <w:snapToGrid w:val="0"/>
        <w:spacing w:before="0" w:after="0" w:line="560" w:lineRule="exact"/>
        <w:outlineLvl w:val="9"/>
        <w:rPr>
          <w:rFonts w:ascii="方正仿宋简体" w:hAnsi="宋体" w:eastAsia="方正仿宋简体"/>
          <w:spacing w:val="0"/>
          <w:kern w:val="2"/>
          <w:sz w:val="30"/>
          <w:szCs w:val="30"/>
        </w:rPr>
      </w:pPr>
    </w:p>
    <w:p>
      <w:pPr>
        <w:overflowPunct w:val="0"/>
        <w:spacing w:line="560" w:lineRule="exact"/>
        <w:rPr>
          <w:rFonts w:hint="eastAsia" w:ascii="方正仿宋简体" w:hAnsi="宋体" w:eastAsia="方正仿宋简体"/>
          <w:sz w:val="30"/>
          <w:szCs w:val="30"/>
        </w:rPr>
      </w:pPr>
      <w:r>
        <w:rPr>
          <w:rFonts w:hint="eastAsia" w:ascii="方正仿宋简体" w:hAnsi="宋体" w:eastAsia="方正仿宋简体"/>
          <w:kern w:val="0"/>
          <w:sz w:val="30"/>
          <w:szCs w:val="30"/>
        </w:rPr>
        <w:t>光大证券股份有限公司</w:t>
      </w:r>
      <w:r>
        <w:rPr>
          <w:rFonts w:hint="eastAsia" w:ascii="方正仿宋简体" w:hAnsi="宋体" w:eastAsia="方正仿宋简体"/>
          <w:sz w:val="30"/>
          <w:szCs w:val="30"/>
        </w:rPr>
        <w:t>：</w:t>
      </w:r>
    </w:p>
    <w:p>
      <w:pPr>
        <w:overflowPunct w:val="0"/>
        <w:spacing w:line="560" w:lineRule="exact"/>
        <w:ind w:firstLine="576"/>
        <w:rPr>
          <w:rFonts w:hint="eastAsia" w:ascii="方正仿宋简体" w:hAnsi="宋体" w:eastAsia="方正仿宋简体"/>
          <w:sz w:val="30"/>
          <w:szCs w:val="30"/>
        </w:rPr>
      </w:pPr>
      <w:r>
        <w:rPr>
          <w:rFonts w:hint="eastAsia" w:ascii="方正仿宋简体" w:hAnsi="宋体" w:eastAsia="方正仿宋简体"/>
          <w:sz w:val="30"/>
          <w:szCs w:val="30"/>
        </w:rPr>
        <w:t>现对你公司推荐的宁波博汇化工科技</w:t>
      </w:r>
      <w:r>
        <w:rPr>
          <w:rFonts w:hint="eastAsia" w:ascii="方正仿宋简体" w:hAnsi="宋体" w:eastAsia="方正仿宋简体"/>
          <w:color w:val="000000"/>
          <w:sz w:val="30"/>
          <w:szCs w:val="30"/>
          <w:lang w:val="zh-CN"/>
        </w:rPr>
        <w:t>股份有限公司</w:t>
      </w:r>
      <w:r>
        <w:rPr>
          <w:rFonts w:hint="eastAsia" w:ascii="方正仿宋简体" w:hAnsi="宋体" w:eastAsia="方正仿宋简体"/>
          <w:sz w:val="30"/>
          <w:szCs w:val="30"/>
        </w:rPr>
        <w:t>（以下简称“公司”或“发行人”）首次公开发行股票并在创业板上市申请文件提出反馈意见，请你公司在30日内对下列问题逐项落实并提供书面回复和电子文档。若涉及对招股说明书的修改，请以楷体加粗标明。我会收到你公司的回复后，将根据情况决定是否再次向你公司发出反馈意见。如在30日内不能提供书面回复，请向我会提交延期回复的申请。若对本反馈意见有任何问题，请致电我会发行监管部审核员。</w:t>
      </w:r>
    </w:p>
    <w:p>
      <w:pPr>
        <w:overflowPunct w:val="0"/>
        <w:spacing w:line="560" w:lineRule="exact"/>
        <w:ind w:firstLine="576"/>
        <w:rPr>
          <w:rFonts w:hint="eastAsia" w:ascii="方正仿宋简体" w:hAnsi="宋体" w:eastAsia="方正仿宋简体"/>
          <w:snapToGrid w:val="0"/>
          <w:kern w:val="0"/>
          <w:sz w:val="30"/>
          <w:szCs w:val="30"/>
        </w:rPr>
      </w:pPr>
    </w:p>
    <w:p>
      <w:pPr>
        <w:numPr>
          <w:ilvl w:val="0"/>
          <w:numId w:val="2"/>
        </w:numPr>
        <w:spacing w:line="560" w:lineRule="exact"/>
        <w:ind w:firstLine="602"/>
        <w:rPr>
          <w:rFonts w:hint="eastAsia" w:ascii="方正仿宋简体" w:hAnsi="宋体" w:eastAsia="方正仿宋简体"/>
          <w:b/>
          <w:sz w:val="30"/>
          <w:szCs w:val="30"/>
        </w:rPr>
      </w:pPr>
      <w:r>
        <w:rPr>
          <w:rFonts w:hint="eastAsia" w:ascii="方正仿宋简体" w:hAnsi="宋体" w:eastAsia="方正仿宋简体"/>
          <w:b/>
          <w:sz w:val="30"/>
          <w:szCs w:val="30"/>
        </w:rPr>
        <w:t>规范性问题</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发行人历史股东戴镇尧、关国柱所持发行人股份系代洪世奕持有。根据网络公开信息检索，洪世奕系原宁波国家高新区管委会副主任，于2018年6月1日因受贿、非法倒卖土地使用权被判处有期徒刑。发行人前身博汇有限设立时，第二大股东戴镇尧持股25%，于2007年将该等股权转让给关国柱，后者于2011年9月将股权转让给立而达。立而达的名义股东为关国柱、胡果淼、周雪峰，实际出资人及实际股东为洪世奕。2018年3月，立而达将所持全部15.69%的股份以4元每股的价格转让给发行人控股股东文魁集团。根据保荐工作报告，前述股权转让尚有50%的股权转让款未支付。</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w:t>
      </w:r>
    </w:p>
    <w:p>
      <w:pPr>
        <w:widowControl/>
        <w:numPr>
          <w:ilvl w:val="0"/>
          <w:numId w:val="3"/>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说明戴镇尧、关国柱、立而达对发行人的历次投资、增资的出资缴付主体及资金来源；补充披露关国柱于2008年将所持发行人20%的股权转让给文魁笔业，后于2009年购回的原因。</w:t>
      </w:r>
    </w:p>
    <w:p>
      <w:pPr>
        <w:widowControl/>
        <w:numPr>
          <w:ilvl w:val="0"/>
          <w:numId w:val="3"/>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补充说明并披露2018年3月立而达转让发行人股权的定价依据及股权转让款支付情况，股权转让所履行的程序以及是否符合有关法律、法规的规定，是否存在纠纷或潜在纠纷；说明该等股权转让的真实性。请提供发行人引用的宁波市镇海区监察委员会出具的《情况说明》。</w:t>
      </w:r>
    </w:p>
    <w:p>
      <w:pPr>
        <w:widowControl/>
        <w:numPr>
          <w:ilvl w:val="0"/>
          <w:numId w:val="3"/>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说明发行人股东洪淼森与洪世奕是否存在亲属关系或其他关联关系；补充披露发行人目前是否仍存在其他股权代持情形。</w:t>
      </w:r>
    </w:p>
    <w:p>
      <w:pPr>
        <w:widowControl/>
        <w:numPr>
          <w:ilvl w:val="0"/>
          <w:numId w:val="3"/>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结合洪世奕案件判决书等司法文书相关内容，补充说明发行人及其控股股东、实际控制人、董事、监事、高级管理人员是否涉及该案件，是否在相关司法文书中被认定存在行贿或其他违法行为，是否存在被司法机关立案侦查尚未有明确结论意见的情形。</w:t>
      </w:r>
    </w:p>
    <w:p>
      <w:pPr>
        <w:widowControl/>
        <w:numPr>
          <w:ilvl w:val="0"/>
          <w:numId w:val="3"/>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补充说明发行人现有土地使用权的取得方式、对价及程序，以及是否符合有关法律、法规及规范性文件的规定，是否存在通过洪世奕违规取得用地的情形。说明发行人是否存在通过洪世奕获取其他不正当利益的情形。</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请保荐机构、发行人律师核查上述问题并发表意见，并就发行人是否符合《首次公开发行股票并在创业板上市管理办法》第十九条第（三）项、第二十条第一款规定的发行条件发表明确意见。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发行人于2014年10月在新三板挂牌。2015年5月，发行人股票转让方式变更为做市转让方式。2016年，发行人向6名股东定向发行合计600万股。2017年2月，发行人股票转让方式变更为协议转让方式。招股说明书披露，截至2018年11月9日，发行人股东人数为350人。</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w:t>
      </w:r>
    </w:p>
    <w:p>
      <w:pPr>
        <w:widowControl/>
        <w:numPr>
          <w:ilvl w:val="0"/>
          <w:numId w:val="4"/>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说明并简要披露其在新三板挂牌过程中以及挂牌期间在信息披露、股权交易、董事会或股东大会决策等方面的合法合规性，是否存在受到处罚的情形，如存在，是否构成重大违法违规行为。</w:t>
      </w:r>
    </w:p>
    <w:p>
      <w:pPr>
        <w:widowControl/>
        <w:numPr>
          <w:ilvl w:val="0"/>
          <w:numId w:val="4"/>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说明发行人在新三板挂牌期间的信息披露与本次申报文件内容是否存在重大差异，如存在，请说明差异情况及原因。</w:t>
      </w:r>
    </w:p>
    <w:p>
      <w:pPr>
        <w:widowControl/>
        <w:numPr>
          <w:ilvl w:val="0"/>
          <w:numId w:val="4"/>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说明发行人在新三板挂牌期间的定向增发、股东人数超过200人所履行的具体程序，以及是否符合有关法律、法规及规范性文件的规定。</w:t>
      </w:r>
    </w:p>
    <w:p>
      <w:pPr>
        <w:widowControl/>
        <w:numPr>
          <w:ilvl w:val="0"/>
          <w:numId w:val="4"/>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最近一年新增股东中是否包含通过协议转让方式受让发行人股份的股东，如存在，请补充披露该等股东的基本情况。最近一年新增股东为非自然人股东的，请按照招股说明书信息披露内容与格式准则的要求，披露该等股东的基本情况。</w:t>
      </w:r>
    </w:p>
    <w:p>
      <w:pPr>
        <w:widowControl/>
        <w:numPr>
          <w:ilvl w:val="0"/>
          <w:numId w:val="4"/>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说明2016年12月定向增发的定价依据，新增的6名股东与发行人及其控股股东、实际控制人、董事、监事、高级管理人员、本次发行相关中介机构及签字人员之间是否存在关联关系。</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请保荐机构、发行人律师核查上述问题并发表明确意见。</w:t>
      </w:r>
    </w:p>
    <w:p>
      <w:pPr>
        <w:widowControl/>
        <w:numPr>
          <w:ilvl w:val="0"/>
          <w:numId w:val="5"/>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招股说明书披露，截至2018年11月9日，发行人股东中契约型私募基金、资产管理计划和信托计划股东共11名。</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请发行人说明前述三类股东是否已纳入国家金融监管部门有效监管，且已按照规定履行审批、备案或报告程序，其管理人是否已依法注册登记。请保荐机构、发行人律师就发行人三类股东是否符合上述要求，是否依法设立并有效存续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请保荐机构、发行人律师核查：发行人的三类股东是否符合《中国人民银行、银监会、证监会、保监会、外汇局关于规范金融机构资产管理业务的指导意见》的相关要求，特别是关于资管产品杠杆、分级和嵌套的要求，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 xml:space="preserve">（3）请发行人对三类股东做层层穿透披露。请保荐机构、发行人律师对发行人控股股东、实际控制人、董事、监事、高级管理人员及其亲属、本次发行的中介机构及其签字人员是否直接或间接在三类股东中持有权益进行穿透核查，并发表明确意见。  </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（4）请保荐机构、发行人律师核查：发行人三类股东的存续期及续期安排是否满足股份锁定期和减持规则要求。</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4、2010年6月，公司名称变更为“宁波市创忆石化科技有限公司”。2010年7月，公司名称变更为“宁波博汇石油化工有限公司”。2014年3月，发行人以1.13元每股的价格增资，由文魁集团、立而达和6名新股东认购。</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w:t>
      </w:r>
    </w:p>
    <w:p>
      <w:pPr>
        <w:widowControl/>
        <w:numPr>
          <w:ilvl w:val="0"/>
          <w:numId w:val="6"/>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说明2010年连续两次变更公司名称的具体原因。</w:t>
      </w:r>
    </w:p>
    <w:p>
      <w:pPr>
        <w:widowControl/>
        <w:numPr>
          <w:ilvl w:val="0"/>
          <w:numId w:val="6"/>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说明2014年3月增资的定价依据及合理性，结合各新增股东的背景情况，是否在发行人处任职，说明该次增资是否存在委托持股或利益输送情形。</w:t>
      </w:r>
    </w:p>
    <w:p>
      <w:pPr>
        <w:widowControl/>
        <w:numPr>
          <w:ilvl w:val="0"/>
          <w:numId w:val="6"/>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说明原持股5%以上的股东贝国生转让发行人股份的具体情况及原因。</w:t>
      </w:r>
    </w:p>
    <w:p>
      <w:pPr>
        <w:widowControl/>
        <w:numPr>
          <w:ilvl w:val="0"/>
          <w:numId w:val="6"/>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说明发行人历次股权转让、利润分配以及整体变更过程中，控股股东、实际控制人是否依法履行纳税义务。说明报告期内发行人控股股东取得的现金分红的主要用途。</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请保荐机构、发行人律师核查上述问题并发表明确意见。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5、发行人控股股东文魁集团、实际控制人控制的其他企业包括：文魁进出口、盈和投资、恒通液压、文魁智能、诺达投资、文拓信息、创忆文具等。</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w:t>
      </w:r>
    </w:p>
    <w:p>
      <w:pPr>
        <w:widowControl/>
        <w:numPr>
          <w:ilvl w:val="0"/>
          <w:numId w:val="7"/>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补充说明控股股东文魁集团的历史沿革；说明其历史上是否涉及自集体企业改制或自集体企业受让资产的情形，如存在，请补充披露并说明所履行的程序是否符合有关法律、法规及规范性文件的规定，是否构成集体资产流失。</w:t>
      </w:r>
    </w:p>
    <w:p>
      <w:pPr>
        <w:widowControl/>
        <w:numPr>
          <w:ilvl w:val="0"/>
          <w:numId w:val="7"/>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说明发行人控股股东、实际控制人控制的其他企业的历史沿革；结合各自产品或服务的具体内容，说明前述关联方与发行人之间是否存在同业竞争。说明盈和投资、诺达投资所投资企业的基本情况及主营业务。</w:t>
      </w:r>
    </w:p>
    <w:p>
      <w:pPr>
        <w:widowControl/>
        <w:numPr>
          <w:ilvl w:val="0"/>
          <w:numId w:val="7"/>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补充说明报告期内发行人与前述关联方之间是否存在客户、供应商重合的情形，如存在，请披露具体交易情况并说明交易定价公允性。结合前述关联方的主要财务数据及成本费用构成，说明报告期内是否存在关联方为发行人承担成本费用的情形。</w:t>
      </w:r>
    </w:p>
    <w:p>
      <w:pPr>
        <w:widowControl/>
        <w:numPr>
          <w:ilvl w:val="0"/>
          <w:numId w:val="7"/>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补充说明前述关联方最近三年是否存在重大违法行为，如存在，是否构成发行人控股股东、实际控制人的重大违法行为。</w:t>
      </w:r>
    </w:p>
    <w:p>
      <w:pPr>
        <w:widowControl/>
        <w:numPr>
          <w:ilvl w:val="0"/>
          <w:numId w:val="7"/>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sz w:val="30"/>
          <w:szCs w:val="30"/>
        </w:rPr>
        <w:t>补充披露发行人的高级管理人员是否在控股股东、实际控制人控制的其他企业中担任除董事、监事以外的其他职务，是否在前述关联方领薪，发行人的财务人员是否在控股股东、实际控制人控制的其他企业中兼职。</w:t>
      </w:r>
    </w:p>
    <w:p>
      <w:pPr>
        <w:widowControl/>
        <w:numPr>
          <w:ilvl w:val="0"/>
          <w:numId w:val="7"/>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sz w:val="30"/>
          <w:szCs w:val="30"/>
        </w:rPr>
        <w:t>说明报告期内发行人与文拓信息的少数股东竺怀正及其控制的企业之间是否存在交易情况，如存在，请披露交易的具体情况。</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请保荐机构核查上述问题并发表意见，请发行人律师对成本费用以外的问题进行核查并发表意见。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6、正博电子为发行人实际控制人担任董事长的企业，美联国际贸易为发行人控股股东的参股企业，蛟川文具、恒通科技为实际控制人家庭成员控制或担任董事的企业。立翔贸易为发行人总经理控制的企业，已注销。建远石化、路盛沥青为发行人副总经理曾控制或任职的企业。另有东营上游、彤阳贸易、台州通洋、上海朗艾等已注销或被吊销营业执照的关联方。报告期内，发行人与部分关联方存在关联销售，并曾向关联方提供担保。</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w:t>
      </w:r>
    </w:p>
    <w:p>
      <w:pPr>
        <w:widowControl/>
        <w:numPr>
          <w:ilvl w:val="0"/>
          <w:numId w:val="8"/>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补充说明前述各关联方的历史沿革，主营业务及与发行人的业务关系。对报告期内存在经营的关联方，说明与发行人是否存在客户或供应商的重合，是否存在为发行人承担成本费用的情形。对外转让的关联方，请说明受让方的基本情况、转让定价以及转让真实性；对被吊销营业执照的关联方，请说明原因。</w:t>
      </w:r>
    </w:p>
    <w:p>
      <w:pPr>
        <w:widowControl/>
        <w:numPr>
          <w:ilvl w:val="0"/>
          <w:numId w:val="8"/>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结合同类产品的市场价格或销售给非关联第三方的价格，说明报告期内关联销售的必要性及定价公允性。</w:t>
      </w:r>
    </w:p>
    <w:p>
      <w:pPr>
        <w:widowControl/>
        <w:numPr>
          <w:ilvl w:val="0"/>
          <w:numId w:val="8"/>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说明报告期内发行人向关联方提供担保所履行的内部决策程序，是否符合有关法律、法规及规范性文件的规定。</w:t>
      </w:r>
    </w:p>
    <w:p>
      <w:pPr>
        <w:widowControl/>
        <w:overflowPunct w:val="0"/>
        <w:spacing w:line="560" w:lineRule="exact"/>
        <w:ind w:firstLine="600"/>
        <w:rPr>
          <w:rFonts w:hint="eastAsia" w:ascii="方正仿宋简体" w:hAnsi="宋体" w:eastAsia="方正仿宋简体"/>
          <w:sz w:val="30"/>
          <w:szCs w:val="30"/>
        </w:rPr>
      </w:pPr>
      <w:r>
        <w:rPr>
          <w:rFonts w:hint="eastAsia" w:ascii="方正仿宋简体" w:hAnsi="宋体" w:eastAsia="方正仿宋简体"/>
          <w:sz w:val="30"/>
          <w:szCs w:val="30"/>
        </w:rPr>
        <w:t>（4）严格按照《企业会计准则》、《上市公司信息披露管理办法》和证券交易所颁布的相关业务规则的有关规定进行关联方认定，充分披露关联方及关联交易。</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请保荐机构、发行人律师核查上述问题并发表明确意见，并就招股说明书有关发行人关联方、关联交易披露的真实性、准确性、完整性进一步核查并发表明确意见。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7、招股说明书披露，发行人的核心工艺技术具有国内先进性。</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w:t>
      </w:r>
    </w:p>
    <w:p>
      <w:pPr>
        <w:widowControl/>
        <w:numPr>
          <w:ilvl w:val="0"/>
          <w:numId w:val="9"/>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补充披露现有商标、专利的取得方式。说明核心技术的来源及形成发展过程，发行人现有各项知识产权、核心技术，是否涉及董事、监事、高级管理人员或其他核心人员在曾任职单位的职务成果，是否存在权属纠纷或潜在纠纷；前述人员是否违反与曾任职单位之间的竞业禁止协议（义务）或保密义务。</w:t>
      </w:r>
    </w:p>
    <w:p>
      <w:pPr>
        <w:widowControl/>
        <w:numPr>
          <w:ilvl w:val="0"/>
          <w:numId w:val="9"/>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发行人现有各项知识产权、核心技术是否存在受让自控股股东、实际控制人及其关联方的情形，发行人是否存在无偿使用前述关联方拥有的知识产权的情形；发行人控股股东、实际控制人目前是否拥有其他与发行人业务相关的商标、专利等知识产权。</w:t>
      </w:r>
    </w:p>
    <w:p>
      <w:pPr>
        <w:widowControl/>
        <w:numPr>
          <w:ilvl w:val="0"/>
          <w:numId w:val="9"/>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补充说明“发行人的核心工艺技术具有国内先进性”的认定依据。结合发行人主要产品的技术性能、环保指标，以及功能具有替代性的同类型产品的发展趋势等，说明发行人的主要产品、工艺技术是否存在被替代的风险。</w:t>
      </w:r>
    </w:p>
    <w:p>
      <w:pPr>
        <w:widowControl/>
        <w:numPr>
          <w:ilvl w:val="0"/>
          <w:numId w:val="9"/>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说明发行人是否符合高新技术企业的认定标准。</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请保荐机构、发行人律师核查上述问题并发表意见。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8、报告期内，发行人的收入80%以上来自沥青助剂和橡胶助剂。根据招股说明书披露，沥青助剂主要添加于改性沥青，应用于道路建设和建筑防水；汽车工业是橡胶助剂的最大应用领域。</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w:t>
      </w:r>
    </w:p>
    <w:p>
      <w:pPr>
        <w:widowControl/>
        <w:numPr>
          <w:ilvl w:val="0"/>
          <w:numId w:val="10"/>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结合报告期内公司产品下游具体应用领域的行业政策、市场容量、产品价格及变动趋势，补充披露下游行业景气度对发行人经营业绩的影响，并进行补充风险提示。</w:t>
      </w:r>
    </w:p>
    <w:p>
      <w:pPr>
        <w:widowControl/>
        <w:numPr>
          <w:ilvl w:val="0"/>
          <w:numId w:val="10"/>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将公司各产品逐项对照国家相关产业政策，补充披露报告期内及目前，发行人是否存在生产、销售属于限制或淘汰落后产能范围内产品的情形；如存在，请披露产品名称、产能、各期销售收入及占比，以及对公司生产经营的影响。</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请保荐机构核查上述问题并发表意见，并就发行人报告期内的生产经营是否符合国家产业政策发表明确意见。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9、报告期内，发行人向前五大客户销售的营业收入占比分别为42%、34.35%、42.26%和33.50%。根据招股说明书的披露，发行人产品的运输费用大部分由客户自行承担。报告期内，发行人的销售费用率分别为1.45%、0.88%、0.77%和0.48%，显著低于同行业可比公司。</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w:t>
      </w:r>
    </w:p>
    <w:p>
      <w:pPr>
        <w:widowControl/>
        <w:numPr>
          <w:ilvl w:val="0"/>
          <w:numId w:val="11"/>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补充披露报告期内直销、经销模式下各自的收入占比；披露报告期内外销收入金额及占比。</w:t>
      </w:r>
    </w:p>
    <w:p>
      <w:pPr>
        <w:widowControl/>
        <w:numPr>
          <w:ilvl w:val="0"/>
          <w:numId w:val="11"/>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说明发行人对报告期各期前十大客户的销售情况及合作历史，结合</w:t>
      </w:r>
      <w:r>
        <w:rPr>
          <w:rFonts w:hint="eastAsia" w:ascii="方正仿宋简体" w:hAnsi="宋体" w:eastAsia="方正仿宋简体"/>
          <w:sz w:val="30"/>
          <w:szCs w:val="30"/>
        </w:rPr>
        <w:t>该等客户的成立时间、住所、注册资本、股权结构，补充披露其与发行人及其控股股东、实际控制人、董事、监事、高级管理人员之间是否存在关联关系。</w:t>
      </w:r>
    </w:p>
    <w:p>
      <w:pPr>
        <w:widowControl/>
        <w:numPr>
          <w:ilvl w:val="0"/>
          <w:numId w:val="11"/>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说明报告期内各期主要客户变动较大的原因，说明各期新增客户的原因及合理性。</w:t>
      </w:r>
    </w:p>
    <w:p>
      <w:pPr>
        <w:widowControl/>
        <w:numPr>
          <w:ilvl w:val="0"/>
          <w:numId w:val="11"/>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说明报告期内发行人是否存在商业贿赂情形。</w:t>
      </w:r>
    </w:p>
    <w:p>
      <w:pPr>
        <w:widowControl/>
        <w:numPr>
          <w:ilvl w:val="0"/>
          <w:numId w:val="11"/>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将发行人产品的运费承担方式与同行业公司进行对比，说明主要由客户自行承担运费的原因及合理性；将报告期内发行人主要产品的销售价格与市场价格进行比较，说明差异情况并分析原因；说明报告期内发行人的销售费用显著低于同行业可比公司的合理性。</w:t>
      </w:r>
    </w:p>
    <w:p>
      <w:pPr>
        <w:spacing w:line="560" w:lineRule="exact"/>
        <w:ind w:firstLine="600"/>
        <w:rPr>
          <w:rFonts w:hint="eastAsia" w:ascii="方正仿宋简体" w:hAnsi="宋体" w:eastAsia="方正仿宋简体"/>
          <w:sz w:val="30"/>
          <w:szCs w:val="30"/>
        </w:rPr>
      </w:pPr>
      <w:r>
        <w:rPr>
          <w:rFonts w:hint="eastAsia" w:ascii="方正仿宋简体" w:hAnsi="宋体" w:eastAsia="方正仿宋简体"/>
          <w:sz w:val="30"/>
          <w:szCs w:val="30"/>
        </w:rPr>
        <w:t>请保荐机构核查上述问题并发表意见；请发行人律师核查问题（1）-（4）并发表意见；请申报会计师核查问题（5）并发表意见。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10、发行人的主要原材料为燃料油。报告期内，发行人向前五大供应商的采购金额占比分别为96.30%、88.01%、92.07%和94.36%，主要供应商为中石化、中海油、中石油等。其中，对中石化的采购金额占比分别为79.27%、47.21%、46.80%和48.60%。</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w:t>
      </w:r>
    </w:p>
    <w:p>
      <w:pPr>
        <w:numPr>
          <w:ilvl w:val="0"/>
          <w:numId w:val="12"/>
        </w:numPr>
        <w:spacing w:line="560" w:lineRule="exact"/>
        <w:ind w:firstLine="600"/>
        <w:rPr>
          <w:rFonts w:hint="eastAsia" w:ascii="方正仿宋简体" w:hAnsi="宋体" w:eastAsia="方正仿宋简体"/>
          <w:sz w:val="30"/>
          <w:szCs w:val="30"/>
        </w:rPr>
      </w:pPr>
      <w:r>
        <w:rPr>
          <w:rFonts w:hint="eastAsia" w:ascii="方正仿宋简体" w:hAnsi="宋体" w:eastAsia="方正仿宋简体"/>
          <w:sz w:val="30"/>
          <w:szCs w:val="30"/>
        </w:rPr>
        <w:t>说明报告期内发行人与中石化、中海油、中石油之间的采购合同签订方式、期限及价格调整机制，结合发行人所处的谈判地位，说明发行人是否存在原材料供应量、采购价格受制于上游供应商的情形，是否构成对少数供应商的严重依赖。请就相关内容进行补充风险提示。</w:t>
      </w:r>
    </w:p>
    <w:p>
      <w:pPr>
        <w:numPr>
          <w:ilvl w:val="0"/>
          <w:numId w:val="12"/>
        </w:numPr>
        <w:spacing w:line="560" w:lineRule="exact"/>
        <w:ind w:firstLine="600"/>
        <w:rPr>
          <w:rFonts w:hint="eastAsia" w:ascii="方正仿宋简体" w:hAnsi="宋体" w:eastAsia="方正仿宋简体"/>
          <w:sz w:val="30"/>
          <w:szCs w:val="30"/>
        </w:rPr>
      </w:pPr>
      <w:r>
        <w:rPr>
          <w:rFonts w:hint="eastAsia" w:ascii="方正仿宋简体" w:hAnsi="宋体" w:eastAsia="方正仿宋简体"/>
          <w:sz w:val="30"/>
          <w:szCs w:val="30"/>
        </w:rPr>
        <w:t>请说明辽宁通晟石化有限公司、广东溢善石化有限公司、宁波科元塑胶股份有限公司、宁波乐洋海运有限公司的成立时间、住所、注册资本、股权结构，说明前述供应商与发行人及其控股股东、实际控制人、董事、监事、高级管理人员之间是否存在关联关系。</w:t>
      </w:r>
    </w:p>
    <w:p>
      <w:pPr>
        <w:numPr>
          <w:ilvl w:val="0"/>
          <w:numId w:val="12"/>
        </w:numPr>
        <w:spacing w:line="560" w:lineRule="exact"/>
        <w:ind w:firstLine="600"/>
        <w:rPr>
          <w:rFonts w:hint="eastAsia" w:ascii="方正仿宋简体" w:hAnsi="宋体" w:eastAsia="方正仿宋简体"/>
          <w:sz w:val="30"/>
          <w:szCs w:val="30"/>
        </w:rPr>
      </w:pPr>
      <w:r>
        <w:rPr>
          <w:rFonts w:hint="eastAsia" w:ascii="方正仿宋简体" w:hAnsi="宋体" w:eastAsia="方正仿宋简体"/>
          <w:sz w:val="30"/>
          <w:szCs w:val="30"/>
        </w:rPr>
        <w:t>说明报告期内发行人是否存在外协加工的情形，如存在，请补充披露具体情况。</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请保荐机构、发行人律师核查上述问题并发表明确意见。</w:t>
      </w:r>
    </w:p>
    <w:p>
      <w:pPr>
        <w:widowControl/>
        <w:overflowPunct w:val="0"/>
        <w:spacing w:line="560" w:lineRule="exact"/>
        <w:ind w:left="420" w:leftChars="2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11、环保合规性。</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w:t>
      </w:r>
    </w:p>
    <w:p>
      <w:pPr>
        <w:widowControl/>
        <w:numPr>
          <w:ilvl w:val="0"/>
          <w:numId w:val="13"/>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补充说明最近三年，发行人及其子公司是否存在受到环保部门行政处罚的情形，如存在，请披露具体情况并说明是否构成重大违法行为。</w:t>
      </w:r>
    </w:p>
    <w:p>
      <w:pPr>
        <w:widowControl/>
        <w:numPr>
          <w:ilvl w:val="0"/>
          <w:numId w:val="13"/>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说明报告期内发行人及其子公司是否存在因环保政策被要求停产的情形；补充披露环保政策对发行人产品供需格局、产品售价的影响，并进行补充风险提示。</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请保荐机构、发行人律师核查上述问题，并就发行人报告期内的生产经营是否符合国家环保政策发表明确意见。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12、招股说明书披露，发行人取得了《危险化学品经营许可证》；报告期内，发行人实际未开展经营危险化学品的行为。</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w:t>
      </w:r>
    </w:p>
    <w:p>
      <w:pPr>
        <w:widowControl/>
        <w:numPr>
          <w:ilvl w:val="0"/>
          <w:numId w:val="14"/>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补充披露生产经营各个环节需获得的审批、认证（含合格供应商认证）等事项；说明发行人及其子公司报告期内是否持续具备生产经营所必要的业务资质（说明相应的审批主体、资质或证书名称及有效期）。</w:t>
      </w:r>
    </w:p>
    <w:p>
      <w:pPr>
        <w:widowControl/>
        <w:numPr>
          <w:ilvl w:val="0"/>
          <w:numId w:val="14"/>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说明发行人的原材料、辅料、中间产品、产成品等生产经营各环节是否涉及危险化学品、危险废物，如涉及，请披露发行人是否已取得必备的业务资质，是否符合有关法律、法规及规范性文件的规定。</w:t>
      </w:r>
    </w:p>
    <w:p>
      <w:pPr>
        <w:widowControl/>
        <w:numPr>
          <w:ilvl w:val="0"/>
          <w:numId w:val="14"/>
        </w:numPr>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说明报告期内发行人是否存在安全生产事故，如存在，请披露具体情况、相关责任认定、是否涉及行政处罚及是否构成重大违法行为。</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请保荐机构、发行人律师核查上述问题并发表明确意见。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13、发行人属于将外购的含税燃料油用于生产芳烃类化工产品的企业，根据国家的消费税税收政策，公司可按燃料油实际耗用量计算退还所含消费税。报告期内，消费税退还对公司重芳烃产品影响营业成本总额分别为11,036.94万元、19,027.54万元、19,322.23万元及12,937.40万元，占利润总额的比例分别为198.86%、230.64%、196.61%和187.60%。</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说明报告期内公司享受的消费税退还是否符合有关法律、法规及规范性文件的规定，是否存在因消费税退还相关事项受到税务部门处罚或被要求补缴税款的情形；结合消费税退还政策的持续性、发行人持续符合相关条件的可能性以及退税金额对公司经营业绩的影响，说明发行人的经营业绩对消费税退税政策是否存在重大依赖。</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请保荐机构、发行人律师核查上述问题并发表明确意见。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14、发行人拟以募集资金投入“60万吨/年环保芳烃油及联产20万吨/年石蜡生产项目”。</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发行人：补充披露前述募投项目是否符合国家相关产业政策及环保政策；就该项目涉及的新产品，请说明发行人是否具备相关技术、人才、市场等方面的储备；结合报告期内现有产品的产能利用率、产销率，相关产品的竞争格局、市场容量等情况，分析说明发行人消化新增产能的途径及可行性。</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请保荐机构、发行人律师核查上述问题并发表明确意见。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15、说明发行人相关土地使用权产权证书的办理进展情况，尚未办理完毕的，请披露原因以及是否存在法律障碍。请保荐机构、发行人律师进行核查并发表意见。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16、说明章燕庆先生担任发行人独立董事是否符合有法法律、法规及规范性文件的规定。请保荐机构、发行人律师进行核查并发表意见。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17、请发行人结合最近两年内公司董事、高级管理人员的变化情况及原因，说明是否构成董事、高级管理人员的重大变化。请保荐机构、发行人律师进行核查并发表意见。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18、请发行人说明前次撤回申请的原因。</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19、根据招股说明书披露，报告期内发行人主营业务收入分别为20,689.13万元、26,286.85万元、36,181.54万元及29,171.79万元。请发行人：</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（1）补充说明沥青助剂、橡胶助剂、润滑油助剂、轻质燃料油等主要产品报告期内销售单价与市场价格的差异情况，并解释说明发行人主要产品价格与市场价格的差异、报告期内销售价格波动较大的原因；</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（2）补充披露招股说明书中多次提及的“生产装置技改后，产品种类有所减少”中产品种类变化的详情；并结合变化详情并补充披露报告期内发行人各主要产品销量波动较大的原因；</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3）结合销售合同中风险收益转移相关条款，进一步补充说明发行人确认收入的时点、依据是否充分，是否存在提前或延后确认收入的情形，是否符合企业会计准则的规定;结合销售合同中风险收益转移相关条款，进一步补充说明发行人确认收入的时点、依据是否充分，是否存在提前或延后确认收入的情形，是否符合企业会计准则的规定；</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（4）补充披露报告期内各期，发行人的退货政策以及分产品类型的各期退货情况、相应会计处理情况，补充说明是否存在期末集中确认收入、期初退货的情形，并提供收入截止性测试过程。</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请保荐机构、申报会计师对前述问题核查，说明核查过程、核查比例及依据并发表明确意见。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20、请发行人说明申报期内现金交易情形（如有），包括不限于：</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（1）现金交易金额及比例；</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（2）现金交易的必要性与合理性，是否与发行人业务情况或行业惯例相符，与同行业或类似公司的比较情况；</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（3）现金交易的客户或供应商的情况，是否为发行人的关联方；</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（4）相关收入确认及成本核算的原则与依据，是否存在体外循环或虚构业务情形；</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（5）现金交易流水的发生与相关业务发生是否真实一致，是否存在异常分布；</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（6）实际控制人及发行人董监高等关联方是否与客户或供应商存在资金往来；</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请保荐机构、申报会计师详细说明对发行人现金交易可验证性及相关内控有效性的核查方法、过程与证据，对发行人报告期现金交易的真实性、合理性和必要性明确发表意见。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21、根据招股说明书披露，报告期内发行人产能分别为100,000吨、175,000吨、260,000吨和170,000吨，不同重芳烃产品密度存在差异。请发行人：</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（1）按照沥青助剂、橡胶助剂、润滑油助剂等重芳烃细分类别补充披露报告期内发行人主要产品的产量、销量和产销量数据；</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（2）补充说明2015年产能利用率超过100%的原因；</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（3）补充说明发行人产能与固定资产规模、生产设备数量之间的详细匹配关系及计算过程；</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请保荐机构、申报会计师对前述问题核查并发表明确意见。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22、根据招股说明书披露，发行人报告期内向前五大客户销售占比分别为42%、34.35%、42.26%和33.50%，请发行人：</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补充说明报告期各期前十大客户情况（包括成立时间、注册资本、股权结构、主营业务、经营状况、对其销售金额及占比等），与发行人的业务由来及合作情况，发行人与客户之间交易规模占客户整体业务的关系，如收入占比、产品种类占比等，主要客户与发行人之间是否存在业务依赖关系；</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（2）补充说明报告期内前十大客户中新增客户的获取方式、与发行人之间是否存在关联或潜在关联关系，进一步补充说明与宁波飞牛石油化工有限公司合作的背景、合同期限。</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（3）按重芳烃、贸易产品等细分类别，补充说明向前十大客户销售各类主要产品的数量、金额、及占各类产品销售金额的比例；</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（4）补充说明报告期内前十大客户的销售金额变动的原因及合理性，各期新增客户的原因及合理性；</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（5）补充说明报告期内发行人向主要客户销售同类产品的价格的差异情况，存在较大差异的，请进一步补充说明差异原因。</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请保荐机构、申报会计师对前述问题核查并发表明确意见。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23、根据招股说明书披露，报告期内发行人向前五大供应商采购占比分别为96.3%、88.01%%、92.07%及94.36%。请发行人：</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结合燃料油国内价格变动趋势补充说明发行人主要燃料油等原材料采购价格在报告期内的变动情况和变动原因，说明与市场价格是否存在差异，发行人向不同供应商采购的价格是否存在重大差异，说明采购价格是否公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（2）补充披露报告期内前五大供应商是否为贸易产品供应商或生产原材料供应商；</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（3）补充说明发行人向供应商采购燃料油的粘度等细分型号，型号与采购价格的关系及产量的关系；</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（4）补充说明发行人与主要供应商是否存在关联关系或潜在关联关系、发行人对各供应商是否存在重大依赖。</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请保荐机构、申报会计师对前述问题核查并发表明确意见。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24、根据招股说明书披露，报告期内发行人主营业务成本分别为11,854.12万元、13,927.56万元、21,518.55万元及19,670.18万元。请发行人：</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（1）结合生产工艺补充说明报告期内各项成本费用在各细分产品之间归集与核算的具体方式；</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（2）补充说明报告期内等原材料的采购量、耗用量和发行人主要产品产量、销售量、库存量的匹配关系，理论消耗量和实际消耗量之间的差异情况；、</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 xml:space="preserve">（3）结合原材料备货周期， 说明报告期内发行人主要产品结转主营业务成本与结转存货成本之间的差异情况及原因； </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请保荐机构、申报会计师对前述问题核查并发表明确意见。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25、根据招股说明书披露，报告期内发行人与控股股东及其关联方存在较多关联交易，请发行人：</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补充说明报告期内，发行人与关联方是否存在客户及供应商重合的情形，如存在，请进一步说明重合的客户及供应商名单、发行人及关联方采购分别占各重合供应商收入的比例，发行人及关联方销售占客户采购的比例；</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（2）补充说明报告期内发行人控股股东对外采购电脑及网络服务的成本构成，向集团各公司提供电脑及网络服务的定价标准及依据，向发行人提供相关服务是否与向其他子公司提供服务定价依据一致；</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（3）补充说明报告期内，发行人关联方向发行人采购后再销售的定价是否合理及交易的必要性；</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（4）补充说明发行人向关联方采购其他产品的交易价格是否公允及依据。</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请保荐机构、申报会计师对前述问题核查并发表明确意见。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26、请发行人说明申报期内回款方与签订合同方不一致的第三方回款情形（如有），包括不限于：</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（1）各类回款方与签订合同方的关系、各期回款金额及占收入比例；</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（2）第三方回款的原因、必要性及商业合理性；</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（3）发行人及其实际控制人、董监高或其他关联方与第三方回款的支付方是否存在关联关系或其他利益安排；</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（4）境外销售涉及境外第三方的，其代付行为的商业合理性或合法合规性；</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（5）报告期内是否存在因第三方回款导致的货款归属纠纷；</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（6）如签订合同时已明确约定由其他第三方代购买方付款，该交易安排是否具有合理原因。</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请保荐机构及会计师对上述情况核查并发表明确意见。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27、请发行人说明申报期内存在转贷、票据融资、银行借款受托支付、非经营性资金往来、关联方或第三方代收货款等情形（如有），包括不限于相关交易形成时间、原因、资金流向和使用用途、利息、违反有关法律法规具体情况及后果、后续可能影响的承担机制、整改措施、相关内控建立及运行情况。请保荐机构、申报会计师进行核查，就发行人的财务内控是否能够持续符合规范性要求，不存在影响发行条件的情形并明确发表意见。</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28、根据招股说明书披露，报告期内发行人消费税退还对公司重芳烃产品影响营业成本总额分别为11,036.94万元、19,027.54万元、19,322.23万元及12,937.40万元。请发行人：</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（1）补充说明报告期内申报耗用原材料数量、实际耗用原材料数量、尚未申报耗用原材料数量、重芳烃产量直接的匹配关系，说明报告期内消费税退税的计算过程；</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（2）进一步补充说明如消费税退还取消，对发行人主要财务数据及财务指标的影响。</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（3）补充说明报告期内发行人对轻质燃料油和重芳烃原材料耗用燃料油的比例，其成本的归集与核算的过程是否合理。</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请保荐机构及会计师对上述情况核查并发表明确意见。</w:t>
      </w:r>
    </w:p>
    <w:p>
      <w:pPr>
        <w:widowControl/>
        <w:overflowPunct w:val="0"/>
        <w:spacing w:line="560" w:lineRule="exact"/>
        <w:ind w:firstLine="600"/>
        <w:rPr>
          <w:rFonts w:hint="eastAsia" w:ascii="方正仿宋简体" w:hAnsi="方正仿宋简体" w:eastAsia="方正仿宋简体" w:cs="方正仿宋简体"/>
          <w:sz w:val="30"/>
          <w:szCs w:val="30"/>
        </w:rPr>
      </w:pPr>
      <w:r>
        <w:rPr>
          <w:rFonts w:hint="eastAsia" w:ascii="方正仿宋简体" w:hAnsi="宋体" w:eastAsia="方正仿宋简体"/>
          <w:bCs/>
          <w:color w:val="000000"/>
          <w:sz w:val="30"/>
          <w:szCs w:val="30"/>
        </w:rPr>
        <w:t>根据招股说明书披露，发行人原材料领用时，将原材料采购价格中的消费税转为其他流动资产核算，差额计入生产成本。请发行人补充说明其会计处理的依据，会计处理的时点是否符合会计准则的要求。请保荐机构及会计师对上述情况核查并发表明确意见。</w:t>
      </w:r>
    </w:p>
    <w:p>
      <w:pPr>
        <w:spacing w:line="560" w:lineRule="exact"/>
        <w:rPr>
          <w:rFonts w:hint="eastAsia" w:ascii="方正仿宋简体" w:eastAsia="方正仿宋简体"/>
          <w:sz w:val="30"/>
          <w:szCs w:val="30"/>
        </w:rPr>
      </w:pPr>
    </w:p>
    <w:p>
      <w:pPr>
        <w:numPr>
          <w:ilvl w:val="0"/>
          <w:numId w:val="2"/>
        </w:numPr>
        <w:spacing w:line="560" w:lineRule="exact"/>
        <w:ind w:firstLine="602"/>
        <w:rPr>
          <w:rFonts w:hint="eastAsia" w:ascii="方正仿宋简体" w:hAnsi="宋体" w:eastAsia="方正仿宋简体"/>
          <w:b/>
          <w:sz w:val="30"/>
          <w:szCs w:val="30"/>
        </w:rPr>
      </w:pPr>
      <w:r>
        <w:rPr>
          <w:rFonts w:hint="eastAsia" w:ascii="方正仿宋简体" w:hAnsi="宋体" w:eastAsia="方正仿宋简体"/>
          <w:b/>
          <w:sz w:val="30"/>
          <w:szCs w:val="30"/>
        </w:rPr>
        <w:t>信息披露问题</w:t>
      </w:r>
    </w:p>
    <w:p>
      <w:pPr>
        <w:autoSpaceDE w:val="0"/>
        <w:autoSpaceDN w:val="0"/>
        <w:snapToGrid w:val="0"/>
        <w:spacing w:line="560" w:lineRule="exact"/>
        <w:rPr>
          <w:rFonts w:hint="eastAsia" w:ascii="方正仿宋简体" w:hAnsi="宋体" w:eastAsia="方正仿宋简体" w:cs="方正仿宋简体"/>
          <w:bCs/>
          <w:color w:val="000000"/>
          <w:kern w:val="0"/>
          <w:sz w:val="30"/>
          <w:szCs w:val="30"/>
        </w:rPr>
      </w:pPr>
      <w:r>
        <w:rPr>
          <w:rFonts w:hint="eastAsia" w:ascii="方正仿宋简体" w:hAnsi="宋体" w:eastAsia="方正仿宋简体" w:cs="方正仿宋简体"/>
          <w:bCs/>
          <w:color w:val="000000"/>
          <w:kern w:val="0"/>
          <w:sz w:val="30"/>
          <w:szCs w:val="30"/>
        </w:rPr>
        <w:t xml:space="preserve">    29、根据招股说明书披露，报告期内各期发行人主营业务毛利率分别为42.77%、47.02%、40.53%和32.57%，请发行人：</w:t>
      </w:r>
    </w:p>
    <w:p>
      <w:pPr>
        <w:numPr>
          <w:ilvl w:val="0"/>
          <w:numId w:val="15"/>
        </w:numPr>
        <w:adjustRightInd w:val="0"/>
        <w:snapToGrid w:val="0"/>
        <w:spacing w:line="560" w:lineRule="exact"/>
        <w:ind w:firstLine="600"/>
        <w:rPr>
          <w:rFonts w:hint="eastAsia" w:ascii="方正仿宋简体" w:hAnsi="宋体" w:eastAsia="方正仿宋简体" w:cs="方正仿宋简体"/>
          <w:bCs/>
          <w:color w:val="000000"/>
          <w:kern w:val="0"/>
          <w:sz w:val="30"/>
          <w:szCs w:val="30"/>
        </w:rPr>
      </w:pPr>
      <w:r>
        <w:rPr>
          <w:rFonts w:hint="eastAsia" w:ascii="方正仿宋简体" w:hAnsi="宋体" w:eastAsia="方正仿宋简体" w:cs="方正仿宋简体"/>
          <w:bCs/>
          <w:color w:val="000000"/>
          <w:kern w:val="0"/>
          <w:sz w:val="30"/>
          <w:szCs w:val="30"/>
        </w:rPr>
        <w:t>补充说明报告期内向前十大客户的主要产品及对应毛利率情况，各客户之间毛利率差异的原因及合理性；</w:t>
      </w:r>
    </w:p>
    <w:p>
      <w:pPr>
        <w:numPr>
          <w:ilvl w:val="0"/>
          <w:numId w:val="15"/>
        </w:numPr>
        <w:adjustRightInd w:val="0"/>
        <w:snapToGrid w:val="0"/>
        <w:spacing w:line="560" w:lineRule="exact"/>
        <w:ind w:firstLine="600"/>
        <w:rPr>
          <w:rFonts w:hint="eastAsia" w:ascii="方正仿宋简体" w:hAnsi="宋体" w:eastAsia="方正仿宋简体" w:cs="方正仿宋简体"/>
          <w:bCs/>
          <w:color w:val="000000"/>
          <w:kern w:val="0"/>
          <w:sz w:val="30"/>
          <w:szCs w:val="30"/>
        </w:rPr>
      </w:pPr>
      <w:r>
        <w:rPr>
          <w:rFonts w:hint="eastAsia" w:ascii="方正仿宋简体" w:hAnsi="宋体" w:eastAsia="方正仿宋简体" w:cs="方正仿宋简体"/>
          <w:bCs/>
          <w:color w:val="000000"/>
          <w:kern w:val="0"/>
          <w:sz w:val="30"/>
          <w:szCs w:val="30"/>
        </w:rPr>
        <w:t>结合报告期内发行人采购存货成本与结转主营业务成本的差异情况、备货周期，补充说明各主要产品毛利率变动的合理性；</w:t>
      </w:r>
    </w:p>
    <w:p>
      <w:pPr>
        <w:numPr>
          <w:ilvl w:val="0"/>
          <w:numId w:val="15"/>
        </w:numPr>
        <w:adjustRightInd w:val="0"/>
        <w:snapToGrid w:val="0"/>
        <w:spacing w:line="560" w:lineRule="exact"/>
        <w:ind w:firstLine="600"/>
        <w:rPr>
          <w:rFonts w:hint="eastAsia" w:ascii="方正仿宋简体" w:hAnsi="宋体" w:eastAsia="方正仿宋简体" w:cs="方正仿宋简体"/>
          <w:bCs/>
          <w:color w:val="000000"/>
          <w:kern w:val="0"/>
          <w:sz w:val="30"/>
          <w:szCs w:val="30"/>
        </w:rPr>
      </w:pPr>
      <w:r>
        <w:rPr>
          <w:rFonts w:hint="eastAsia" w:ascii="方正仿宋简体" w:hAnsi="宋体" w:eastAsia="方正仿宋简体" w:cs="方正仿宋简体"/>
          <w:bCs/>
          <w:color w:val="000000"/>
          <w:kern w:val="0"/>
          <w:sz w:val="30"/>
          <w:szCs w:val="30"/>
        </w:rPr>
        <w:t>进一步结合供应商采购价格、生产流程、产品情况，说明报告期内发行人与保华石化的毛利率差异情况，最近一期发行人重芳烃毛利率大幅下滑的原因；</w:t>
      </w:r>
    </w:p>
    <w:p>
      <w:pPr>
        <w:numPr>
          <w:ilvl w:val="0"/>
          <w:numId w:val="15"/>
        </w:numPr>
        <w:adjustRightInd w:val="0"/>
        <w:snapToGrid w:val="0"/>
        <w:spacing w:line="560" w:lineRule="exact"/>
        <w:ind w:firstLine="600"/>
        <w:rPr>
          <w:rFonts w:hint="eastAsia" w:ascii="方正仿宋简体" w:hAnsi="宋体" w:eastAsia="方正仿宋简体" w:cs="方正仿宋简体"/>
          <w:bCs/>
          <w:color w:val="000000"/>
          <w:kern w:val="0"/>
          <w:sz w:val="30"/>
          <w:szCs w:val="30"/>
        </w:rPr>
      </w:pPr>
      <w:r>
        <w:rPr>
          <w:rFonts w:hint="eastAsia" w:ascii="方正仿宋简体" w:hAnsi="宋体" w:eastAsia="方正仿宋简体" w:cs="方正仿宋简体"/>
          <w:bCs/>
          <w:color w:val="000000"/>
          <w:kern w:val="0"/>
          <w:sz w:val="30"/>
          <w:szCs w:val="30"/>
        </w:rPr>
        <w:t>补充说明轻质燃料油的毛利率与可比公司数据的对比情况；</w:t>
      </w:r>
    </w:p>
    <w:p>
      <w:pPr>
        <w:numPr>
          <w:ilvl w:val="0"/>
          <w:numId w:val="15"/>
        </w:numPr>
        <w:adjustRightInd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bCs/>
          <w:color w:val="000000"/>
          <w:kern w:val="0"/>
          <w:sz w:val="30"/>
          <w:szCs w:val="30"/>
        </w:rPr>
        <w:t>补充说明报告期内发行人各主要产品单位人工、单位制造费用均出现较大幅度下滑的原因。</w:t>
      </w:r>
    </w:p>
    <w:p>
      <w:p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请保荐机构及会计师对上述情况核查并发表明确意见。</w:t>
      </w:r>
    </w:p>
    <w:p>
      <w:p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30、根据招股说明书披露，报告期内发行人销售费用分别为300.24万元、231.27万元、 279.25万元及140.80万元。请发行人：</w:t>
      </w:r>
    </w:p>
    <w:p>
      <w:pPr>
        <w:pStyle w:val="12"/>
        <w:numPr>
          <w:ilvl w:val="0"/>
          <w:numId w:val="0"/>
        </w:numPr>
        <w:spacing w:line="560" w:lineRule="exact"/>
        <w:rPr>
          <w:rFonts w:hint="eastAsia" w:ascii="方正仿宋简体" w:hAnsi="宋体" w:cs="方正仿宋简体"/>
          <w:sz w:val="30"/>
          <w:szCs w:val="30"/>
        </w:rPr>
      </w:pPr>
      <w:r>
        <w:rPr>
          <w:rFonts w:hint="eastAsia" w:ascii="方正仿宋简体" w:hAnsi="宋体" w:cs="方正仿宋简体"/>
          <w:sz w:val="30"/>
          <w:szCs w:val="30"/>
        </w:rPr>
        <w:t xml:space="preserve">   （1）补充说明补充运输费的招标议价机制、说明报告期内汽油、柴油等运输燃料价格变动、人工薪酬增长对运输费的影响，进一步补充说明报告期内单位运费基本持平的原因；</w:t>
      </w:r>
    </w:p>
    <w:p>
      <w:pPr>
        <w:pStyle w:val="12"/>
        <w:numPr>
          <w:ilvl w:val="0"/>
          <w:numId w:val="0"/>
        </w:numPr>
        <w:spacing w:line="560" w:lineRule="exact"/>
        <w:ind w:firstLine="480"/>
        <w:rPr>
          <w:rFonts w:hint="eastAsia" w:ascii="方正仿宋简体" w:hAnsi="宋体" w:cs="方正仿宋简体"/>
          <w:sz w:val="30"/>
          <w:szCs w:val="30"/>
        </w:rPr>
      </w:pPr>
      <w:r>
        <w:rPr>
          <w:rFonts w:hint="eastAsia" w:ascii="方正仿宋简体" w:hAnsi="宋体" w:cs="方正仿宋简体"/>
          <w:sz w:val="30"/>
          <w:szCs w:val="30"/>
        </w:rPr>
        <w:t>（2）补充说明销售人员数量、平均薪酬的变化情况、销售人员薪酬的原则及报告期内薪酬总额基本持平的原因；</w:t>
      </w:r>
    </w:p>
    <w:p>
      <w:pPr>
        <w:pStyle w:val="12"/>
        <w:numPr>
          <w:ilvl w:val="0"/>
          <w:numId w:val="0"/>
        </w:numPr>
        <w:spacing w:line="560" w:lineRule="exact"/>
        <w:ind w:firstLine="480"/>
        <w:rPr>
          <w:rFonts w:hint="eastAsia" w:ascii="方正仿宋简体" w:hAnsi="宋体" w:cs="方正仿宋简体"/>
          <w:sz w:val="30"/>
          <w:szCs w:val="30"/>
        </w:rPr>
      </w:pPr>
      <w:r>
        <w:rPr>
          <w:rFonts w:hint="eastAsia" w:ascii="方正仿宋简体" w:hAnsi="宋体" w:cs="方正仿宋简体"/>
          <w:sz w:val="30"/>
          <w:szCs w:val="30"/>
        </w:rPr>
        <w:t>（3）结合客户构成、发行人及可比公司所在地人工成本等因素进一步补充说明发行人销售费用率大幅低于同行业可比公司的原因；</w:t>
      </w:r>
    </w:p>
    <w:p>
      <w:pPr>
        <w:pStyle w:val="12"/>
        <w:numPr>
          <w:ilvl w:val="0"/>
          <w:numId w:val="0"/>
        </w:numPr>
        <w:spacing w:line="560" w:lineRule="exact"/>
        <w:ind w:firstLine="480"/>
        <w:rPr>
          <w:rFonts w:hint="eastAsia" w:ascii="方正仿宋简体" w:hAnsi="宋体" w:cs="方正仿宋简体"/>
          <w:sz w:val="30"/>
          <w:szCs w:val="30"/>
        </w:rPr>
      </w:pPr>
      <w:r>
        <w:rPr>
          <w:rFonts w:hint="eastAsia" w:ascii="方正仿宋简体" w:hAnsi="宋体" w:cs="方正仿宋简体"/>
          <w:sz w:val="30"/>
          <w:szCs w:val="30"/>
        </w:rPr>
        <w:t>（4）补充说明是否存在发行人员工、关联方及潜在关联方替发行人承担销售费用、维护或共用销售渠道，发行人获取新客户的主要渠道情况。</w:t>
      </w:r>
    </w:p>
    <w:p>
      <w:p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请保荐机构及会计师对上述情况核查并发表明确意见。</w:t>
      </w:r>
    </w:p>
    <w:p>
      <w:pPr>
        <w:numPr>
          <w:ilvl w:val="0"/>
          <w:numId w:val="16"/>
        </w:num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根据招股说明书披露，报告期内发行人管理费用分别为813.86万元、1,172.29万元、 1,887.67万元及888.45万元。请发行人：</w:t>
      </w:r>
    </w:p>
    <w:p>
      <w:pPr>
        <w:numPr>
          <w:ilvl w:val="0"/>
          <w:numId w:val="17"/>
        </w:num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说明报告期内发行人历次股权变动是否涉及股份，并进一步说明报告期内发行人控股股东文魁集团受让立而达持有的发行人15.69%股份，作价4元/股，其作价显著低于发行人前次定向增发作价，发行人实际控制人为文魁集团股东，此次股份受让是否涉及股份支付；</w:t>
      </w:r>
    </w:p>
    <w:p>
      <w:pPr>
        <w:numPr>
          <w:ilvl w:val="0"/>
          <w:numId w:val="17"/>
        </w:num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报告期内各期管理费用中职工薪酬与管理人员的变动、人均工资的变动是否吻合，以及与当地平均薪酬水平的对比情况；</w:t>
      </w:r>
    </w:p>
    <w:p>
      <w:pPr>
        <w:numPr>
          <w:ilvl w:val="0"/>
          <w:numId w:val="17"/>
        </w:num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补充说明扣除专业服务费影响后，报告期内发行人管理费用率与同行业可比公司的差异情况及原因；</w:t>
      </w:r>
    </w:p>
    <w:p>
      <w:pPr>
        <w:numPr>
          <w:ilvl w:val="0"/>
          <w:numId w:val="17"/>
        </w:num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补充说明发行人管理方是否存在替发行人支付管理费用、研发费用的情形及中介机构的核查过程、核查依据。</w:t>
      </w:r>
    </w:p>
    <w:p>
      <w:pPr>
        <w:autoSpaceDE w:val="0"/>
        <w:autoSpaceDN w:val="0"/>
        <w:snapToGrid w:val="0"/>
        <w:spacing w:line="560" w:lineRule="exact"/>
        <w:ind w:left="420" w:leftChars="2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 xml:space="preserve"> 请保荐机构及会计师对上述情况核查并发表明确意见。</w:t>
      </w:r>
    </w:p>
    <w:p>
      <w:p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bCs/>
          <w:sz w:val="30"/>
          <w:szCs w:val="30"/>
        </w:rPr>
        <w:t>32、</w:t>
      </w:r>
      <w:r>
        <w:rPr>
          <w:rFonts w:hint="eastAsia" w:ascii="方正仿宋简体" w:hAnsi="宋体" w:eastAsia="方正仿宋简体" w:cs="方正仿宋简体"/>
          <w:sz w:val="30"/>
          <w:szCs w:val="30"/>
        </w:rPr>
        <w:t>根据招股说明书披露，报告期各期末，发行人应收账款期末余额分别为38.63万元、8.97万元、60.62万元及32.04万元，其他应收款期末余额主要为消费税退税。请发行人：</w:t>
      </w:r>
    </w:p>
    <w:p>
      <w:p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（1）补充披露报告期内各年1月末及各季度末应收账款余额，说明是否存在年末突击回款的情形；</w:t>
      </w:r>
    </w:p>
    <w:p>
      <w:p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（2）补充披露报告期内是否存在消费税退税1年以上未收回的情形。</w:t>
      </w:r>
    </w:p>
    <w:p>
      <w:p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请保荐机构及会计师对上述情况核查并发表明确意见。</w:t>
      </w:r>
    </w:p>
    <w:p>
      <w:p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bCs/>
          <w:sz w:val="30"/>
          <w:szCs w:val="30"/>
        </w:rPr>
        <w:t>33、</w:t>
      </w:r>
      <w:r>
        <w:rPr>
          <w:rFonts w:hint="eastAsia" w:ascii="方正仿宋简体" w:hAnsi="宋体" w:eastAsia="方正仿宋简体" w:cs="方正仿宋简体"/>
          <w:sz w:val="30"/>
          <w:szCs w:val="30"/>
        </w:rPr>
        <w:t>根据招股说明书披露，发行人各报告期存货期末账面余额分别为2,390.19 万元、2,230.20万元、5,054.16元及4,356.14万元。请发行人：</w:t>
      </w:r>
    </w:p>
    <w:p>
      <w:pPr>
        <w:pStyle w:val="9"/>
        <w:numPr>
          <w:ilvl w:val="0"/>
          <w:numId w:val="18"/>
        </w:numPr>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补充披露各期末存货产品的存放地点、存放地权属、盘点过程等相关信息；</w:t>
      </w:r>
    </w:p>
    <w:p>
      <w:pPr>
        <w:pStyle w:val="9"/>
        <w:numPr>
          <w:ilvl w:val="0"/>
          <w:numId w:val="18"/>
        </w:numPr>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补充披露报告期内存货中不存在在产品的原因及合理性；</w:t>
      </w:r>
    </w:p>
    <w:p>
      <w:pPr>
        <w:pStyle w:val="9"/>
        <w:numPr>
          <w:ilvl w:val="0"/>
          <w:numId w:val="18"/>
        </w:numPr>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补充披露库存商品对应销售合同的比例、各期末原材料和库存商品的库龄，期后发出商品结转成本情况，说明存货是否存在库龄较长、滞销，存货跌价准备测试与计提情况、计提的原因、计提是否充分；</w:t>
      </w:r>
    </w:p>
    <w:p>
      <w:pPr>
        <w:pStyle w:val="9"/>
        <w:numPr>
          <w:ilvl w:val="0"/>
          <w:numId w:val="18"/>
        </w:numPr>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补充说明发行人各报告期原材料采购量、使用量与期末库存量、库存金额的匹配性，并列出上述量化分析的过程，补充披露库存商品期后销售出库情况；</w:t>
      </w:r>
    </w:p>
    <w:p>
      <w:pPr>
        <w:pStyle w:val="9"/>
        <w:snapToGrid w:val="0"/>
        <w:spacing w:before="0" w:beforeLines="0" w:line="560" w:lineRule="exact"/>
        <w:ind w:firstLine="0" w:firstLineChars="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请保荐机构和申报会计师对上述事项进行核查并发表意见，同时说明对各期末存货数量具体核查过程、结论、具体核查方法、过程、结果，对存在差异部分的替代核查程序，并说明相关核查是否充分。</w:t>
      </w:r>
    </w:p>
    <w:p>
      <w:pPr>
        <w:spacing w:line="560" w:lineRule="exact"/>
        <w:rPr>
          <w:rFonts w:hint="eastAsia" w:ascii="方正仿宋简体" w:hAnsi="宋体" w:eastAsia="方正仿宋简体"/>
          <w:b/>
          <w:sz w:val="30"/>
          <w:szCs w:val="30"/>
        </w:rPr>
      </w:pPr>
    </w:p>
    <w:p>
      <w:pPr>
        <w:numPr>
          <w:ilvl w:val="0"/>
          <w:numId w:val="2"/>
        </w:numPr>
        <w:spacing w:line="560" w:lineRule="exact"/>
        <w:ind w:firstLine="602"/>
        <w:rPr>
          <w:rFonts w:hint="eastAsia" w:ascii="方正仿宋简体" w:hAnsi="宋体" w:eastAsia="方正仿宋简体"/>
          <w:b/>
          <w:sz w:val="30"/>
          <w:szCs w:val="30"/>
        </w:rPr>
      </w:pPr>
      <w:r>
        <w:rPr>
          <w:rFonts w:hint="eastAsia" w:ascii="方正仿宋简体" w:hAnsi="宋体" w:eastAsia="方正仿宋简体"/>
          <w:b/>
          <w:sz w:val="30"/>
          <w:szCs w:val="30"/>
        </w:rPr>
        <w:t>与财务会计资料相关的问题</w:t>
      </w:r>
    </w:p>
    <w:p>
      <w:pPr>
        <w:pStyle w:val="9"/>
        <w:snapToGrid w:val="0"/>
        <w:spacing w:before="0" w:beforeLines="0" w:line="560" w:lineRule="exact"/>
        <w:ind w:firstLine="0" w:firstLineChars="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34、根据招股说明书披露，报告期各期末发行人预付款项余额分别为62.52万元、2,085.41万元、1,555.21万元和788.15万元。请发行人补充披露预付款项期后确认资产或费用的情况。请保荐机构和申报会计师对上述事项进行核查并发表意见。</w:t>
      </w:r>
    </w:p>
    <w:p>
      <w:pPr>
        <w:pStyle w:val="9"/>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35、根据招股说明书披露，报告期各期末发行人固定资产账面价值分别为 2,817.25万元、3,472.47万元、2,898.07万元及2,703.38万元。请发行人：</w:t>
      </w:r>
    </w:p>
    <w:p>
      <w:pPr>
        <w:pStyle w:val="9"/>
        <w:numPr>
          <w:ilvl w:val="0"/>
          <w:numId w:val="19"/>
        </w:numPr>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补充说明报告期内在建工程的投资内容、投资金额、投资期限、累计发生额、转固金额、成本归集、结转情况以及上述归集是否包含与该项目无关的支出、是否存在资本化利息等情况；</w:t>
      </w:r>
    </w:p>
    <w:p>
      <w:pPr>
        <w:pStyle w:val="9"/>
        <w:numPr>
          <w:ilvl w:val="0"/>
          <w:numId w:val="19"/>
        </w:numPr>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补充说明转固的范围、条件、时点、依据、成本计量确认、开始计提折旧的时间等是否符合《企业会计准则》的规定；</w:t>
      </w:r>
    </w:p>
    <w:p>
      <w:pPr>
        <w:pStyle w:val="9"/>
        <w:numPr>
          <w:ilvl w:val="0"/>
          <w:numId w:val="19"/>
        </w:numPr>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结合行业特点和实际经营情况，补充说明固定资产预计使用年限是否谨慎，与报告期内产能产量、经营规模变化是否匹配；</w:t>
      </w:r>
    </w:p>
    <w:p>
      <w:pPr>
        <w:pStyle w:val="9"/>
        <w:numPr>
          <w:ilvl w:val="0"/>
          <w:numId w:val="19"/>
        </w:numPr>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补充说明固定资产折旧政策的合理性，是否存在应计提折旧未计提情况、是否存在应计提减值准备未足额计提的情况；</w:t>
      </w:r>
    </w:p>
    <w:p>
      <w:pPr>
        <w:pStyle w:val="9"/>
        <w:numPr>
          <w:ilvl w:val="0"/>
          <w:numId w:val="19"/>
        </w:numPr>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补充说明报告期内各期末固定资产的盘点情况以及是否存在盘亏、毁损、存在故障、公允价值低于账面价值、闲置不用的固定资产、以及其他可能导致固定资产出现减值的情形。</w:t>
      </w:r>
    </w:p>
    <w:p>
      <w:pPr>
        <w:pStyle w:val="9"/>
        <w:numPr>
          <w:ilvl w:val="0"/>
          <w:numId w:val="19"/>
        </w:numPr>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补充披露报告期内长期待摊费用的主要构成及摊销政策。</w:t>
      </w:r>
    </w:p>
    <w:p>
      <w:pPr>
        <w:pStyle w:val="9"/>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请保荐机构、申报会计师对上述问题进行核查并发表意见。</w:t>
      </w:r>
    </w:p>
    <w:p>
      <w:pPr>
        <w:pStyle w:val="9"/>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36、请发行人补充说明各期末预收款项金额较大、波动较大的原因、涉及业务类别情况、与相关业务销售规模是否匹配。请保荐机构、申报会计师对上述问题进行核查并发表明确意见。</w:t>
      </w:r>
    </w:p>
    <w:p>
      <w:pPr>
        <w:pStyle w:val="9"/>
        <w:snapToGrid w:val="0"/>
        <w:spacing w:before="0" w:beforeLines="0"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37、请发行人补充披露报告期各期各项政府补助的明细情况、确认依据、补助单位及原因、款项来源和资金到账时间等情况。请保荐机构、会计师核查政府补助的合法合规性，说明相关会计处理及是否符合《企业会计准则》的规定，并发表明确的核查意见。</w:t>
      </w:r>
    </w:p>
    <w:p>
      <w:p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 xml:space="preserve">38、发行人各报告期末应付账款及应付账款、应付职工薪酬、应交税费较大。请发行人： </w:t>
      </w:r>
    </w:p>
    <w:p>
      <w:pPr>
        <w:numPr>
          <w:ilvl w:val="0"/>
          <w:numId w:val="20"/>
        </w:num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补充说明上述负债项目期末余额与发行人的生产经营规模是否匹配；</w:t>
      </w:r>
    </w:p>
    <w:p>
      <w:pPr>
        <w:numPr>
          <w:ilvl w:val="0"/>
          <w:numId w:val="20"/>
        </w:num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说明发行人应付账款账龄和超期未付款的情况，说明发行人的付款政策是否一贯执行，是否存在占用供应商款项的情况；</w:t>
      </w:r>
    </w:p>
    <w:p>
      <w:pPr>
        <w:numPr>
          <w:ilvl w:val="0"/>
          <w:numId w:val="20"/>
        </w:num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说明应付职工薪酬余额较大且持续增长的原因。</w:t>
      </w:r>
    </w:p>
    <w:p>
      <w:pPr>
        <w:numPr>
          <w:ilvl w:val="0"/>
          <w:numId w:val="20"/>
        </w:num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请发行人按性质披露预收账款的构成，披露报告期各期末预收账款前5名的名称、金额、占比、款项性质、账龄。</w:t>
      </w:r>
    </w:p>
    <w:p>
      <w:pPr>
        <w:autoSpaceDE w:val="0"/>
        <w:autoSpaceDN w:val="0"/>
        <w:snapToGrid w:val="0"/>
        <w:spacing w:line="560" w:lineRule="exact"/>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 xml:space="preserve">    请保荐机构、申报会计师对上述问题进行核查并发表明确意见。</w:t>
      </w:r>
    </w:p>
    <w:p>
      <w:p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39、请发行人补充说明报告期内计入其他流动资产的未申报消费税退税金额与营业成本中消耗原材料数量是否匹配及计算过程。请保荐机构、申报会计师对上述问题进行核查并发表明确意见。</w:t>
      </w:r>
    </w:p>
    <w:p>
      <w:pPr>
        <w:autoSpaceDE w:val="0"/>
        <w:autoSpaceDN w:val="0"/>
        <w:snapToGrid w:val="0"/>
        <w:spacing w:line="560" w:lineRule="exact"/>
        <w:ind w:firstLine="600"/>
        <w:rPr>
          <w:rFonts w:hint="eastAsia" w:ascii="方正仿宋简体" w:hAnsi="宋体" w:eastAsia="方正仿宋简体" w:cs="方正仿宋简体"/>
          <w:sz w:val="30"/>
          <w:szCs w:val="30"/>
        </w:rPr>
      </w:pPr>
      <w:r>
        <w:rPr>
          <w:rFonts w:hint="eastAsia" w:ascii="方正仿宋简体" w:hAnsi="宋体" w:eastAsia="方正仿宋简体" w:cs="方正仿宋简体"/>
          <w:sz w:val="30"/>
          <w:szCs w:val="30"/>
        </w:rPr>
        <w:t>40、报告期内发行人经营性现金流净额波动较大，请发行人补充说明波动的原因。请保荐机构、申报会计师对上述问题进行核查并发表明确意见。</w:t>
      </w:r>
    </w:p>
    <w:p>
      <w:pPr>
        <w:spacing w:line="560" w:lineRule="exact"/>
        <w:rPr>
          <w:rFonts w:hint="eastAsia" w:ascii="方正仿宋简体" w:hAnsi="宋体" w:eastAsia="方正仿宋简体"/>
          <w:b/>
          <w:sz w:val="30"/>
          <w:szCs w:val="30"/>
        </w:rPr>
      </w:pPr>
    </w:p>
    <w:p>
      <w:pPr>
        <w:numPr>
          <w:ilvl w:val="0"/>
          <w:numId w:val="2"/>
        </w:numPr>
        <w:spacing w:line="560" w:lineRule="exact"/>
        <w:ind w:firstLine="602"/>
        <w:rPr>
          <w:rFonts w:hint="eastAsia" w:ascii="方正仿宋简体" w:hAnsi="宋体" w:eastAsia="方正仿宋简体"/>
          <w:b/>
          <w:sz w:val="30"/>
          <w:szCs w:val="30"/>
        </w:rPr>
      </w:pPr>
      <w:r>
        <w:rPr>
          <w:rFonts w:hint="eastAsia" w:ascii="方正仿宋简体" w:hAnsi="宋体" w:eastAsia="方正仿宋简体"/>
          <w:b/>
          <w:sz w:val="30"/>
          <w:szCs w:val="30"/>
        </w:rPr>
        <w:t>其他问题</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41、请保荐机构及相关方面对招股说明书及整套申请文件进行相应的核查，并在反馈意见的回复中说明核查意见。涉及修改的，请书面说明。</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42、请保荐机构根据反馈意见的落实情况及再次履行审慎核查义务后，提出发行保荐书的补充说明及发行人成长性专项意见的补充说明，并相应补充保荐工作报告及工作底稿。</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43、请发行人律师根据反馈意见的落实情况及再次履行审慎核查义务之后，提出法律意见书的补充说明，并相应补充工作底稿。</w:t>
      </w:r>
    </w:p>
    <w:p>
      <w:pPr>
        <w:widowControl/>
        <w:overflowPunct w:val="0"/>
        <w:spacing w:line="560" w:lineRule="exact"/>
        <w:ind w:firstLine="600"/>
        <w:rPr>
          <w:rFonts w:hint="eastAsia" w:ascii="方正仿宋简体" w:hAnsi="宋体" w:eastAsia="方正仿宋简体"/>
          <w:bCs/>
          <w:color w:val="000000"/>
          <w:sz w:val="30"/>
          <w:szCs w:val="30"/>
        </w:rPr>
      </w:pPr>
      <w:r>
        <w:rPr>
          <w:rFonts w:hint="eastAsia" w:ascii="方正仿宋简体" w:hAnsi="宋体" w:eastAsia="方正仿宋简体"/>
          <w:bCs/>
          <w:color w:val="000000"/>
          <w:sz w:val="30"/>
          <w:szCs w:val="30"/>
        </w:rPr>
        <w:t>44、请申报会计师根据反馈意见的落实情况及再次履行审慎核查义务之后，提供落实反馈意见的专项说明。如需修改审计报告及所附财务报表和附注的，应在上述说明中予以明示。</w:t>
      </w:r>
    </w:p>
    <w:p>
      <w:pPr>
        <w:spacing w:line="560" w:lineRule="exact"/>
        <w:rPr>
          <w:rFonts w:hint="eastAsia" w:ascii="方正仿宋简体" w:eastAsia="方正仿宋简体"/>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Align="top"/>
      <w:pBdr>
        <w:between w:val="none" w:color="auto" w:sz="50" w:space="0"/>
      </w:pBdr>
    </w:pPr>
    <w:r>
      <w:fldChar w:fldCharType="begin"/>
    </w:r>
    <w:r>
      <w:rPr>
        <w:rStyle w:val="8"/>
        <w:rFonts w:hint="default"/>
      </w:rPr>
      <w:instrText xml:space="preserve"> PAGE  </w:instrText>
    </w:r>
    <w:r>
      <w:fldChar w:fldCharType="separate"/>
    </w:r>
    <w:r>
      <w:rPr>
        <w:rStyle w:val="8"/>
        <w:rFonts w:hint="default"/>
        <w:lang/>
      </w:rPr>
      <w:t>25</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pStyle w:val="12"/>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Times New Roman" w:hAnsi="Times New Roman" w:eastAsia="方正仿宋简体" w:cs="Times New Roman"/>
      </w:rPr>
    </w:lvl>
    <w:lvl w:ilvl="2" w:tentative="0">
      <w:start w:val="1"/>
      <w:numFmt w:val="decimal"/>
      <w:suff w:val="nothing"/>
      <w:lvlText w:val="%3、"/>
      <w:lvlJc w:val="left"/>
      <w:pPr>
        <w:ind w:left="0" w:firstLine="400"/>
      </w:pPr>
      <w:rPr>
        <w:rFonts w:hint="eastAsia" w:ascii="Times New Roman" w:hAnsi="Times New Roman" w:eastAsia="宋体" w:cs="Times New Roman"/>
      </w:rPr>
    </w:lvl>
    <w:lvl w:ilvl="3" w:tentative="0">
      <w:start w:val="1"/>
      <w:numFmt w:val="decimal"/>
      <w:suff w:val="nothing"/>
      <w:lvlText w:val="（%4）"/>
      <w:lvlJc w:val="left"/>
      <w:pPr>
        <w:ind w:left="0" w:firstLine="402"/>
      </w:pPr>
      <w:rPr>
        <w:rFonts w:hint="eastAsia" w:ascii="Calibri" w:hAnsi="宋体" w:eastAsia="宋体" w:cs="Times New Roman"/>
      </w:rPr>
    </w:lvl>
    <w:lvl w:ilvl="4" w:tentative="0">
      <w:start w:val="1"/>
      <w:numFmt w:val="decimalEnclosedCircleChinese"/>
      <w:suff w:val="nothing"/>
      <w:lvlText w:val="%5"/>
      <w:lvlJc w:val="left"/>
      <w:pPr>
        <w:ind w:left="0" w:firstLine="402"/>
      </w:pPr>
      <w:rPr>
        <w:rFonts w:hint="eastAsia" w:ascii="Calibri" w:hAnsi="宋体" w:eastAsia="宋体" w:cs="Times New Roman"/>
      </w:rPr>
    </w:lvl>
    <w:lvl w:ilvl="5" w:tentative="0">
      <w:start w:val="1"/>
      <w:numFmt w:val="upperLetter"/>
      <w:suff w:val="nothing"/>
      <w:lvlText w:val="%6、"/>
      <w:lvlJc w:val="left"/>
      <w:pPr>
        <w:ind w:left="0" w:firstLine="402"/>
      </w:pPr>
      <w:rPr>
        <w:rFonts w:hint="eastAsia" w:ascii="Calibri" w:hAnsi="宋体" w:eastAsia="宋体" w:cs="Times New Roman"/>
      </w:rPr>
    </w:lvl>
    <w:lvl w:ilvl="6" w:tentative="0">
      <w:start w:val="1"/>
      <w:numFmt w:val="lowerLetter"/>
      <w:suff w:val="nothing"/>
      <w:lvlText w:val="%7、"/>
      <w:lvlJc w:val="left"/>
      <w:pPr>
        <w:ind w:left="0" w:firstLine="402"/>
      </w:pPr>
      <w:rPr>
        <w:rFonts w:hint="eastAsia" w:ascii="Calibri" w:hAnsi="宋体" w:eastAsia="宋体" w:cs="Times New Roman"/>
      </w:rPr>
    </w:lvl>
    <w:lvl w:ilvl="7" w:tentative="0">
      <w:start w:val="1"/>
      <w:numFmt w:val="upperRoman"/>
      <w:suff w:val="nothing"/>
      <w:lvlText w:val="%8、"/>
      <w:lvlJc w:val="left"/>
      <w:pPr>
        <w:ind w:left="0" w:firstLine="402"/>
      </w:pPr>
      <w:rPr>
        <w:rFonts w:hint="eastAsia" w:ascii="Calibri" w:hAnsi="宋体" w:eastAsia="宋体" w:cs="Times New Roman"/>
      </w:rPr>
    </w:lvl>
    <w:lvl w:ilvl="8" w:tentative="0">
      <w:start w:val="1"/>
      <w:numFmt w:val="lowerRoman"/>
      <w:suff w:val="nothing"/>
      <w:lvlText w:val="%9 、"/>
      <w:lvlJc w:val="left"/>
      <w:pPr>
        <w:ind w:left="0" w:firstLine="402"/>
      </w:pPr>
      <w:rPr>
        <w:rFonts w:hint="eastAsia" w:ascii="Times New Roman" w:hAnsi="Times New Roman" w:eastAsia="华文仿宋" w:cs="Times New Roman"/>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A"/>
    <w:multiLevelType w:val="singleLevel"/>
    <w:tmpl w:val="0000000A"/>
    <w:lvl w:ilvl="0" w:tentative="0">
      <w:start w:val="3"/>
      <w:numFmt w:val="decimal"/>
      <w:suff w:val="nothing"/>
      <w:lvlText w:val="%1、"/>
      <w:lvlJc w:val="left"/>
    </w:lvl>
  </w:abstractNum>
  <w:abstractNum w:abstractNumId="4">
    <w:nsid w:val="0000000C"/>
    <w:multiLevelType w:val="singleLevel"/>
    <w:tmpl w:val="0000000C"/>
    <w:lvl w:ilvl="0" w:tentative="0">
      <w:start w:val="31"/>
      <w:numFmt w:val="decimal"/>
      <w:suff w:val="nothing"/>
      <w:lvlText w:val="%1、"/>
      <w:lvlJc w:val="left"/>
    </w:lvl>
  </w:abstractNum>
  <w:abstractNum w:abstractNumId="5">
    <w:nsid w:val="0000000D"/>
    <w:multiLevelType w:val="singleLevel"/>
    <w:tmpl w:val="0000000D"/>
    <w:lvl w:ilvl="0" w:tentative="0">
      <w:start w:val="1"/>
      <w:numFmt w:val="decimal"/>
      <w:suff w:val="nothing"/>
      <w:lvlText w:val="（%1）"/>
      <w:lvlJc w:val="left"/>
    </w:lvl>
  </w:abstractNum>
  <w:abstractNum w:abstractNumId="6">
    <w:nsid w:val="0000000E"/>
    <w:multiLevelType w:val="singleLevel"/>
    <w:tmpl w:val="0000000E"/>
    <w:lvl w:ilvl="0" w:tentative="0">
      <w:start w:val="1"/>
      <w:numFmt w:val="decimal"/>
      <w:suff w:val="nothing"/>
      <w:lvlText w:val="（%1）"/>
      <w:lvlJc w:val="left"/>
    </w:lvl>
  </w:abstractNum>
  <w:abstractNum w:abstractNumId="7">
    <w:nsid w:val="0000000F"/>
    <w:multiLevelType w:val="singleLevel"/>
    <w:tmpl w:val="0000000F"/>
    <w:lvl w:ilvl="0" w:tentative="0">
      <w:start w:val="1"/>
      <w:numFmt w:val="decimal"/>
      <w:suff w:val="nothing"/>
      <w:lvlText w:val="（%1）"/>
      <w:lvlJc w:val="left"/>
    </w:lvl>
  </w:abstractNum>
  <w:abstractNum w:abstractNumId="8">
    <w:nsid w:val="00000010"/>
    <w:multiLevelType w:val="singleLevel"/>
    <w:tmpl w:val="00000010"/>
    <w:lvl w:ilvl="0" w:tentative="0">
      <w:start w:val="1"/>
      <w:numFmt w:val="decimal"/>
      <w:suff w:val="nothing"/>
      <w:lvlText w:val="（%1）"/>
      <w:lvlJc w:val="left"/>
    </w:lvl>
  </w:abstractNum>
  <w:abstractNum w:abstractNumId="9">
    <w:nsid w:val="00000011"/>
    <w:multiLevelType w:val="singleLevel"/>
    <w:tmpl w:val="00000011"/>
    <w:lvl w:ilvl="0" w:tentative="0">
      <w:start w:val="1"/>
      <w:numFmt w:val="decimal"/>
      <w:suff w:val="nothing"/>
      <w:lvlText w:val="（%1）"/>
      <w:lvlJc w:val="left"/>
    </w:lvl>
  </w:abstractNum>
  <w:abstractNum w:abstractNumId="10">
    <w:nsid w:val="00000012"/>
    <w:multiLevelType w:val="singleLevel"/>
    <w:tmpl w:val="00000012"/>
    <w:lvl w:ilvl="0" w:tentative="0">
      <w:start w:val="1"/>
      <w:numFmt w:val="decimal"/>
      <w:suff w:val="nothing"/>
      <w:lvlText w:val="（%1）"/>
      <w:lvlJc w:val="left"/>
    </w:lvl>
  </w:abstractNum>
  <w:abstractNum w:abstractNumId="11">
    <w:nsid w:val="00000013"/>
    <w:multiLevelType w:val="singleLevel"/>
    <w:tmpl w:val="00000013"/>
    <w:lvl w:ilvl="0" w:tentative="0">
      <w:start w:val="1"/>
      <w:numFmt w:val="chineseCounting"/>
      <w:suff w:val="nothing"/>
      <w:lvlText w:val="%1、"/>
      <w:lvlJc w:val="left"/>
    </w:lvl>
  </w:abstractNum>
  <w:abstractNum w:abstractNumId="12">
    <w:nsid w:val="00000014"/>
    <w:multiLevelType w:val="singleLevel"/>
    <w:tmpl w:val="00000014"/>
    <w:lvl w:ilvl="0" w:tentative="0">
      <w:start w:val="1"/>
      <w:numFmt w:val="decimal"/>
      <w:suff w:val="nothing"/>
      <w:lvlText w:val="（%1）"/>
      <w:lvlJc w:val="left"/>
    </w:lvl>
  </w:abstractNum>
  <w:abstractNum w:abstractNumId="13">
    <w:nsid w:val="00000016"/>
    <w:multiLevelType w:val="singleLevel"/>
    <w:tmpl w:val="00000016"/>
    <w:lvl w:ilvl="0" w:tentative="0">
      <w:start w:val="1"/>
      <w:numFmt w:val="decimal"/>
      <w:suff w:val="nothing"/>
      <w:lvlText w:val="（%1）"/>
      <w:lvlJc w:val="left"/>
    </w:lvl>
  </w:abstractNum>
  <w:abstractNum w:abstractNumId="14">
    <w:nsid w:val="0000001C"/>
    <w:multiLevelType w:val="singleLevel"/>
    <w:tmpl w:val="0000001C"/>
    <w:lvl w:ilvl="0" w:tentative="0">
      <w:start w:val="1"/>
      <w:numFmt w:val="decimal"/>
      <w:suff w:val="nothing"/>
      <w:lvlText w:val="（%1）"/>
      <w:lvlJc w:val="left"/>
    </w:lvl>
  </w:abstractNum>
  <w:abstractNum w:abstractNumId="15">
    <w:nsid w:val="0000001D"/>
    <w:multiLevelType w:val="singleLevel"/>
    <w:tmpl w:val="0000001D"/>
    <w:lvl w:ilvl="0" w:tentative="0">
      <w:start w:val="1"/>
      <w:numFmt w:val="decimal"/>
      <w:suff w:val="nothing"/>
      <w:lvlText w:val="（%1）"/>
      <w:lvlJc w:val="left"/>
    </w:lvl>
  </w:abstractNum>
  <w:abstractNum w:abstractNumId="16">
    <w:nsid w:val="00000021"/>
    <w:multiLevelType w:val="singleLevel"/>
    <w:tmpl w:val="00000021"/>
    <w:lvl w:ilvl="0" w:tentative="0">
      <w:start w:val="1"/>
      <w:numFmt w:val="decimal"/>
      <w:suff w:val="nothing"/>
      <w:lvlText w:val="（%1）"/>
      <w:lvlJc w:val="left"/>
    </w:lvl>
  </w:abstractNum>
  <w:abstractNum w:abstractNumId="17">
    <w:nsid w:val="00000023"/>
    <w:multiLevelType w:val="singleLevel"/>
    <w:tmpl w:val="00000023"/>
    <w:lvl w:ilvl="0" w:tentative="0">
      <w:start w:val="1"/>
      <w:numFmt w:val="decimal"/>
      <w:suff w:val="nothing"/>
      <w:lvlText w:val="（%1）"/>
      <w:lvlJc w:val="left"/>
    </w:lvl>
  </w:abstractNum>
  <w:abstractNum w:abstractNumId="18">
    <w:nsid w:val="00000025"/>
    <w:multiLevelType w:val="singleLevel"/>
    <w:tmpl w:val="00000025"/>
    <w:lvl w:ilvl="0" w:tentative="0">
      <w:start w:val="1"/>
      <w:numFmt w:val="decimal"/>
      <w:suff w:val="nothing"/>
      <w:lvlText w:val="（%1）"/>
      <w:lvlJc w:val="left"/>
    </w:lvl>
  </w:abstractNum>
  <w:abstractNum w:abstractNumId="19">
    <w:nsid w:val="00000027"/>
    <w:multiLevelType w:val="singleLevel"/>
    <w:tmpl w:val="00000027"/>
    <w:lvl w:ilvl="0" w:tentative="0">
      <w:start w:val="1"/>
      <w:numFmt w:val="decimal"/>
      <w:suff w:val="nothing"/>
      <w:lvlText w:val="（%1）"/>
      <w:lvlJc w:val="left"/>
    </w:lvl>
  </w:abstractNum>
  <w:num w:numId="1">
    <w:abstractNumId w:val="0"/>
  </w:num>
  <w:num w:numId="2">
    <w:abstractNumId w:val="11"/>
  </w:num>
  <w:num w:numId="3">
    <w:abstractNumId w:val="7"/>
  </w:num>
  <w:num w:numId="4">
    <w:abstractNumId w:val="15"/>
  </w:num>
  <w:num w:numId="5">
    <w:abstractNumId w:val="3"/>
  </w:num>
  <w:num w:numId="6">
    <w:abstractNumId w:val="12"/>
  </w:num>
  <w:num w:numId="7">
    <w:abstractNumId w:val="18"/>
  </w:num>
  <w:num w:numId="8">
    <w:abstractNumId w:val="13"/>
  </w:num>
  <w:num w:numId="9">
    <w:abstractNumId w:val="1"/>
  </w:num>
  <w:num w:numId="10">
    <w:abstractNumId w:val="2"/>
  </w:num>
  <w:num w:numId="11">
    <w:abstractNumId w:val="16"/>
  </w:num>
  <w:num w:numId="12">
    <w:abstractNumId w:val="9"/>
  </w:num>
  <w:num w:numId="13">
    <w:abstractNumId w:val="19"/>
  </w:num>
  <w:num w:numId="14">
    <w:abstractNumId w:val="14"/>
  </w:num>
  <w:num w:numId="15">
    <w:abstractNumId w:val="10"/>
  </w:num>
  <w:num w:numId="16">
    <w:abstractNumId w:val="4"/>
  </w:num>
  <w:num w:numId="17">
    <w:abstractNumId w:val="5"/>
  </w:num>
  <w:num w:numId="18">
    <w:abstractNumId w:val="8"/>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8426F"/>
    <w:rsid w:val="0097056E"/>
    <w:rsid w:val="30A432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7">
    <w:name w:val="Default Paragraph Font"/>
    <w:uiPriority w:val="0"/>
  </w:style>
  <w:style w:type="table" w:default="1" w:styleId="6">
    <w:name w:val="Normal Table"/>
    <w:semiHidden/>
    <w:unhideWhenUsed/>
    <w:uiPriority w:val="99"/>
    <w:tblPr>
      <w:tblStyle w:val="6"/>
      <w:tblCellMar>
        <w:top w:w="0" w:type="dxa"/>
        <w:left w:w="108" w:type="dxa"/>
        <w:bottom w:w="0" w:type="dxa"/>
        <w:right w:w="108" w:type="dxa"/>
      </w:tblCellMar>
    </w:tblPr>
    <w:trPr>
      <w:wBefore w:w="0" w:type="dxa"/>
    </w:trPr>
  </w:style>
  <w:style w:type="paragraph" w:styleId="2">
    <w:name w:val="Body Text"/>
    <w:basedOn w:val="1"/>
    <w:uiPriority w:val="0"/>
    <w:pPr>
      <w:spacing w:after="120" w:afterLines="0" w:afterAutospacing="0"/>
    </w:pPr>
  </w:style>
  <w:style w:type="paragraph" w:styleId="3">
    <w:name w:val="Balloon Text"/>
    <w:basedOn w:val="1"/>
    <w:link w:val="13"/>
    <w:semiHidden/>
    <w:unhideWhenUsed/>
    <w:uiPriority w:val="99"/>
    <w:rPr>
      <w:sz w:val="18"/>
      <w:szCs w:val="18"/>
    </w:rPr>
  </w:style>
  <w:style w:type="paragraph" w:styleId="4">
    <w:name w:val="footer"/>
    <w:basedOn w:val="1"/>
    <w:uiPriority w:val="0"/>
    <w:pPr>
      <w:tabs>
        <w:tab w:val="center" w:pos="4153"/>
        <w:tab w:val="right" w:pos="8306"/>
      </w:tabs>
      <w:snapToGrid w:val="0"/>
      <w:jc w:val="left"/>
    </w:pPr>
    <w:rPr>
      <w:rFonts w:eastAsia="宋体"/>
      <w:kern w:val="2"/>
      <w:sz w:val="18"/>
      <w:lang w:val="en-US" w:eastAsia="zh-CN"/>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uiPriority w:val="0"/>
    <w:rPr>
      <w:rFonts w:hint="eastAsia"/>
    </w:rPr>
  </w:style>
  <w:style w:type="paragraph" w:customStyle="1" w:styleId="9">
    <w:name w:val="005正文"/>
    <w:basedOn w:val="1"/>
    <w:uiPriority w:val="0"/>
    <w:pPr>
      <w:spacing w:before="156" w:beforeLines="50" w:line="360" w:lineRule="auto"/>
      <w:ind w:firstLine="200" w:firstLineChars="200"/>
    </w:pPr>
    <w:rPr>
      <w:rFonts w:ascii="Times New Roman" w:hAnsi="Times New Roman" w:eastAsia="宋体"/>
      <w:sz w:val="24"/>
    </w:rPr>
  </w:style>
  <w:style w:type="paragraph" w:customStyle="1" w:styleId="10">
    <w:name w:val="缺省文本"/>
    <w:basedOn w:val="1"/>
    <w:uiPriority w:val="0"/>
    <w:pPr>
      <w:tabs>
        <w:tab w:val="left" w:pos="639"/>
        <w:tab w:val="center" w:pos="5670"/>
        <w:tab w:val="right" w:pos="7655"/>
      </w:tabs>
      <w:spacing w:before="80" w:beforeLines="0" w:beforeAutospacing="0" w:after="120" w:afterLines="0" w:afterAutospacing="0" w:line="360" w:lineRule="atLeast"/>
      <w:outlineLvl w:val="7"/>
    </w:pPr>
    <w:rPr>
      <w:rFonts w:hint="eastAsia"/>
      <w:spacing w:val="4"/>
      <w:kern w:val="28"/>
      <w:sz w:val="28"/>
    </w:rPr>
  </w:style>
  <w:style w:type="paragraph" w:customStyle="1" w:styleId="11">
    <w:name w:val=" Char Char Char Char Char Char Char"/>
    <w:basedOn w:val="1"/>
    <w:uiPriority w:val="0"/>
    <w:pPr>
      <w:spacing w:before="0" w:beforeLines="0" w:beforeAutospacing="0" w:after="0" w:afterLines="0" w:afterAutospacing="0" w:line="240" w:lineRule="auto"/>
      <w:ind w:firstLine="0" w:firstLineChars="0"/>
    </w:pPr>
  </w:style>
  <w:style w:type="paragraph" w:customStyle="1" w:styleId="12">
    <w:name w:val="样式2"/>
    <w:basedOn w:val="2"/>
    <w:uiPriority w:val="0"/>
    <w:pPr>
      <w:numPr>
        <w:ilvl w:val="0"/>
        <w:numId w:val="1"/>
      </w:numPr>
      <w:spacing w:line="460" w:lineRule="exact"/>
      <w:ind w:leftChars="200"/>
    </w:pPr>
    <w:rPr>
      <w:rFonts w:ascii="Times New Roman" w:hAnsi="Times New Roman" w:eastAsia="方正仿宋简体"/>
      <w:sz w:val="24"/>
    </w:rPr>
  </w:style>
  <w:style w:type="character" w:customStyle="1" w:styleId="13">
    <w:name w:val="批注框文本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1958</Words>
  <Characters>11166</Characters>
  <Lines>93</Lines>
  <Paragraphs>26</Paragraphs>
  <TotalTime>0</TotalTime>
  <ScaleCrop>false</ScaleCrop>
  <LinksUpToDate>false</LinksUpToDate>
  <CharactersWithSpaces>13098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2018-12-25T03:15:00Z</dcterms:created>
  <dc:creator>曲琳</dc:creator>
  <cp:lastModifiedBy>86135</cp:lastModifiedBy>
  <dcterms:modified xsi:type="dcterms:W3CDTF">2022-08-17T09:02:55Z</dcterms:modified>
  <dc:title>山东东岳有机硅材料股份有限公司首次公开发行股票并在创业板上市申请文件反馈意见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0F5B924EEDD64DDDB96025BC86E7A17D</vt:lpwstr>
  </property>
</Properties>
</file>