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autoSpaceDE/>
        <w:autoSpaceDN w:val="0"/>
        <w:jc w:val="both"/>
        <w:rPr>
          <w:rFonts w:hint="eastAsia" w:ascii="宋体" w:hAnsi="宋体"/>
          <w:snapToGrid/>
          <w:color w:val="000000"/>
          <w:sz w:val="28"/>
          <w:lang w:val="en-US" w:eastAsia="zh-CN"/>
        </w:rPr>
      </w:pPr>
      <w:bookmarkStart w:id="0" w:name="_GoBack"/>
      <w:bookmarkEnd w:id="0"/>
      <w:r>
        <w:rPr>
          <w:rFonts w:hint="default" w:ascii="宋体" w:hAnsi="宋体" w:eastAsia="宋体"/>
          <w:snapToGrid/>
          <w:color w:val="000000"/>
          <w:sz w:val="28"/>
          <w:lang w:eastAsia="zh-CN"/>
        </w:rPr>
        <w:t>附件</w:t>
      </w:r>
      <w:r>
        <w:rPr>
          <w:rFonts w:hint="eastAsia" w:ascii="宋体" w:hAnsi="宋体" w:eastAsia="宋体"/>
          <w:snapToGrid/>
          <w:color w:val="000000"/>
          <w:sz w:val="28"/>
          <w:lang w:val="en-US" w:eastAsia="zh-CN"/>
        </w:rPr>
        <w:t>3:</w:t>
      </w:r>
    </w:p>
    <w:p>
      <w:pPr>
        <w:keepNext w:val="0"/>
        <w:keepLines w:val="0"/>
        <w:pageBreakBefore w:val="0"/>
        <w:shd w:val="clear" w:color="auto" w:fill="auto"/>
        <w:kinsoku/>
        <w:wordWrap/>
        <w:overflowPunct/>
        <w:topLinePunct w:val="0"/>
        <w:autoSpaceDE/>
        <w:bidi w:val="0"/>
        <w:snapToGrid/>
        <w:spacing w:before="0" w:beforeLines="0" w:beforeAutospacing="0" w:after="0" w:afterLines="0" w:afterAutospacing="0" w:line="240" w:lineRule="auto"/>
        <w:ind w:rightChars="0"/>
        <w:jc w:val="center"/>
        <w:textAlignment w:val="auto"/>
        <w:rPr>
          <w:rFonts w:hint="eastAsia" w:ascii="宋体" w:hAnsi="宋体" w:eastAsia="宋体" w:cs="宋体"/>
          <w:b/>
          <w:bCs w:val="0"/>
          <w:color w:val="auto"/>
          <w:sz w:val="36"/>
          <w:szCs w:val="36"/>
          <w:highlight w:val="none"/>
        </w:rPr>
      </w:pPr>
    </w:p>
    <w:p>
      <w:pPr>
        <w:keepNext w:val="0"/>
        <w:keepLines w:val="0"/>
        <w:pageBreakBefore w:val="0"/>
        <w:shd w:val="clear" w:color="auto" w:fill="auto"/>
        <w:kinsoku/>
        <w:wordWrap/>
        <w:overflowPunct/>
        <w:topLinePunct w:val="0"/>
        <w:autoSpaceDE/>
        <w:bidi w:val="0"/>
        <w:snapToGrid/>
        <w:spacing w:before="0" w:beforeLines="0" w:beforeAutospacing="0" w:after="0" w:afterLines="0" w:afterAutospacing="0" w:line="240" w:lineRule="auto"/>
        <w:ind w:rightChars="0"/>
        <w:jc w:val="center"/>
        <w:textAlignment w:val="auto"/>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rPr>
        <w:t>关于建议同意</w:t>
      </w:r>
      <w:r>
        <w:rPr>
          <w:rFonts w:hint="eastAsia" w:ascii="宋体" w:hAnsi="宋体" w:eastAsia="宋体" w:cs="宋体"/>
          <w:b/>
          <w:bCs w:val="0"/>
          <w:color w:val="auto"/>
          <w:sz w:val="36"/>
          <w:szCs w:val="36"/>
          <w:highlight w:val="none"/>
          <w:lang w:eastAsia="zh-CN"/>
        </w:rPr>
        <w:t>广东博罗农村商业银行股份有限公司向特定对象发行股票</w:t>
      </w:r>
      <w:r>
        <w:rPr>
          <w:rFonts w:hint="eastAsia" w:ascii="宋体" w:hAnsi="宋体" w:eastAsia="宋体" w:cs="宋体"/>
          <w:b/>
          <w:bCs w:val="0"/>
          <w:color w:val="auto"/>
          <w:sz w:val="36"/>
          <w:szCs w:val="36"/>
          <w:highlight w:val="none"/>
        </w:rPr>
        <w:t>的</w:t>
      </w:r>
      <w:r>
        <w:rPr>
          <w:rFonts w:hint="eastAsia" w:ascii="宋体" w:hAnsi="宋体" w:eastAsia="宋体" w:cs="宋体"/>
          <w:b/>
          <w:bCs w:val="0"/>
          <w:color w:val="auto"/>
          <w:sz w:val="36"/>
          <w:szCs w:val="36"/>
          <w:highlight w:val="none"/>
          <w:lang w:eastAsia="zh-CN"/>
        </w:rPr>
        <w:t>审核意见</w:t>
      </w:r>
    </w:p>
    <w:p>
      <w:pPr>
        <w:keepNext w:val="0"/>
        <w:keepLines w:val="0"/>
        <w:pageBreakBefore w:val="0"/>
        <w:numPr>
          <w:ilvl w:val="0"/>
          <w:numId w:val="0"/>
        </w:numPr>
        <w:shd w:val="clear" w:color="auto" w:fill="auto"/>
        <w:kinsoku/>
        <w:wordWrap/>
        <w:overflowPunct/>
        <w:topLinePunct w:val="0"/>
        <w:autoSpaceDE/>
        <w:bidi w:val="0"/>
        <w:snapToGrid/>
        <w:spacing w:before="0" w:beforeLines="0" w:beforeAutospacing="0" w:after="0" w:afterLines="0" w:afterAutospacing="0" w:line="240" w:lineRule="auto"/>
        <w:ind w:right="0" w:rightChars="0"/>
        <w:jc w:val="left"/>
        <w:textAlignment w:val="auto"/>
        <w:rPr>
          <w:rFonts w:hint="eastAsia" w:ascii="宋体" w:hAnsi="宋体" w:eastAsia="宋体" w:cs="宋体"/>
          <w:b/>
          <w:bCs w:val="0"/>
          <w:color w:val="auto"/>
          <w:sz w:val="32"/>
          <w:szCs w:val="32"/>
          <w:highlight w:val="none"/>
          <w:lang w:eastAsia="zh-CN"/>
        </w:rPr>
      </w:pPr>
    </w:p>
    <w:p>
      <w:pPr>
        <w:keepNext w:val="0"/>
        <w:keepLines w:val="0"/>
        <w:pageBreakBefore w:val="0"/>
        <w:numPr>
          <w:ilvl w:val="0"/>
          <w:numId w:val="0"/>
        </w:numPr>
        <w:shd w:val="clear" w:color="auto" w:fill="auto"/>
        <w:kinsoku/>
        <w:wordWrap/>
        <w:overflowPunct/>
        <w:topLinePunct w:val="0"/>
        <w:autoSpaceDE/>
        <w:bidi w:val="0"/>
        <w:snapToGrid/>
        <w:spacing w:before="0" w:beforeLines="0" w:beforeAutospacing="0" w:after="0" w:afterLines="0" w:afterAutospacing="0" w:line="240" w:lineRule="auto"/>
        <w:ind w:left="420" w:leftChars="200" w:rightChars="0" w:firstLine="0" w:firstLineChars="0"/>
        <w:jc w:val="left"/>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lang w:eastAsia="zh-CN"/>
        </w:rPr>
        <w:t>一、审核情况</w:t>
      </w:r>
    </w:p>
    <w:p>
      <w:pPr>
        <w:keepNext w:val="0"/>
        <w:keepLines w:val="0"/>
        <w:pageBreakBefore w:val="0"/>
        <w:numPr>
          <w:ilvl w:val="0"/>
          <w:numId w:val="1"/>
        </w:numPr>
        <w:shd w:val="clear" w:color="auto" w:fill="auto"/>
        <w:kinsoku/>
        <w:wordWrap/>
        <w:overflowPunct/>
        <w:topLinePunct w:val="0"/>
        <w:autoSpaceDE/>
        <w:bidi w:val="0"/>
        <w:snapToGrid/>
        <w:spacing w:before="0" w:beforeLines="0" w:beforeAutospacing="0" w:after="0" w:afterLines="0" w:afterAutospacing="0" w:line="240" w:lineRule="auto"/>
        <w:ind w:left="0" w:leftChars="0" w:right="0" w:rightChars="0" w:firstLine="416" w:firstLineChars="139"/>
        <w:jc w:val="left"/>
        <w:textAlignment w:val="auto"/>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lang w:eastAsia="zh-CN"/>
        </w:rPr>
        <w:t>申请人基本情况</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after="0" w:afterLines="0" w:line="240" w:lineRule="auto"/>
        <w:ind w:left="0" w:leftChars="0" w:right="0" w:rightChars="0" w:firstLine="600" w:firstLineChars="200"/>
        <w:jc w:val="both"/>
        <w:textAlignment w:val="auto"/>
        <w:rPr>
          <w:rFonts w:hint="eastAsia" w:ascii="仿宋_GB2312" w:hAnsi="仿宋_GB2312" w:eastAsia="仿宋_GB2312"/>
          <w:color w:val="auto"/>
          <w:sz w:val="30"/>
          <w:lang w:eastAsia="zh-CN"/>
        </w:rPr>
      </w:pPr>
      <w:r>
        <w:rPr>
          <w:rFonts w:hint="eastAsia" w:ascii="仿宋_GB2312" w:hAnsi="仿宋_GB2312" w:eastAsia="仿宋_GB2312"/>
          <w:color w:val="auto"/>
          <w:sz w:val="30"/>
          <w:lang w:eastAsia="zh-CN"/>
        </w:rPr>
        <w:t>申请人全称为“广东博罗农村商业银行股份有限公司”，成立于</w:t>
      </w:r>
      <w:r>
        <w:rPr>
          <w:rFonts w:hint="eastAsia" w:ascii="仿宋_GB2312" w:hAnsi="仿宋_GB2312" w:eastAsia="仿宋_GB2312"/>
          <w:color w:val="auto"/>
          <w:sz w:val="30"/>
          <w:lang w:val="en-US" w:eastAsia="zh-CN"/>
        </w:rPr>
        <w:t>1991年4月3日</w:t>
      </w:r>
      <w:r>
        <w:rPr>
          <w:rFonts w:hint="eastAsia" w:ascii="仿宋_GB2312" w:hAnsi="仿宋_GB2312" w:eastAsia="仿宋_GB2312"/>
          <w:color w:val="auto"/>
          <w:sz w:val="30"/>
          <w:lang w:eastAsia="zh-CN"/>
        </w:rPr>
        <w:t>，</w:t>
      </w:r>
      <w:r>
        <w:rPr>
          <w:rFonts w:hint="eastAsia" w:ascii="仿宋_GB2312" w:hAnsi="仿宋_GB2312" w:eastAsia="仿宋_GB2312"/>
          <w:color w:val="auto"/>
          <w:sz w:val="30"/>
          <w:szCs w:val="22"/>
        </w:rPr>
        <w:t>2013年1</w:t>
      </w:r>
      <w:r>
        <w:rPr>
          <w:rFonts w:hint="eastAsia" w:ascii="仿宋_GB2312" w:hAnsi="仿宋_GB2312" w:eastAsia="仿宋_GB2312"/>
          <w:color w:val="auto"/>
          <w:sz w:val="30"/>
          <w:szCs w:val="22"/>
          <w:lang w:val="en-US" w:eastAsia="zh-CN"/>
        </w:rPr>
        <w:t>2</w:t>
      </w:r>
      <w:r>
        <w:rPr>
          <w:rFonts w:hint="eastAsia" w:ascii="仿宋_GB2312" w:hAnsi="仿宋_GB2312" w:eastAsia="仿宋_GB2312"/>
          <w:color w:val="auto"/>
          <w:sz w:val="30"/>
          <w:szCs w:val="22"/>
        </w:rPr>
        <w:t>月12日</w:t>
      </w:r>
      <w:r>
        <w:rPr>
          <w:rFonts w:hint="eastAsia" w:ascii="仿宋_GB2312" w:hAnsi="仿宋_GB2312" w:eastAsia="仿宋_GB2312"/>
          <w:color w:val="auto"/>
          <w:sz w:val="30"/>
          <w:szCs w:val="22"/>
          <w:lang w:eastAsia="zh-CN"/>
        </w:rPr>
        <w:t>改制</w:t>
      </w:r>
      <w:r>
        <w:rPr>
          <w:rFonts w:hint="eastAsia" w:ascii="仿宋_GB2312" w:hAnsi="仿宋_GB2312" w:eastAsia="仿宋_GB2312"/>
          <w:color w:val="auto"/>
          <w:sz w:val="30"/>
          <w:lang w:val="en-US" w:eastAsia="zh-CN"/>
        </w:rPr>
        <w:t>为股份公司</w:t>
      </w:r>
      <w:r>
        <w:rPr>
          <w:rFonts w:hint="eastAsia" w:ascii="仿宋_GB2312" w:hAnsi="仿宋_GB2312" w:eastAsia="仿宋_GB2312"/>
          <w:color w:val="auto"/>
          <w:sz w:val="30"/>
          <w:lang w:eastAsia="zh-CN"/>
        </w:rPr>
        <w:t>，住所地在博罗县罗阳镇商业东街信合大楼</w:t>
      </w:r>
      <w:r>
        <w:rPr>
          <w:rFonts w:hint="eastAsia" w:ascii="仿宋_GB2312" w:hAnsi="仿宋_GB2312" w:eastAsia="仿宋_GB2312"/>
          <w:color w:val="auto"/>
          <w:sz w:val="30"/>
          <w:lang w:val="en-US" w:eastAsia="zh-CN"/>
        </w:rPr>
        <w:t>，</w:t>
      </w:r>
      <w:r>
        <w:rPr>
          <w:rFonts w:hint="eastAsia" w:ascii="仿宋_GB2312" w:hAnsi="仿宋_GB2312" w:eastAsia="仿宋_GB2312"/>
          <w:color w:val="auto"/>
          <w:sz w:val="30"/>
          <w:lang w:eastAsia="zh-CN"/>
        </w:rPr>
        <w:t>目前在广东股权交易中心股份有限公司托管。截至股权登记日（</w:t>
      </w:r>
      <w:r>
        <w:rPr>
          <w:rFonts w:hint="eastAsia" w:ascii="仿宋_GB2312" w:hAnsi="仿宋_GB2312" w:eastAsia="仿宋_GB2312"/>
          <w:sz w:val="30"/>
        </w:rPr>
        <w:t>2018年</w:t>
      </w:r>
      <w:r>
        <w:rPr>
          <w:rFonts w:hint="eastAsia" w:ascii="仿宋_GB2312" w:hAnsi="仿宋_GB2312" w:eastAsia="仿宋_GB2312"/>
          <w:sz w:val="30"/>
          <w:lang w:val="en-US" w:eastAsia="zh-CN"/>
        </w:rPr>
        <w:t>12</w:t>
      </w:r>
      <w:r>
        <w:rPr>
          <w:rFonts w:hint="eastAsia" w:ascii="仿宋_GB2312" w:hAnsi="仿宋_GB2312" w:eastAsia="仿宋_GB2312"/>
          <w:sz w:val="30"/>
        </w:rPr>
        <w:t>月</w:t>
      </w:r>
      <w:r>
        <w:rPr>
          <w:rFonts w:hint="eastAsia" w:ascii="仿宋_GB2312" w:hAnsi="仿宋_GB2312" w:eastAsia="仿宋_GB2312"/>
          <w:sz w:val="30"/>
          <w:lang w:val="en-US" w:eastAsia="zh-CN"/>
        </w:rPr>
        <w:t>31</w:t>
      </w:r>
      <w:r>
        <w:rPr>
          <w:rFonts w:hint="eastAsia" w:ascii="仿宋_GB2312" w:hAnsi="仿宋_GB2312" w:eastAsia="仿宋_GB2312"/>
          <w:sz w:val="30"/>
        </w:rPr>
        <w:t>日</w:t>
      </w:r>
      <w:r>
        <w:rPr>
          <w:rFonts w:hint="eastAsia" w:ascii="仿宋_GB2312" w:hAnsi="仿宋_GB2312" w:eastAsia="仿宋_GB2312"/>
          <w:color w:val="auto"/>
          <w:sz w:val="30"/>
          <w:lang w:eastAsia="zh-CN"/>
        </w:rPr>
        <w:t>），申请人共有股东</w:t>
      </w:r>
      <w:r>
        <w:rPr>
          <w:rFonts w:hint="eastAsia" w:ascii="仿宋_GB2312" w:hAnsi="仿宋_GB2312" w:eastAsia="仿宋_GB2312"/>
          <w:color w:val="auto"/>
          <w:sz w:val="30"/>
          <w:lang w:val="en-US" w:eastAsia="zh-CN"/>
        </w:rPr>
        <w:t>4266户</w:t>
      </w:r>
      <w:r>
        <w:rPr>
          <w:rFonts w:hint="eastAsia" w:ascii="仿宋_GB2312" w:hAnsi="仿宋_GB2312" w:eastAsia="仿宋_GB2312"/>
          <w:color w:val="auto"/>
          <w:sz w:val="30"/>
          <w:lang w:eastAsia="zh-CN"/>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right="0" w:rightChars="0" w:firstLine="600" w:firstLineChars="200"/>
        <w:jc w:val="both"/>
        <w:rPr>
          <w:rFonts w:hint="eastAsia" w:ascii="仿宋_GB2312" w:hAnsi="仿宋_GB2312" w:eastAsia="仿宋_GB2312"/>
          <w:color w:val="auto"/>
          <w:sz w:val="30"/>
          <w:lang w:val="en-US" w:eastAsia="zh-CN"/>
        </w:rPr>
      </w:pPr>
      <w:r>
        <w:rPr>
          <w:rFonts w:hint="eastAsia" w:ascii="仿宋_GB2312" w:hAnsi="仿宋_GB2312" w:eastAsia="仿宋_GB2312"/>
          <w:color w:val="auto"/>
          <w:sz w:val="30"/>
          <w:lang w:eastAsia="zh-CN"/>
        </w:rPr>
        <w:t>申请人</w:t>
      </w:r>
      <w:r>
        <w:rPr>
          <w:rFonts w:hint="eastAsia" w:ascii="仿宋_GB2312" w:hAnsi="仿宋_GB2312" w:eastAsia="仿宋_GB2312"/>
          <w:color w:val="auto"/>
          <w:sz w:val="30"/>
          <w:lang w:val="en-US" w:eastAsia="zh-CN"/>
        </w:rPr>
        <w:t>法定代表人赵爱雄，无控股股东、实际控制人，注册资本为</w:t>
      </w:r>
      <w:r>
        <w:rPr>
          <w:rFonts w:hint="eastAsia" w:ascii="仿宋_GB2312" w:hAnsi="仿宋_GB2312" w:eastAsia="仿宋_GB2312"/>
          <w:sz w:val="30"/>
        </w:rPr>
        <w:t>人民币</w:t>
      </w:r>
      <w:r>
        <w:rPr>
          <w:rFonts w:hint="eastAsia" w:ascii="仿宋_GB2312" w:hAnsi="仿宋_GB2312" w:eastAsia="仿宋_GB2312"/>
          <w:color w:val="auto"/>
          <w:sz w:val="30"/>
          <w:szCs w:val="22"/>
        </w:rPr>
        <w:t>1,203,519,164</w:t>
      </w:r>
      <w:r>
        <w:rPr>
          <w:rFonts w:hint="eastAsia" w:ascii="仿宋_GB2312" w:hAnsi="仿宋_GB2312" w:eastAsia="仿宋_GB2312"/>
          <w:sz w:val="30"/>
        </w:rPr>
        <w:t>元整</w:t>
      </w:r>
      <w:r>
        <w:rPr>
          <w:rFonts w:hint="eastAsia" w:ascii="仿宋_GB2312" w:hAnsi="仿宋_GB2312" w:eastAsia="仿宋_GB2312"/>
          <w:color w:val="auto"/>
          <w:sz w:val="30"/>
          <w:lang w:eastAsia="zh-CN"/>
        </w:rPr>
        <w:t>，总股本为1,203,519,164股。</w:t>
      </w:r>
      <w:r>
        <w:rPr>
          <w:rFonts w:hint="eastAsia" w:ascii="仿宋_GB2312" w:hAnsi="仿宋_GB2312" w:eastAsia="仿宋_GB2312"/>
          <w:color w:val="auto"/>
          <w:sz w:val="30"/>
          <w:lang w:val="en-US" w:eastAsia="zh-CN"/>
        </w:rPr>
        <w:t>申请人主营业务为吸收公众存款；发放短期、中期和长期贷款。</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right="0" w:rightChars="0" w:firstLine="600" w:firstLineChars="200"/>
        <w:jc w:val="both"/>
        <w:rPr>
          <w:rFonts w:hint="eastAsia" w:ascii="仿宋_GB2312" w:hAnsi="仿宋_GB2312" w:eastAsia="仿宋_GB2312"/>
          <w:color w:val="auto"/>
          <w:sz w:val="30"/>
          <w:lang w:val="en-US" w:eastAsia="zh-CN"/>
        </w:rPr>
      </w:pPr>
      <w:r>
        <w:rPr>
          <w:rFonts w:hint="eastAsia" w:ascii="仿宋_GB2312" w:hAnsi="仿宋_GB2312" w:eastAsia="仿宋_GB2312"/>
          <w:color w:val="auto"/>
          <w:sz w:val="30"/>
          <w:lang w:val="en-US" w:eastAsia="zh-CN"/>
        </w:rPr>
        <w:t>（二）审核过程</w:t>
      </w:r>
    </w:p>
    <w:p>
      <w:pPr>
        <w:keepNext w:val="0"/>
        <w:keepLines w:val="0"/>
        <w:pageBreakBefore w:val="0"/>
        <w:widowControl/>
        <w:kinsoku/>
        <w:wordWrap/>
        <w:overflowPunct/>
        <w:topLinePunct w:val="0"/>
        <w:autoSpaceDE/>
        <w:autoSpaceDN/>
        <w:bidi w:val="0"/>
        <w:adjustRightInd/>
        <w:snapToGrid/>
        <w:spacing w:before="0" w:beforeLines="0" w:after="0" w:afterLines="0" w:line="336" w:lineRule="auto"/>
        <w:ind w:left="0" w:leftChars="0" w:right="0" w:rightChars="0" w:firstLine="600" w:firstLineChars="200"/>
        <w:rPr>
          <w:rFonts w:hint="eastAsia" w:ascii="仿宋_GB2312" w:hAnsi="仿宋_GB2312" w:eastAsia="仿宋_GB2312"/>
          <w:color w:val="auto"/>
          <w:sz w:val="30"/>
          <w:lang w:val="en-US" w:eastAsia="zh-CN"/>
        </w:rPr>
      </w:pPr>
      <w:r>
        <w:rPr>
          <w:rFonts w:hint="eastAsia" w:ascii="仿宋_GB2312" w:hAnsi="仿宋_GB2312" w:eastAsia="仿宋_GB2312"/>
          <w:color w:val="auto"/>
          <w:sz w:val="30"/>
          <w:lang w:val="en-US" w:eastAsia="zh-CN"/>
        </w:rPr>
        <w:t>申请人向特定对象发行股票的行政许可申请于2019年4月17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w:t>
      </w:r>
      <w:r>
        <w:rPr>
          <w:rFonts w:hint="eastAsia" w:ascii="仿宋_GB2312" w:hAnsi="仿宋_GB2312" w:eastAsia="仿宋_GB2312"/>
          <w:color w:val="auto"/>
          <w:sz w:val="30"/>
          <w:lang w:eastAsia="zh-CN"/>
        </w:rPr>
        <w:t>和《关于股东人数超过200人的未上市商业银行增发股份有关问题的通知》（证监发[2018]24号）</w:t>
      </w:r>
      <w:r>
        <w:rPr>
          <w:rFonts w:hint="eastAsia" w:ascii="仿宋_GB2312" w:hAnsi="仿宋_GB2312" w:eastAsia="仿宋_GB2312"/>
          <w:color w:val="auto"/>
          <w:sz w:val="30"/>
          <w:lang w:val="en-US" w:eastAsia="zh-CN"/>
        </w:rPr>
        <w:t>等相关规定，我们对申请人提交的申请文件进行了合规性审核。</w:t>
      </w:r>
    </w:p>
    <w:p>
      <w:pPr>
        <w:shd w:val="clear" w:color="auto" w:fill="auto"/>
        <w:snapToGrid/>
        <w:spacing w:before="156" w:beforeLines="50" w:after="156" w:afterLines="50" w:line="360" w:lineRule="auto"/>
        <w:ind w:left="0" w:leftChars="0" w:firstLine="640" w:firstLineChars="200"/>
        <w:jc w:val="both"/>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lang w:eastAsia="zh-CN"/>
        </w:rPr>
        <w:t>合规性审核意见</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after="0" w:afterLines="0" w:line="240" w:lineRule="auto"/>
        <w:ind w:right="0" w:rightChars="0"/>
        <w:jc w:val="both"/>
      </w:pPr>
      <w:r>
        <w:rPr>
          <w:rFonts w:hint="eastAsia" w:ascii="仿宋_GB2312" w:hAnsi="仿宋_GB2312" w:eastAsia="仿宋_GB2312"/>
          <w:snapToGrid/>
          <w:color w:val="auto"/>
          <w:sz w:val="30"/>
          <w:lang w:val="en-US" w:eastAsia="zh-CN"/>
        </w:rPr>
        <w:t xml:space="preserve">    </w:t>
      </w:r>
      <w:r>
        <w:rPr>
          <w:rFonts w:hint="eastAsia" w:ascii="仿宋_GB2312" w:hAnsi="仿宋_GB2312" w:eastAsia="仿宋_GB2312"/>
          <w:snapToGrid/>
          <w:color w:val="auto"/>
          <w:sz w:val="30"/>
          <w:lang w:eastAsia="zh-CN"/>
        </w:rPr>
        <w:t>根据申请人提交的申请文件，我会</w:t>
      </w:r>
      <w:r>
        <w:rPr>
          <w:rFonts w:hint="default" w:ascii="仿宋_GB2312" w:hAnsi="仿宋_GB2312" w:eastAsia="仿宋_GB2312"/>
          <w:snapToGrid/>
          <w:color w:val="auto"/>
          <w:sz w:val="30"/>
          <w:lang w:eastAsia="zh-CN"/>
        </w:rPr>
        <w:t>认为</w:t>
      </w:r>
      <w:r>
        <w:rPr>
          <w:rFonts w:hint="eastAsia" w:ascii="仿宋_GB2312" w:hAnsi="仿宋_GB2312" w:eastAsia="仿宋_GB2312"/>
          <w:snapToGrid/>
          <w:color w:val="auto"/>
          <w:sz w:val="30"/>
          <w:lang w:eastAsia="zh-CN"/>
        </w:rPr>
        <w:t>，申请人</w:t>
      </w:r>
      <w:r>
        <w:rPr>
          <w:rFonts w:hint="default" w:ascii="仿宋_GB2312" w:hAnsi="仿宋_GB2312" w:eastAsia="仿宋_GB2312"/>
          <w:snapToGrid/>
          <w:color w:val="auto"/>
          <w:sz w:val="30"/>
          <w:lang w:eastAsia="zh-CN"/>
        </w:rPr>
        <w:t>信息披露基本符合</w:t>
      </w:r>
      <w:r>
        <w:rPr>
          <w:rFonts w:hint="eastAsia" w:ascii="仿宋_GB2312" w:hAnsi="仿宋_GB2312" w:eastAsia="仿宋_GB2312"/>
          <w:snapToGrid/>
          <w:color w:val="auto"/>
          <w:sz w:val="30"/>
          <w:lang w:eastAsia="zh-CN"/>
        </w:rPr>
        <w:t>《公司法》《证券法》</w:t>
      </w:r>
      <w:r>
        <w:rPr>
          <w:rFonts w:hint="default" w:ascii="仿宋_GB2312" w:hAnsi="仿宋_GB2312" w:eastAsia="仿宋_GB2312"/>
          <w:snapToGrid/>
          <w:color w:val="auto"/>
          <w:sz w:val="30"/>
          <w:lang w:eastAsia="zh-CN"/>
        </w:rPr>
        <w:t>《</w:t>
      </w:r>
      <w:r>
        <w:rPr>
          <w:rFonts w:hint="eastAsia" w:ascii="仿宋_GB2312" w:hAnsi="仿宋_GB2312" w:eastAsia="仿宋_GB2312"/>
          <w:snapToGrid/>
          <w:color w:val="auto"/>
          <w:sz w:val="30"/>
          <w:lang w:eastAsia="zh-CN"/>
        </w:rPr>
        <w:t>公众公司办法</w:t>
      </w:r>
      <w:r>
        <w:rPr>
          <w:rFonts w:hint="default" w:ascii="仿宋_GB2312" w:hAnsi="仿宋_GB2312" w:eastAsia="仿宋_GB2312"/>
          <w:snapToGrid/>
          <w:color w:val="auto"/>
          <w:sz w:val="30"/>
          <w:lang w:eastAsia="zh-CN"/>
        </w:rPr>
        <w:t>》</w:t>
      </w:r>
      <w:r>
        <w:rPr>
          <w:rFonts w:hint="eastAsia" w:ascii="仿宋_GB2312" w:hAnsi="仿宋_GB2312" w:eastAsia="仿宋_GB2312"/>
          <w:color w:val="auto"/>
          <w:sz w:val="30"/>
          <w:lang w:eastAsia="zh-CN"/>
        </w:rPr>
        <w:t>《非上市公众公司信息披露内容与格式准则第</w:t>
      </w:r>
      <w:r>
        <w:rPr>
          <w:rFonts w:hint="eastAsia" w:ascii="仿宋_GB2312" w:hAnsi="仿宋_GB2312" w:eastAsia="仿宋_GB2312"/>
          <w:color w:val="auto"/>
          <w:sz w:val="30"/>
          <w:lang w:val="en-US" w:eastAsia="zh-CN"/>
        </w:rPr>
        <w:t>3号——定向发行说明书和发行情况报告书</w:t>
      </w:r>
      <w:r>
        <w:rPr>
          <w:rFonts w:hint="eastAsia" w:ascii="仿宋_GB2312" w:hAnsi="仿宋_GB2312" w:eastAsia="仿宋_GB2312"/>
          <w:color w:val="auto"/>
          <w:sz w:val="30"/>
          <w:lang w:eastAsia="zh-CN"/>
        </w:rPr>
        <w:t>》《非上市公众公司信息披露内容与格式准则第</w:t>
      </w:r>
      <w:r>
        <w:rPr>
          <w:rFonts w:hint="eastAsia" w:ascii="仿宋_GB2312" w:hAnsi="仿宋_GB2312" w:eastAsia="仿宋_GB2312"/>
          <w:color w:val="auto"/>
          <w:sz w:val="30"/>
          <w:lang w:val="en-US" w:eastAsia="zh-CN"/>
        </w:rPr>
        <w:t>4号——定向发行申请文件</w:t>
      </w:r>
      <w:r>
        <w:rPr>
          <w:rFonts w:hint="eastAsia" w:ascii="仿宋_GB2312" w:hAnsi="仿宋_GB2312" w:eastAsia="仿宋_GB2312"/>
          <w:color w:val="auto"/>
          <w:sz w:val="30"/>
          <w:lang w:eastAsia="zh-CN"/>
        </w:rPr>
        <w:t>》和《关于股东人数超过200人的未上市商业银行增发股份有关问题的通知》（证监发[2018]24号）</w:t>
      </w:r>
      <w:r>
        <w:rPr>
          <w:rFonts w:hint="eastAsia" w:ascii="仿宋_GB2312" w:hAnsi="仿宋_GB2312" w:eastAsia="仿宋_GB2312"/>
          <w:snapToGrid/>
          <w:color w:val="auto"/>
          <w:sz w:val="30"/>
          <w:lang w:eastAsia="zh-CN"/>
        </w:rPr>
        <w:t>等法律法规的</w:t>
      </w:r>
      <w:r>
        <w:rPr>
          <w:rFonts w:hint="default" w:ascii="仿宋_GB2312" w:hAnsi="仿宋_GB2312" w:eastAsia="仿宋_GB2312"/>
          <w:snapToGrid/>
          <w:color w:val="auto"/>
          <w:sz w:val="30"/>
          <w:lang w:eastAsia="zh-CN"/>
        </w:rPr>
        <w:t>规定，</w:t>
      </w:r>
      <w:r>
        <w:rPr>
          <w:rFonts w:hint="eastAsia" w:ascii="仿宋_GB2312" w:hAnsi="仿宋_GB2312" w:eastAsia="仿宋_GB2312"/>
          <w:snapToGrid/>
          <w:color w:val="auto"/>
          <w:sz w:val="30"/>
          <w:lang w:eastAsia="zh-CN"/>
        </w:rPr>
        <w:t>相关中介机构已就本次申请的</w:t>
      </w:r>
      <w:r>
        <w:rPr>
          <w:rFonts w:hint="eastAsia" w:ascii="仿宋_GB2312" w:hAnsi="仿宋_GB2312" w:eastAsia="仿宋_GB2312"/>
          <w:b w:val="0"/>
          <w:bCs w:val="0"/>
          <w:snapToGrid/>
          <w:color w:val="auto"/>
          <w:sz w:val="30"/>
          <w:lang w:eastAsia="zh-CN"/>
        </w:rPr>
        <w:t>相关问题依法发</w:t>
      </w:r>
      <w:r>
        <w:rPr>
          <w:rFonts w:hint="eastAsia" w:ascii="仿宋_GB2312" w:hAnsi="仿宋_GB2312" w:eastAsia="仿宋_GB2312"/>
          <w:snapToGrid/>
          <w:color w:val="auto"/>
          <w:sz w:val="30"/>
          <w:lang w:eastAsia="zh-CN"/>
        </w:rPr>
        <w:t>表了明确的意见。据此，我会同意</w:t>
      </w:r>
      <w:r>
        <w:rPr>
          <w:rFonts w:hint="eastAsia" w:ascii="仿宋_GB2312" w:hAnsi="仿宋_GB2312" w:eastAsia="仿宋_GB2312"/>
          <w:color w:val="auto"/>
          <w:sz w:val="30"/>
          <w:lang w:val="en-US" w:eastAsia="zh-CN"/>
        </w:rPr>
        <w:t>广东博罗农村商业银行股份有限公司</w:t>
      </w:r>
      <w:r>
        <w:rPr>
          <w:rFonts w:hint="eastAsia" w:ascii="仿宋_GB2312" w:hAnsi="仿宋_GB2312" w:eastAsia="仿宋_GB2312"/>
          <w:snapToGrid/>
          <w:color w:val="auto"/>
          <w:sz w:val="30"/>
          <w:lang w:val="en-US" w:eastAsia="zh-CN"/>
        </w:rPr>
        <w:t>向特定对象发行股票</w:t>
      </w:r>
      <w:r>
        <w:rPr>
          <w:rFonts w:hint="default" w:ascii="仿宋_GB2312" w:hAnsi="仿宋_GB2312" w:eastAsia="仿宋_GB2312"/>
          <w:snapToGrid/>
          <w:color w:val="auto"/>
          <w:sz w:val="30"/>
          <w:lang w:eastAsia="zh-CN"/>
        </w:rPr>
        <w:t>的申请。</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eastAsia="黑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rPr>
                              <w:rFonts w:hint="eastAsia" w:ascii="Times New Roman" w:hAnsi="Times New Roman" w:eastAsia="黑体"/>
                              <w:sz w:val="21"/>
                              <w:szCs w:val="21"/>
                              <w:lang w:val="en-US" w:eastAsia="zh-CN"/>
                            </w:rPr>
                            <w:t>3</w:t>
                          </w:r>
                          <w:r>
                            <w:rPr>
                              <w:rFonts w:hint="eastAsia" w:ascii="Times New Roman" w:hAnsi="Times New Roman" w:eastAsia="黑体"/>
                              <w:sz w:val="21"/>
                              <w:szCs w:val="21"/>
                            </w:rPr>
                            <w:t>-</w:t>
                          </w:r>
                          <w:r>
                            <w:rPr>
                              <w:rFonts w:ascii="Times New Roman" w:hAnsi="Times New Roman" w:eastAsia="黑体"/>
                              <w:sz w:val="21"/>
                              <w:szCs w:val="21"/>
                            </w:rPr>
                            <w:fldChar w:fldCharType="begin"/>
                          </w:r>
                          <w:r>
                            <w:rPr>
                              <w:rFonts w:ascii="Times New Roman" w:hAnsi="Times New Roman" w:eastAsia="黑体"/>
                              <w:sz w:val="21"/>
                              <w:szCs w:val="21"/>
                            </w:rPr>
                            <w:instrText xml:space="preserve">PAGE   \* MERGEFORMAT</w:instrText>
                          </w:r>
                          <w:r>
                            <w:rPr>
                              <w:rFonts w:ascii="Times New Roman" w:hAnsi="Times New Roman" w:eastAsia="黑体"/>
                              <w:sz w:val="21"/>
                              <w:szCs w:val="21"/>
                            </w:rPr>
                            <w:fldChar w:fldCharType="separate"/>
                          </w:r>
                          <w:r>
                            <w:rPr>
                              <w:rFonts w:ascii="Times New Roman" w:hAnsi="Times New Roman" w:eastAsia="黑体"/>
                              <w:sz w:val="21"/>
                              <w:szCs w:val="21"/>
                              <w:lang w:val="zh-CN"/>
                            </w:rPr>
                            <w:t>9</w:t>
                          </w:r>
                          <w:r>
                            <w:rPr>
                              <w:rFonts w:ascii="Times New Roman" w:hAnsi="Times New Roman" w:eastAsia="黑体"/>
                              <w:sz w:val="21"/>
                              <w:szCs w:val="21"/>
                            </w:rPr>
                            <w:fldChar w:fldCharType="end"/>
                          </w:r>
                        </w:p>
                      </w:txbxContent>
                    </wps:txbx>
                    <wps:bodyPr vert="horz"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x6+gK9ABAACkAwAADgAAAAAAAAABACAAAAAeAQAAZHJz&#10;L2Uyb0RvYy54bWxQSwUGAAAAAAYABgBZAQAAYAUAAAAA&#10;">
              <v:fill on="f" focussize="0,0"/>
              <v:stroke on="f"/>
              <v:imagedata o:title=""/>
              <o:lock v:ext="edit" aspectratio="f"/>
              <v:textbox inset="0mm,0mm,0mm,0mm" style="mso-fit-shape-to-text:t;">
                <w:txbxContent>
                  <w:p>
                    <w:pPr>
                      <w:pStyle w:val="5"/>
                      <w:jc w:val="center"/>
                    </w:pPr>
                    <w:r>
                      <w:rPr>
                        <w:rFonts w:hint="eastAsia" w:ascii="Times New Roman" w:hAnsi="Times New Roman" w:eastAsia="黑体"/>
                        <w:sz w:val="21"/>
                        <w:szCs w:val="21"/>
                        <w:lang w:val="en-US" w:eastAsia="zh-CN"/>
                      </w:rPr>
                      <w:t>3</w:t>
                    </w:r>
                    <w:r>
                      <w:rPr>
                        <w:rFonts w:hint="eastAsia" w:ascii="Times New Roman" w:hAnsi="Times New Roman" w:eastAsia="黑体"/>
                        <w:sz w:val="21"/>
                        <w:szCs w:val="21"/>
                      </w:rPr>
                      <w:t>-</w:t>
                    </w:r>
                    <w:r>
                      <w:rPr>
                        <w:rFonts w:ascii="Times New Roman" w:hAnsi="Times New Roman" w:eastAsia="黑体"/>
                        <w:sz w:val="21"/>
                        <w:szCs w:val="21"/>
                      </w:rPr>
                      <w:fldChar w:fldCharType="begin"/>
                    </w:r>
                    <w:r>
                      <w:rPr>
                        <w:rFonts w:ascii="Times New Roman" w:hAnsi="Times New Roman" w:eastAsia="黑体"/>
                        <w:sz w:val="21"/>
                        <w:szCs w:val="21"/>
                      </w:rPr>
                      <w:instrText xml:space="preserve">PAGE   \* MERGEFORMAT</w:instrText>
                    </w:r>
                    <w:r>
                      <w:rPr>
                        <w:rFonts w:ascii="Times New Roman" w:hAnsi="Times New Roman" w:eastAsia="黑体"/>
                        <w:sz w:val="21"/>
                        <w:szCs w:val="21"/>
                      </w:rPr>
                      <w:fldChar w:fldCharType="separate"/>
                    </w:r>
                    <w:r>
                      <w:rPr>
                        <w:rFonts w:ascii="Times New Roman" w:hAnsi="Times New Roman" w:eastAsia="黑体"/>
                        <w:sz w:val="21"/>
                        <w:szCs w:val="21"/>
                        <w:lang w:val="zh-CN"/>
                      </w:rPr>
                      <w:t>9</w:t>
                    </w:r>
                    <w:r>
                      <w:rPr>
                        <w:rFonts w:ascii="Times New Roman" w:hAnsi="Times New Roman" w:eastAsia="黑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86658"/>
    <w:multiLevelType w:val="singleLevel"/>
    <w:tmpl w:val="58F8665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1955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paragraph" w:styleId="2">
    <w:name w:val="heading 1"/>
    <w:basedOn w:val="1"/>
    <w:next w:val="1"/>
    <w:link w:val="12"/>
    <w:qFormat/>
    <w:uiPriority w:val="9"/>
    <w:pPr>
      <w:keepNext/>
      <w:keepLines/>
      <w:spacing w:before="240" w:beforeLines="0" w:beforeAutospacing="0" w:after="240" w:afterLines="0" w:afterAutospacing="0" w:line="360" w:lineRule="auto"/>
      <w:ind w:firstLine="200" w:firstLineChars="200"/>
      <w:outlineLvl w:val="0"/>
    </w:pPr>
    <w:rPr>
      <w:rFonts w:ascii="Times New Roman" w:hAnsi="Times New Roman" w:eastAsia="黑体"/>
      <w:b/>
      <w:kern w:val="44"/>
      <w:sz w:val="24"/>
    </w:rPr>
  </w:style>
  <w:style w:type="paragraph" w:styleId="3">
    <w:name w:val="heading 2"/>
    <w:basedOn w:val="1"/>
    <w:next w:val="1"/>
    <w:unhideWhenUsed/>
    <w:qFormat/>
    <w:uiPriority w:val="9"/>
    <w:pPr>
      <w:spacing w:line="360" w:lineRule="auto"/>
      <w:jc w:val="left"/>
      <w:outlineLvl w:val="1"/>
    </w:pPr>
    <w:rPr>
      <w:rFonts w:ascii="宋体" w:hAnsi="宋体" w:eastAsia="宋体"/>
      <w:b/>
      <w:sz w:val="24"/>
      <w:szCs w:val="28"/>
    </w:rPr>
  </w:style>
  <w:style w:type="character" w:default="1" w:styleId="8">
    <w:name w:val="Default Paragraph Font"/>
    <w:unhideWhenUsed/>
    <w:uiPriority w:val="0"/>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uiPriority w:val="99"/>
    <w:pPr>
      <w:jc w:val="left"/>
    </w:pPr>
  </w:style>
  <w:style w:type="paragraph" w:styleId="5">
    <w:name w:val="footer"/>
    <w:basedOn w:val="1"/>
    <w:unhideWhenUsed/>
    <w:uiPriority w:val="0"/>
    <w:pPr>
      <w:tabs>
        <w:tab w:val="center" w:pos="4153"/>
        <w:tab w:val="right" w:pos="8306"/>
      </w:tabs>
      <w:snapToGrid w:val="0"/>
      <w:jc w:val="left"/>
    </w:pPr>
    <w:rPr>
      <w:sz w:val="18"/>
    </w:rPr>
  </w:style>
  <w:style w:type="paragraph" w:styleId="6">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unhideWhenUsed/>
    <w:uiPriority w:val="99"/>
  </w:style>
  <w:style w:type="character" w:customStyle="1" w:styleId="10">
    <w:name w:val="font31"/>
    <w:qFormat/>
    <w:uiPriority w:val="0"/>
    <w:rPr>
      <w:rFonts w:hint="eastAsia" w:ascii="黑体" w:hAnsi="宋体" w:eastAsia="黑体" w:cs="黑体"/>
      <w:b/>
      <w:color w:val="000000"/>
      <w:sz w:val="22"/>
      <w:szCs w:val="22"/>
      <w:u w:val="none"/>
    </w:rPr>
  </w:style>
  <w:style w:type="character" w:customStyle="1" w:styleId="11">
    <w:name w:val=" Char Char7"/>
    <w:uiPriority w:val="0"/>
    <w:rPr>
      <w:sz w:val="24"/>
      <w:lang w:val="en-GB" w:eastAsia="en-US"/>
    </w:rPr>
  </w:style>
  <w:style w:type="character" w:customStyle="1" w:styleId="12">
    <w:name w:val="标题 1 字符"/>
    <w:link w:val="2"/>
    <w:uiPriority w:val="0"/>
    <w:rPr>
      <w:rFonts w:ascii="Times New Roman" w:hAnsi="Times New Roman" w:eastAsia="黑体"/>
      <w:b/>
      <w:kern w:val="44"/>
      <w:sz w:val="24"/>
    </w:rPr>
  </w:style>
  <w:style w:type="paragraph" w:customStyle="1" w:styleId="13">
    <w:name w:val="header"/>
    <w:basedOn w:val="1"/>
    <w:uiPriority w:val="0"/>
    <w:pPr>
      <w:pBdr>
        <w:bottom w:val="single" w:color="auto" w:sz="6" w:space="1"/>
      </w:pBdr>
      <w:tabs>
        <w:tab w:val="center" w:pos="4153"/>
        <w:tab w:val="right" w:pos="8306"/>
      </w:tabs>
      <w:snapToGrid w:val="0"/>
      <w:jc w:val="center"/>
    </w:pPr>
    <w:rPr>
      <w:rFonts w:ascii="Calibri" w:hAnsi="Calibri" w:eastAsia="宋体"/>
      <w:kern w:val="2"/>
      <w:sz w:val="18"/>
    </w:rPr>
  </w:style>
  <w:style w:type="paragraph" w:customStyle="1" w:styleId="14">
    <w:name w:val="补充披露"/>
    <w:basedOn w:val="1"/>
    <w:qFormat/>
    <w:uiPriority w:val="0"/>
    <w:pPr>
      <w:widowControl w:val="0"/>
      <w:spacing w:before="50" w:beforeLines="0" w:after="50" w:afterLines="0" w:line="360" w:lineRule="auto"/>
      <w:ind w:firstLine="482" w:firstLineChars="200"/>
      <w:jc w:val="both"/>
    </w:pPr>
    <w:rPr>
      <w:rFonts w:ascii="楷体" w:hAnsi="楷体" w:eastAsia="楷体" w:cs="Times New Roman"/>
      <w:b/>
      <w:color w:val="000000"/>
      <w:lang w:val="zh-CN"/>
    </w:rPr>
  </w:style>
  <w:style w:type="paragraph" w:customStyle="1" w:styleId="15">
    <w:name w:val="样式 思美招股书正文 + 首行缩进:  2 字符 段前: 0.5 行 段后: 0.5 行"/>
    <w:basedOn w:val="1"/>
    <w:qFormat/>
    <w:uiPriority w:val="0"/>
    <w:pPr>
      <w:adjustRightInd w:val="0"/>
      <w:snapToGrid w:val="0"/>
      <w:spacing w:before="156" w:beforeLines="50" w:after="156" w:afterLines="50" w:line="360" w:lineRule="auto"/>
      <w:ind w:firstLine="480" w:firstLineChars="200"/>
      <w:textAlignment w:val="center"/>
    </w:pPr>
    <w:rPr>
      <w:rFonts w:ascii="Times New Roman" w:hAnsi="Times New Roman" w:cs="宋体"/>
      <w:sz w:val="24"/>
    </w:rPr>
  </w:style>
  <w:style w:type="paragraph" w:styleId="16">
    <w:name w:val="No Spacing"/>
    <w:uiPriority w:val="0"/>
    <w:pPr>
      <w:jc w:val="center"/>
    </w:pPr>
    <w:rPr>
      <w:kern w:val="2"/>
      <w:sz w:val="21"/>
      <w:szCs w:val="22"/>
      <w:lang w:val="en-US" w:eastAsia="zh-CN" w:bidi="ar-SA"/>
    </w:rPr>
  </w:style>
  <w:style w:type="paragraph" w:customStyle="1" w:styleId="17">
    <w:name w:val="VI 正文格式"/>
    <w:basedOn w:val="1"/>
    <w:uiPriority w:val="0"/>
    <w:pPr>
      <w:adjustRightInd w:val="0"/>
      <w:spacing w:before="93" w:beforeLines="30" w:beforeAutospacing="0" w:after="93" w:afterLines="30" w:afterAutospacing="0" w:line="360" w:lineRule="auto"/>
      <w:ind w:firstLine="480" w:firstLineChars="200"/>
      <w:textAlignment w:val="baseline"/>
    </w:pPr>
    <w:rPr>
      <w:rFonts w:ascii="宋体" w:hAnsi="宋体"/>
      <w:sz w:val="24"/>
    </w:rPr>
  </w:style>
  <w:style w:type="paragraph" w:customStyle="1" w:styleId="18">
    <w:name w:val="Default"/>
    <w:uiPriority w:val="0"/>
    <w:pPr>
      <w:widowControl w:val="0"/>
      <w:autoSpaceDE w:val="0"/>
      <w:autoSpaceDN w:val="0"/>
      <w:adjustRightInd w:val="0"/>
    </w:pPr>
    <w:rPr>
      <w:rFonts w:ascii="宋体" w:hAnsi="Calibri"/>
      <w:color w:val="000000"/>
      <w:sz w:val="24"/>
      <w:lang w:val="en-US" w:eastAsia="zh-CN"/>
    </w:rPr>
  </w:style>
  <w:style w:type="paragraph" w:customStyle="1" w:styleId="19">
    <w:name w:val="表格左对齐"/>
    <w:basedOn w:val="1"/>
    <w:qFormat/>
    <w:uiPriority w:val="0"/>
    <w:pPr>
      <w:spacing w:before="0" w:beforeLines="0" w:after="0" w:afterLines="0" w:line="240" w:lineRule="auto"/>
      <w:ind w:firstLine="0" w:firstLineChars="0"/>
      <w:jc w:val="left"/>
    </w:pPr>
    <w:rPr>
      <w:sz w:val="21"/>
    </w:rPr>
  </w:style>
  <w:style w:type="paragraph" w:customStyle="1" w:styleId="20">
    <w:name w:val="列出段落1"/>
    <w:basedOn w:val="1"/>
    <w:uiPriority w:val="0"/>
    <w:pPr>
      <w:ind w:firstLine="420" w:firstLineChars="200"/>
    </w:pPr>
    <w:rPr>
      <w:rFonts w:ascii="Calibri" w:hAnsi="Calibri" w:eastAsia="宋体"/>
    </w:rPr>
  </w:style>
  <w:style w:type="paragraph" w:customStyle="1" w:styleId="21">
    <w:name w:val="单位"/>
    <w:basedOn w:val="14"/>
    <w:qFormat/>
    <w:uiPriority w:val="0"/>
    <w:pPr>
      <w:widowControl w:val="0"/>
      <w:ind w:firstLine="422" w:firstLineChars="200"/>
      <w:jc w:val="right"/>
    </w:pPr>
    <w:rPr>
      <w:rFonts w:ascii="楷体" w:hAnsi="楷体" w:cs="Times New Roman"/>
      <w:kern w:val="2"/>
      <w:sz w:val="21"/>
      <w:szCs w:val="21"/>
    </w:rPr>
  </w:style>
  <w:style w:type="paragraph" w:styleId="22">
    <w:name w:val="List Paragraph"/>
    <w:basedOn w:val="1"/>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csrc</dc:creator>
  <cp:lastModifiedBy>86135</cp:lastModifiedBy>
  <cp:lastPrinted>2017-07-22T08:21:35Z</cp:lastPrinted>
  <dcterms:modified xsi:type="dcterms:W3CDTF">2022-08-17T08:50:28Z</dcterms:modified>
  <dc:title>关于建议同意昆山鹿城村镇银行股份有限公司向特定对象发行股票的审核意见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1546BEAAC8EC4237B464C0EEC08B5B76</vt:lpwstr>
  </property>
</Properties>
</file>