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F9" w:rsidRDefault="009357F9" w:rsidP="009357F9">
      <w:pPr>
        <w:snapToGrid w:val="0"/>
        <w:spacing w:line="560" w:lineRule="exact"/>
        <w:rPr>
          <w:rFonts w:ascii="仿宋_GB2312" w:hint="eastAsia"/>
          <w:szCs w:val="32"/>
        </w:rPr>
      </w:pPr>
      <w:r w:rsidRPr="006C66AF">
        <w:rPr>
          <w:rFonts w:ascii="仿宋_GB2312" w:hint="eastAsia"/>
          <w:szCs w:val="32"/>
        </w:rPr>
        <w:t>附件1：</w:t>
      </w:r>
    </w:p>
    <w:p w:rsidR="009357F9" w:rsidRPr="006C66AF" w:rsidRDefault="009357F9" w:rsidP="009357F9">
      <w:pPr>
        <w:snapToGrid w:val="0"/>
        <w:spacing w:line="560" w:lineRule="exact"/>
        <w:rPr>
          <w:rFonts w:ascii="仿宋_GB2312" w:hint="eastAsia"/>
          <w:szCs w:val="32"/>
        </w:rPr>
      </w:pPr>
    </w:p>
    <w:p w:rsidR="009357F9" w:rsidRPr="006C66AF" w:rsidRDefault="009357F9" w:rsidP="009357F9">
      <w:pPr>
        <w:adjustRightInd w:val="0"/>
        <w:snapToGrid w:val="0"/>
        <w:spacing w:line="560" w:lineRule="exact"/>
        <w:ind w:rightChars="-27" w:right="-86"/>
        <w:jc w:val="center"/>
        <w:rPr>
          <w:rStyle w:val="a3"/>
          <w:rFonts w:ascii="宋体" w:eastAsia="宋体" w:hAnsi="宋体" w:hint="eastAsia"/>
          <w:color w:val="000000"/>
          <w:sz w:val="44"/>
          <w:szCs w:val="44"/>
        </w:rPr>
      </w:pPr>
      <w:r w:rsidRPr="006C66AF">
        <w:rPr>
          <w:rStyle w:val="a3"/>
          <w:rFonts w:ascii="宋体" w:eastAsia="宋体" w:hAnsi="宋体" w:hint="eastAsia"/>
          <w:color w:val="000000"/>
          <w:sz w:val="44"/>
          <w:szCs w:val="44"/>
        </w:rPr>
        <w:t>银行间外汇市场评优办法</w:t>
      </w:r>
    </w:p>
    <w:p w:rsidR="009357F9" w:rsidRPr="006C66AF" w:rsidRDefault="009357F9" w:rsidP="009357F9">
      <w:pPr>
        <w:snapToGrid w:val="0"/>
        <w:spacing w:line="560" w:lineRule="exact"/>
        <w:rPr>
          <w:rFonts w:ascii="仿宋_GB2312" w:hAnsi="宋体" w:hint="eastAsia"/>
          <w:szCs w:val="32"/>
        </w:rPr>
      </w:pPr>
    </w:p>
    <w:p w:rsidR="009357F9" w:rsidRPr="006C66AF" w:rsidRDefault="009357F9" w:rsidP="009357F9">
      <w:pPr>
        <w:snapToGrid w:val="0"/>
        <w:spacing w:line="560" w:lineRule="exact"/>
        <w:jc w:val="center"/>
        <w:rPr>
          <w:rFonts w:ascii="黑体" w:eastAsia="黑体" w:hAnsi="黑体" w:hint="eastAsia"/>
          <w:b/>
          <w:szCs w:val="32"/>
        </w:rPr>
      </w:pPr>
      <w:r w:rsidRPr="006C66AF">
        <w:rPr>
          <w:rFonts w:ascii="黑体" w:eastAsia="黑体" w:hAnsi="黑体" w:hint="eastAsia"/>
          <w:b/>
          <w:szCs w:val="32"/>
        </w:rPr>
        <w:t>第一章 总则</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第一条 </w:t>
      </w:r>
      <w:r w:rsidRPr="006C66AF">
        <w:rPr>
          <w:rFonts w:ascii="仿宋_GB2312" w:hint="eastAsia"/>
          <w:szCs w:val="32"/>
        </w:rPr>
        <w:t>为促进银行间外汇市场健康发展，表彰优秀会员与个人，根据</w:t>
      </w:r>
      <w:r w:rsidRPr="006C66AF">
        <w:rPr>
          <w:rStyle w:val="fontstyle01"/>
          <w:rFonts w:hint="default"/>
          <w:szCs w:val="32"/>
        </w:rPr>
        <w:t>《银行间外汇市场做市商指引</w:t>
      </w:r>
      <w:r w:rsidRPr="006C66AF">
        <w:rPr>
          <w:rFonts w:ascii="仿宋_GB2312" w:hint="eastAsia"/>
          <w:szCs w:val="32"/>
        </w:rPr>
        <w:t>》制订《银行间外汇市场评优办法》（以下简称《办法》）。</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第二条 </w:t>
      </w:r>
      <w:r w:rsidRPr="006C66AF">
        <w:rPr>
          <w:rFonts w:ascii="仿宋_GB2312" w:hint="eastAsia"/>
          <w:szCs w:val="32"/>
        </w:rPr>
        <w:t>《办法》适用于银行间外汇市场会员和个人评优，其中会员包括做市商、尝试做市机构和普通会员，个人包括会员交易员、交易主管、技术工程师、技术主管和中后台主管。</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第三条 </w:t>
      </w:r>
      <w:r w:rsidRPr="006C66AF">
        <w:rPr>
          <w:rFonts w:ascii="仿宋_GB2312" w:hint="eastAsia"/>
          <w:szCs w:val="32"/>
        </w:rPr>
        <w:t>中国外汇交易中心（以下简称“交易中心”）根据</w:t>
      </w:r>
      <w:bookmarkStart w:id="0" w:name="OLE_LINK2"/>
      <w:r w:rsidRPr="006C66AF">
        <w:rPr>
          <w:rFonts w:ascii="仿宋_GB2312" w:hint="eastAsia"/>
          <w:szCs w:val="32"/>
        </w:rPr>
        <w:t>银行间外汇市场</w:t>
      </w:r>
      <w:bookmarkEnd w:id="0"/>
      <w:r w:rsidRPr="006C66AF">
        <w:rPr>
          <w:rFonts w:ascii="仿宋_GB2312" w:hint="eastAsia"/>
          <w:szCs w:val="32"/>
        </w:rPr>
        <w:t>会员或个人的市场交易、遵守交易规则和市场建设等方面表现评选优秀会员或优秀个人。</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第四条 </w:t>
      </w:r>
      <w:r w:rsidRPr="006C66AF">
        <w:rPr>
          <w:rFonts w:ascii="仿宋_GB2312" w:hint="eastAsia"/>
          <w:szCs w:val="32"/>
        </w:rPr>
        <w:t>交易中心可根据银行间外汇市场发展情况调整奖项设置。</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第五条 </w:t>
      </w:r>
      <w:r w:rsidRPr="006C66AF">
        <w:rPr>
          <w:rFonts w:ascii="仿宋_GB2312" w:hint="eastAsia"/>
          <w:szCs w:val="32"/>
        </w:rPr>
        <w:t>交易中心可根据市场监测情况与会员投诉等调整会员及个人年度评优资格。</w:t>
      </w:r>
    </w:p>
    <w:p w:rsidR="009357F9" w:rsidRPr="006C66AF" w:rsidRDefault="009357F9" w:rsidP="009357F9">
      <w:pPr>
        <w:snapToGrid w:val="0"/>
        <w:spacing w:line="560" w:lineRule="exact"/>
        <w:ind w:firstLineChars="220" w:firstLine="707"/>
        <w:rPr>
          <w:rFonts w:ascii="仿宋_GB2312" w:hint="eastAsia"/>
          <w:szCs w:val="32"/>
        </w:rPr>
      </w:pPr>
      <w:r w:rsidRPr="006C66AF">
        <w:rPr>
          <w:rFonts w:ascii="仿宋_GB2312" w:hint="eastAsia"/>
          <w:b/>
          <w:szCs w:val="32"/>
        </w:rPr>
        <w:t xml:space="preserve">第六条 </w:t>
      </w:r>
      <w:r w:rsidRPr="006C66AF">
        <w:rPr>
          <w:rFonts w:ascii="仿宋_GB2312" w:hint="eastAsia"/>
          <w:szCs w:val="32"/>
        </w:rPr>
        <w:t>会员和个人评优每年进行一次。评优结果由交易中心负责发布和解释。</w:t>
      </w:r>
    </w:p>
    <w:p w:rsidR="009357F9" w:rsidRPr="006C66AF" w:rsidRDefault="009357F9" w:rsidP="009357F9">
      <w:pPr>
        <w:snapToGrid w:val="0"/>
        <w:spacing w:line="560" w:lineRule="exact"/>
        <w:jc w:val="center"/>
        <w:rPr>
          <w:rFonts w:ascii="黑体" w:eastAsia="黑体" w:hAnsi="黑体" w:hint="eastAsia"/>
          <w:b/>
          <w:szCs w:val="32"/>
        </w:rPr>
      </w:pPr>
      <w:r w:rsidRPr="006C66AF">
        <w:rPr>
          <w:rFonts w:ascii="黑体" w:eastAsia="黑体" w:hAnsi="黑体" w:hint="eastAsia"/>
          <w:b/>
          <w:szCs w:val="32"/>
        </w:rPr>
        <w:t>第二章 奖项设置</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第七条 </w:t>
      </w:r>
      <w:r w:rsidRPr="006C66AF">
        <w:rPr>
          <w:rFonts w:ascii="仿宋_GB2312" w:hint="eastAsia"/>
          <w:szCs w:val="32"/>
        </w:rPr>
        <w:t>会员评优设综合奖和单项奖。</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第八条 </w:t>
      </w:r>
      <w:r w:rsidRPr="006C66AF">
        <w:rPr>
          <w:rFonts w:ascii="仿宋_GB2312" w:hint="eastAsia"/>
          <w:szCs w:val="32"/>
        </w:rPr>
        <w:t>综合奖和单项奖可根据产品或交易模式细分设</w:t>
      </w:r>
      <w:r w:rsidRPr="006C66AF">
        <w:rPr>
          <w:rFonts w:ascii="仿宋_GB2312" w:hint="eastAsia"/>
          <w:szCs w:val="32"/>
        </w:rPr>
        <w:lastRenderedPageBreak/>
        <w:t>奖。</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第九条</w:t>
      </w:r>
      <w:r w:rsidRPr="006C66AF">
        <w:rPr>
          <w:rFonts w:ascii="仿宋_GB2312" w:hint="eastAsia"/>
          <w:szCs w:val="32"/>
        </w:rPr>
        <w:t xml:space="preserve"> 综合奖评选在市场交易、遵守交易规则和市场建设等方面综合表现突出的优秀会员。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第十条 </w:t>
      </w:r>
      <w:r w:rsidRPr="006C66AF">
        <w:rPr>
          <w:rFonts w:ascii="仿宋_GB2312" w:hint="eastAsia"/>
          <w:szCs w:val="32"/>
        </w:rPr>
        <w:t>单项奖评选在市场交易、遵守交易规则或市场建设等单方面表现突出的优秀会员。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第十一条 </w:t>
      </w:r>
      <w:r w:rsidRPr="006C66AF">
        <w:rPr>
          <w:rFonts w:ascii="仿宋_GB2312" w:hint="eastAsia"/>
          <w:szCs w:val="32"/>
        </w:rPr>
        <w:t>个人评优设优秀交易员奖、优秀交易主管奖、</w:t>
      </w:r>
      <w:r w:rsidRPr="006C66AF">
        <w:rPr>
          <w:rFonts w:ascii="仿宋_GB2312"/>
          <w:szCs w:val="32"/>
        </w:rPr>
        <w:t>优秀技术</w:t>
      </w:r>
      <w:r w:rsidRPr="006C66AF">
        <w:rPr>
          <w:rFonts w:ascii="仿宋_GB2312" w:hint="eastAsia"/>
          <w:szCs w:val="32"/>
        </w:rPr>
        <w:t>工程师奖、</w:t>
      </w:r>
      <w:r w:rsidRPr="006C66AF">
        <w:rPr>
          <w:rFonts w:ascii="仿宋_GB2312"/>
          <w:szCs w:val="32"/>
        </w:rPr>
        <w:t>优秀技术主管</w:t>
      </w:r>
      <w:r w:rsidRPr="006C66AF">
        <w:rPr>
          <w:rFonts w:ascii="仿宋_GB2312" w:hint="eastAsia"/>
          <w:szCs w:val="32"/>
        </w:rPr>
        <w:t>奖和优秀中后台主管奖</w:t>
      </w:r>
      <w:r w:rsidRPr="006C66AF">
        <w:rPr>
          <w:rFonts w:ascii="仿宋_GB2312"/>
          <w:szCs w:val="32"/>
        </w:rPr>
        <w:t>。</w:t>
      </w:r>
    </w:p>
    <w:p w:rsidR="009357F9" w:rsidRPr="006C66AF" w:rsidRDefault="009357F9" w:rsidP="009357F9">
      <w:pPr>
        <w:snapToGrid w:val="0"/>
        <w:spacing w:line="560" w:lineRule="exact"/>
        <w:jc w:val="center"/>
        <w:rPr>
          <w:rFonts w:ascii="黑体" w:eastAsia="黑体" w:hAnsi="黑体"/>
          <w:b/>
          <w:szCs w:val="32"/>
        </w:rPr>
      </w:pPr>
      <w:r w:rsidRPr="006C66AF">
        <w:rPr>
          <w:rFonts w:ascii="黑体" w:eastAsia="黑体" w:hAnsi="黑体" w:hint="eastAsia"/>
          <w:b/>
          <w:szCs w:val="32"/>
        </w:rPr>
        <w:t>第三章 考核指标</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第十二条 </w:t>
      </w:r>
      <w:r w:rsidRPr="006C66AF">
        <w:rPr>
          <w:rFonts w:ascii="仿宋_GB2312" w:hint="eastAsia"/>
          <w:szCs w:val="32"/>
        </w:rPr>
        <w:t>交易中心根据考核指标客观衡量会员市场交易、遵守交易规则和市场建设等方面表现。</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第十三条 </w:t>
      </w:r>
      <w:r w:rsidRPr="006C66AF">
        <w:rPr>
          <w:rFonts w:ascii="仿宋_GB2312" w:hint="eastAsia"/>
          <w:szCs w:val="32"/>
        </w:rPr>
        <w:t xml:space="preserve">考核指标分为询价考核指标、撮合考核指标和竞价考核指标。 </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第十四条</w:t>
      </w:r>
      <w:r w:rsidRPr="006C66AF">
        <w:rPr>
          <w:rFonts w:ascii="仿宋_GB2312" w:hint="eastAsia"/>
          <w:szCs w:val="32"/>
        </w:rPr>
        <w:t xml:space="preserve"> 询价考核指标、撮合考核指标和竞价考核指标均包括报价（订单）质量、交易表现和规范性三类指标，分别考核会员的合</w:t>
      </w:r>
      <w:proofErr w:type="gramStart"/>
      <w:r w:rsidRPr="006C66AF">
        <w:rPr>
          <w:rFonts w:ascii="仿宋_GB2312" w:hint="eastAsia"/>
          <w:szCs w:val="32"/>
        </w:rPr>
        <w:t>规</w:t>
      </w:r>
      <w:proofErr w:type="gramEnd"/>
      <w:r w:rsidRPr="006C66AF">
        <w:rPr>
          <w:rFonts w:ascii="仿宋_GB2312" w:hint="eastAsia"/>
          <w:szCs w:val="32"/>
        </w:rPr>
        <w:t>报价（订单）、合</w:t>
      </w:r>
      <w:proofErr w:type="gramStart"/>
      <w:r w:rsidRPr="006C66AF">
        <w:rPr>
          <w:rFonts w:ascii="仿宋_GB2312" w:hint="eastAsia"/>
          <w:szCs w:val="32"/>
        </w:rPr>
        <w:t>规</w:t>
      </w:r>
      <w:proofErr w:type="gramEnd"/>
      <w:r w:rsidRPr="006C66AF">
        <w:rPr>
          <w:rFonts w:ascii="仿宋_GB2312" w:hint="eastAsia"/>
          <w:szCs w:val="32"/>
        </w:rPr>
        <w:t>交易结果和不合</w:t>
      </w:r>
      <w:proofErr w:type="gramStart"/>
      <w:r w:rsidRPr="006C66AF">
        <w:rPr>
          <w:rFonts w:ascii="仿宋_GB2312" w:hint="eastAsia"/>
          <w:szCs w:val="32"/>
        </w:rPr>
        <w:t>规</w:t>
      </w:r>
      <w:proofErr w:type="gramEnd"/>
      <w:r w:rsidRPr="006C66AF">
        <w:rPr>
          <w:rFonts w:ascii="仿宋_GB2312" w:hint="eastAsia"/>
          <w:szCs w:val="32"/>
        </w:rPr>
        <w:t>交易行为。</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第十五条 </w:t>
      </w:r>
      <w:r w:rsidRPr="006C66AF">
        <w:rPr>
          <w:rFonts w:ascii="仿宋_GB2312" w:hint="eastAsia"/>
          <w:szCs w:val="32"/>
        </w:rPr>
        <w:t>交易中心根据产品特点、</w:t>
      </w:r>
      <w:r w:rsidRPr="006C66AF">
        <w:rPr>
          <w:rFonts w:ascii="仿宋_GB2312"/>
          <w:szCs w:val="32"/>
        </w:rPr>
        <w:t>会员做市身份</w:t>
      </w:r>
      <w:r w:rsidRPr="006C66AF">
        <w:rPr>
          <w:rFonts w:ascii="仿宋_GB2312" w:hint="eastAsia"/>
          <w:szCs w:val="32"/>
        </w:rPr>
        <w:t>等选取考核指标，考核</w:t>
      </w:r>
      <w:r w:rsidRPr="006C66AF">
        <w:rPr>
          <w:rFonts w:ascii="仿宋_GB2312"/>
          <w:szCs w:val="32"/>
        </w:rPr>
        <w:t>会员</w:t>
      </w:r>
      <w:r w:rsidRPr="006C66AF">
        <w:rPr>
          <w:rFonts w:ascii="仿宋_GB2312" w:hint="eastAsia"/>
          <w:szCs w:val="32"/>
        </w:rPr>
        <w:t>在对应产品及交易模式下的</w:t>
      </w:r>
      <w:r w:rsidRPr="006C66AF">
        <w:rPr>
          <w:rFonts w:ascii="仿宋_GB2312"/>
          <w:szCs w:val="32"/>
        </w:rPr>
        <w:t>表现</w:t>
      </w:r>
      <w:r w:rsidRPr="006C66AF">
        <w:rPr>
          <w:rFonts w:ascii="仿宋_GB2312" w:hint="eastAsia"/>
          <w:szCs w:val="32"/>
        </w:rPr>
        <w:t>情况。</w:t>
      </w:r>
    </w:p>
    <w:p w:rsidR="009357F9" w:rsidRPr="006C66AF" w:rsidRDefault="009357F9" w:rsidP="009357F9">
      <w:pPr>
        <w:snapToGrid w:val="0"/>
        <w:spacing w:line="560" w:lineRule="exact"/>
        <w:jc w:val="center"/>
        <w:rPr>
          <w:rFonts w:ascii="黑体" w:eastAsia="黑体" w:hAnsi="黑体"/>
          <w:b/>
          <w:szCs w:val="32"/>
        </w:rPr>
      </w:pPr>
      <w:r w:rsidRPr="006C66AF">
        <w:rPr>
          <w:rFonts w:ascii="黑体" w:eastAsia="黑体" w:hAnsi="黑体" w:hint="eastAsia"/>
          <w:b/>
          <w:szCs w:val="32"/>
        </w:rPr>
        <w:t>第四章 评分规则</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第十六条</w:t>
      </w:r>
      <w:r w:rsidRPr="006C66AF">
        <w:rPr>
          <w:rFonts w:ascii="仿宋_GB2312" w:hint="eastAsia"/>
          <w:szCs w:val="32"/>
        </w:rPr>
        <w:t xml:space="preserve"> 交易中心根据会员综合奖得分及单项奖得分排名评选综合奖及单项奖获奖会员。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第十七条 </w:t>
      </w:r>
      <w:r w:rsidRPr="006C66AF">
        <w:rPr>
          <w:rFonts w:ascii="仿宋_GB2312" w:hint="eastAsia"/>
          <w:szCs w:val="32"/>
        </w:rPr>
        <w:t>综合奖得分由客观评分和综合评分构成。单项奖得分由客观评分构成。</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第十八条 </w:t>
      </w:r>
      <w:r w:rsidRPr="006C66AF">
        <w:rPr>
          <w:rFonts w:ascii="仿宋_GB2312" w:hint="eastAsia"/>
          <w:szCs w:val="32"/>
        </w:rPr>
        <w:t>客观评分是指定奖项的考核指标得分或该奖</w:t>
      </w:r>
      <w:r w:rsidRPr="006C66AF">
        <w:rPr>
          <w:rFonts w:ascii="仿宋_GB2312" w:hint="eastAsia"/>
          <w:szCs w:val="32"/>
        </w:rPr>
        <w:lastRenderedPageBreak/>
        <w:t>项下各细分奖项加权平均分。各奖项考核指标的分值权重或其细分奖项得分权重可根据产品要素或交易模式特点进行调整。</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第十九条 </w:t>
      </w:r>
      <w:r w:rsidRPr="006C66AF">
        <w:rPr>
          <w:rFonts w:ascii="仿宋_GB2312" w:hint="eastAsia"/>
          <w:szCs w:val="32"/>
        </w:rPr>
        <w:t>综合评分由外汇管理局评分和交易中心评分构成。</w:t>
      </w:r>
    </w:p>
    <w:p w:rsidR="009357F9" w:rsidRPr="006C66AF" w:rsidRDefault="009357F9" w:rsidP="009357F9">
      <w:pPr>
        <w:snapToGrid w:val="0"/>
        <w:spacing w:line="560" w:lineRule="exact"/>
        <w:jc w:val="center"/>
        <w:rPr>
          <w:rFonts w:ascii="黑体" w:eastAsia="黑体" w:hAnsi="黑体"/>
          <w:b/>
          <w:szCs w:val="32"/>
        </w:rPr>
      </w:pPr>
      <w:r w:rsidRPr="006C66AF">
        <w:rPr>
          <w:rFonts w:ascii="黑体" w:eastAsia="黑体" w:hAnsi="黑体" w:hint="eastAsia"/>
          <w:b/>
          <w:szCs w:val="32"/>
        </w:rPr>
        <w:t>第五章 会员评优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第二十条</w:t>
      </w:r>
      <w:r w:rsidRPr="006C66AF">
        <w:rPr>
          <w:rFonts w:ascii="仿宋_GB2312" w:hint="eastAsia"/>
          <w:szCs w:val="32"/>
        </w:rPr>
        <w:t xml:space="preserve"> 会员评优包括做市机构（</w:t>
      </w:r>
      <w:proofErr w:type="gramStart"/>
      <w:r w:rsidRPr="006C66AF">
        <w:rPr>
          <w:rFonts w:ascii="仿宋_GB2312" w:hint="eastAsia"/>
          <w:szCs w:val="32"/>
        </w:rPr>
        <w:t>含做市</w:t>
      </w:r>
      <w:proofErr w:type="gramEnd"/>
      <w:r w:rsidRPr="006C66AF">
        <w:rPr>
          <w:rFonts w:ascii="仿宋_GB2312" w:hint="eastAsia"/>
          <w:szCs w:val="32"/>
        </w:rPr>
        <w:t>商及尝试做市机构，下同）评优与普通会员评优。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第二十一条</w:t>
      </w:r>
      <w:r w:rsidRPr="006C66AF">
        <w:rPr>
          <w:rFonts w:ascii="仿宋_GB2312" w:hint="eastAsia"/>
          <w:szCs w:val="32"/>
        </w:rPr>
        <w:t xml:space="preserve"> 做市机构评优对象为实行做市商制度的各产品做市机构。普通会员评优对象为各产品普通会员。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第二十二条</w:t>
      </w:r>
      <w:r w:rsidRPr="006C66AF">
        <w:rPr>
          <w:rFonts w:ascii="仿宋_GB2312" w:hint="eastAsia"/>
          <w:szCs w:val="32"/>
        </w:rPr>
        <w:t xml:space="preserve"> 评选年度内，根据</w:t>
      </w:r>
      <w:r w:rsidRPr="006C66AF">
        <w:rPr>
          <w:rFonts w:ascii="仿宋_GB2312"/>
          <w:szCs w:val="32"/>
        </w:rPr>
        <w:t>交易中心市场监测</w:t>
      </w:r>
      <w:r w:rsidRPr="006C66AF">
        <w:rPr>
          <w:rFonts w:ascii="仿宋_GB2312" w:hint="eastAsia"/>
          <w:szCs w:val="32"/>
        </w:rPr>
        <w:t>情况认定为</w:t>
      </w:r>
      <w:r w:rsidRPr="006C66AF">
        <w:rPr>
          <w:rFonts w:ascii="仿宋_GB2312"/>
          <w:szCs w:val="32"/>
        </w:rPr>
        <w:t>市场影响</w:t>
      </w:r>
      <w:r w:rsidRPr="006C66AF">
        <w:rPr>
          <w:rFonts w:ascii="仿宋_GB2312" w:hint="eastAsia"/>
          <w:szCs w:val="32"/>
        </w:rPr>
        <w:t>极其</w:t>
      </w:r>
      <w:r w:rsidRPr="006C66AF">
        <w:rPr>
          <w:rFonts w:ascii="仿宋_GB2312"/>
          <w:szCs w:val="32"/>
        </w:rPr>
        <w:t>恶劣的会员</w:t>
      </w:r>
      <w:r w:rsidRPr="006C66AF">
        <w:rPr>
          <w:rFonts w:ascii="仿宋_GB2312" w:hint="eastAsia"/>
          <w:szCs w:val="32"/>
        </w:rPr>
        <w:t>或</w:t>
      </w:r>
      <w:r w:rsidRPr="006C66AF">
        <w:rPr>
          <w:rFonts w:ascii="仿宋_GB2312"/>
          <w:szCs w:val="32"/>
        </w:rPr>
        <w:t>被</w:t>
      </w:r>
      <w:r w:rsidRPr="006C66AF">
        <w:rPr>
          <w:rFonts w:ascii="仿宋_GB2312" w:hint="eastAsia"/>
          <w:szCs w:val="32"/>
        </w:rPr>
        <w:t>多家会员频繁投诉且经交易中心查实的会员将列入评优黑名单，取消其该年度评优资格。</w:t>
      </w:r>
    </w:p>
    <w:p w:rsidR="009357F9" w:rsidRPr="006C66AF" w:rsidRDefault="009357F9" w:rsidP="009357F9">
      <w:pPr>
        <w:snapToGrid w:val="0"/>
        <w:spacing w:line="560" w:lineRule="exact"/>
        <w:jc w:val="center"/>
        <w:rPr>
          <w:rFonts w:ascii="黑体" w:eastAsia="黑体" w:hAnsi="黑体"/>
          <w:b/>
          <w:szCs w:val="32"/>
        </w:rPr>
      </w:pPr>
      <w:r w:rsidRPr="006C66AF">
        <w:rPr>
          <w:rFonts w:ascii="黑体" w:eastAsia="黑体" w:hAnsi="黑体" w:hint="eastAsia"/>
          <w:b/>
          <w:szCs w:val="32"/>
        </w:rPr>
        <w:t>第六章 个人评优</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第二十三条 </w:t>
      </w:r>
      <w:r w:rsidRPr="006C66AF">
        <w:rPr>
          <w:rFonts w:ascii="仿宋_GB2312" w:hint="eastAsia"/>
          <w:szCs w:val="32"/>
        </w:rPr>
        <w:t>交易中心根据个人评优得分评选优秀交易员和优秀交易主管，个人评优得分由市场投票得分和人民银行评分、外汇管理局评分及交易中心评分构成。</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第二十四条 </w:t>
      </w:r>
      <w:r w:rsidRPr="006C66AF">
        <w:rPr>
          <w:rFonts w:ascii="仿宋_GB2312" w:hint="eastAsia"/>
          <w:szCs w:val="32"/>
        </w:rPr>
        <w:t>评选年度内符合条件的会员提名候选人参选该年度优秀交易员或优秀交易主管。被提名优秀交易员或优秀交易主管的候选人应符合在所属机构完成整个评选期内的交易或交易管理工作等条件。</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第二十五</w:t>
      </w:r>
      <w:r w:rsidRPr="006C66AF">
        <w:rPr>
          <w:rFonts w:ascii="仿宋_GB2312"/>
          <w:b/>
          <w:szCs w:val="32"/>
        </w:rPr>
        <w:t>条</w:t>
      </w:r>
      <w:r w:rsidRPr="006C66AF">
        <w:rPr>
          <w:rFonts w:ascii="仿宋_GB2312" w:hint="eastAsia"/>
          <w:b/>
          <w:szCs w:val="32"/>
        </w:rPr>
        <w:t xml:space="preserve"> </w:t>
      </w:r>
      <w:r w:rsidRPr="006C66AF">
        <w:rPr>
          <w:rFonts w:ascii="仿宋_GB2312"/>
          <w:szCs w:val="32"/>
        </w:rPr>
        <w:t>交易中心</w:t>
      </w:r>
      <w:r w:rsidRPr="006C66AF">
        <w:rPr>
          <w:rFonts w:ascii="仿宋_GB2312" w:hint="eastAsia"/>
          <w:szCs w:val="32"/>
        </w:rPr>
        <w:t>根据</w:t>
      </w:r>
      <w:r w:rsidRPr="006C66AF">
        <w:rPr>
          <w:rFonts w:ascii="仿宋_GB2312"/>
          <w:szCs w:val="32"/>
        </w:rPr>
        <w:t>会员</w:t>
      </w:r>
      <w:r w:rsidRPr="006C66AF">
        <w:rPr>
          <w:rFonts w:ascii="仿宋_GB2312" w:hint="eastAsia"/>
          <w:szCs w:val="32"/>
        </w:rPr>
        <w:t>系统建设情况</w:t>
      </w:r>
      <w:r w:rsidRPr="006C66AF">
        <w:rPr>
          <w:rFonts w:ascii="仿宋_GB2312"/>
          <w:szCs w:val="32"/>
        </w:rPr>
        <w:t>及个人</w:t>
      </w:r>
      <w:r w:rsidRPr="006C66AF">
        <w:rPr>
          <w:rFonts w:ascii="仿宋_GB2312" w:hint="eastAsia"/>
          <w:szCs w:val="32"/>
        </w:rPr>
        <w:t>贡献情况</w:t>
      </w:r>
      <w:r w:rsidRPr="006C66AF">
        <w:rPr>
          <w:rFonts w:ascii="仿宋_GB2312"/>
          <w:szCs w:val="32"/>
        </w:rPr>
        <w:t>评选</w:t>
      </w:r>
      <w:r w:rsidRPr="006C66AF">
        <w:rPr>
          <w:rFonts w:ascii="仿宋_GB2312" w:hint="eastAsia"/>
          <w:szCs w:val="32"/>
        </w:rPr>
        <w:t>优秀技术工程师与优秀技术主管</w:t>
      </w:r>
      <w:r w:rsidRPr="006C66AF">
        <w:rPr>
          <w:rFonts w:ascii="仿宋_GB2312"/>
          <w:szCs w:val="32"/>
        </w:rPr>
        <w:t>。</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lastRenderedPageBreak/>
        <w:t>第二十六条</w:t>
      </w:r>
      <w:r w:rsidRPr="006C66AF">
        <w:rPr>
          <w:rFonts w:ascii="仿宋_GB2312" w:hint="eastAsia"/>
          <w:szCs w:val="32"/>
        </w:rPr>
        <w:t xml:space="preserve"> 交易中心根据会员中后台主管对交易中心工作支持情况评选优秀中后台主管。</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第二十七条</w:t>
      </w:r>
      <w:r w:rsidRPr="006C66AF">
        <w:rPr>
          <w:rFonts w:ascii="仿宋_GB2312" w:hint="eastAsia"/>
          <w:szCs w:val="32"/>
        </w:rPr>
        <w:t xml:space="preserve"> 评选年度内，根据</w:t>
      </w:r>
      <w:r w:rsidRPr="006C66AF">
        <w:rPr>
          <w:rFonts w:ascii="仿宋_GB2312"/>
          <w:szCs w:val="32"/>
        </w:rPr>
        <w:t>交易中心市场监测</w:t>
      </w:r>
      <w:r w:rsidRPr="006C66AF">
        <w:rPr>
          <w:rFonts w:ascii="仿宋_GB2312" w:hint="eastAsia"/>
          <w:szCs w:val="32"/>
        </w:rPr>
        <w:t>情况认定为</w:t>
      </w:r>
      <w:r w:rsidRPr="006C66AF">
        <w:rPr>
          <w:rFonts w:ascii="仿宋_GB2312"/>
          <w:szCs w:val="32"/>
        </w:rPr>
        <w:t>市场影响</w:t>
      </w:r>
      <w:r w:rsidRPr="006C66AF">
        <w:rPr>
          <w:rFonts w:ascii="仿宋_GB2312" w:hint="eastAsia"/>
          <w:szCs w:val="32"/>
        </w:rPr>
        <w:t>极其</w:t>
      </w:r>
      <w:r w:rsidRPr="006C66AF">
        <w:rPr>
          <w:rFonts w:ascii="仿宋_GB2312"/>
          <w:szCs w:val="32"/>
        </w:rPr>
        <w:t>恶劣的</w:t>
      </w:r>
      <w:r w:rsidRPr="006C66AF">
        <w:rPr>
          <w:rFonts w:ascii="仿宋_GB2312" w:hint="eastAsia"/>
          <w:szCs w:val="32"/>
        </w:rPr>
        <w:t>个人或被多家会员频繁投诉且经交易中心查实的个人将列入评优黑名单，取消其该年度评优资格。</w:t>
      </w:r>
    </w:p>
    <w:p w:rsidR="009357F9" w:rsidRPr="006C66AF" w:rsidRDefault="009357F9" w:rsidP="009357F9">
      <w:pPr>
        <w:snapToGrid w:val="0"/>
        <w:spacing w:line="560" w:lineRule="exact"/>
        <w:jc w:val="center"/>
        <w:rPr>
          <w:rFonts w:ascii="黑体" w:eastAsia="黑体" w:hAnsi="黑体"/>
          <w:b/>
          <w:szCs w:val="32"/>
        </w:rPr>
      </w:pPr>
      <w:r w:rsidRPr="006C66AF">
        <w:rPr>
          <w:rFonts w:ascii="黑体" w:eastAsia="黑体" w:hAnsi="黑体" w:hint="eastAsia"/>
          <w:b/>
          <w:szCs w:val="32"/>
        </w:rPr>
        <w:t>第七章 附则</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 xml:space="preserve">第二十八条 </w:t>
      </w:r>
      <w:r w:rsidRPr="006C66AF">
        <w:rPr>
          <w:rFonts w:ascii="仿宋_GB2312" w:hint="eastAsia"/>
          <w:szCs w:val="32"/>
        </w:rPr>
        <w:t>交易中心可根据《办法》制订评优实施细则。</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第二十九条</w:t>
      </w:r>
      <w:r w:rsidRPr="006C66AF">
        <w:rPr>
          <w:rFonts w:ascii="仿宋_GB2312" w:hint="eastAsia"/>
          <w:szCs w:val="32"/>
        </w:rPr>
        <w:t xml:space="preserve"> 本办法由交易中心负责解释及修订。 </w:t>
      </w:r>
    </w:p>
    <w:p w:rsidR="009357F9" w:rsidRPr="006C66AF" w:rsidRDefault="009357F9" w:rsidP="009357F9">
      <w:pPr>
        <w:snapToGrid w:val="0"/>
        <w:spacing w:line="560" w:lineRule="exact"/>
        <w:ind w:firstLineChars="220" w:firstLine="707"/>
        <w:rPr>
          <w:rFonts w:ascii="仿宋_GB2312"/>
          <w:szCs w:val="32"/>
        </w:rPr>
      </w:pPr>
      <w:r w:rsidRPr="006C66AF">
        <w:rPr>
          <w:rFonts w:ascii="仿宋_GB2312" w:hint="eastAsia"/>
          <w:b/>
          <w:szCs w:val="32"/>
        </w:rPr>
        <w:t>第三十条</w:t>
      </w:r>
      <w:r w:rsidRPr="006C66AF">
        <w:rPr>
          <w:rFonts w:ascii="仿宋_GB2312" w:hint="eastAsia"/>
          <w:szCs w:val="32"/>
        </w:rPr>
        <w:t xml:space="preserve"> 本办法自发布之日起实施，原《银行间外汇市场评优办法》(中汇交发[2012]289号)同时废止。</w:t>
      </w:r>
    </w:p>
    <w:p w:rsidR="006C087E" w:rsidRPr="009357F9" w:rsidRDefault="006C087E"/>
    <w:sectPr w:rsidR="006C087E" w:rsidRPr="009357F9" w:rsidSect="006C08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7F9"/>
    <w:rsid w:val="006C087E"/>
    <w:rsid w:val="00935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F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9357F9"/>
    <w:rPr>
      <w:rFonts w:ascii="仿宋_GB2312" w:eastAsia="仿宋_GB2312" w:hint="eastAsia"/>
      <w:b w:val="0"/>
      <w:bCs w:val="0"/>
      <w:i w:val="0"/>
      <w:iCs w:val="0"/>
      <w:color w:val="000000"/>
      <w:sz w:val="30"/>
      <w:szCs w:val="30"/>
    </w:rPr>
  </w:style>
  <w:style w:type="character" w:styleId="a3">
    <w:name w:val="Strong"/>
    <w:qFormat/>
    <w:rsid w:val="009357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1353</Characters>
  <Application>Microsoft Office Word</Application>
  <DocSecurity>0</DocSecurity>
  <Lines>11</Lines>
  <Paragraphs>3</Paragraphs>
  <ScaleCrop>false</ScaleCrop>
  <Company>Lenovo (Beijing) Limited</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2018-01-02T06:00:00Z</dcterms:created>
  <dcterms:modified xsi:type="dcterms:W3CDTF">2018-01-02T06:01:00Z</dcterms:modified>
</cp:coreProperties>
</file>